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24" w:rsidRPr="006677E6" w:rsidRDefault="00CB2124" w:rsidP="00261029">
      <w:pPr>
        <w:ind w:left="240" w:right="240"/>
        <w:jc w:val="center"/>
        <w:rPr>
          <w:i/>
          <w:sz w:val="38"/>
          <w:szCs w:val="38"/>
        </w:rPr>
      </w:pPr>
    </w:p>
    <w:p w:rsidR="003A0922" w:rsidRPr="00E53076" w:rsidRDefault="00363F05" w:rsidP="003A0922">
      <w:pPr>
        <w:jc w:val="center"/>
        <w:rPr>
          <w:i/>
          <w:w w:val="95"/>
          <w:sz w:val="36"/>
          <w:szCs w:val="36"/>
        </w:rPr>
      </w:pPr>
      <w:r>
        <w:rPr>
          <w:i/>
          <w:w w:val="95"/>
          <w:sz w:val="36"/>
          <w:szCs w:val="36"/>
        </w:rPr>
        <w:t xml:space="preserve">Data </w:t>
      </w:r>
      <w:r w:rsidR="005C3295">
        <w:rPr>
          <w:i/>
          <w:w w:val="95"/>
          <w:sz w:val="36"/>
          <w:szCs w:val="36"/>
        </w:rPr>
        <w:t>Appendix</w:t>
      </w:r>
    </w:p>
    <w:p w:rsidR="00644ACE" w:rsidRPr="00F4695A" w:rsidRDefault="00644ACE" w:rsidP="00F4695A">
      <w:pPr>
        <w:jc w:val="both"/>
        <w:rPr>
          <w:sz w:val="22"/>
        </w:rPr>
      </w:pPr>
    </w:p>
    <w:p w:rsidR="0027359B" w:rsidRPr="00272117" w:rsidRDefault="00E31285" w:rsidP="00E31285">
      <w:pPr>
        <w:tabs>
          <w:tab w:val="left" w:pos="200"/>
        </w:tabs>
        <w:jc w:val="both"/>
        <w:rPr>
          <w:sz w:val="20"/>
          <w:szCs w:val="22"/>
        </w:rPr>
      </w:pPr>
      <w:r w:rsidRPr="00272117">
        <w:rPr>
          <w:sz w:val="20"/>
          <w:szCs w:val="22"/>
        </w:rPr>
        <w:tab/>
      </w:r>
      <w:r w:rsidR="0027359B" w:rsidRPr="00272117">
        <w:rPr>
          <w:sz w:val="20"/>
          <w:szCs w:val="22"/>
        </w:rPr>
        <w:t>Our final data</w:t>
      </w:r>
      <w:r w:rsidR="00F4695A" w:rsidRPr="00272117">
        <w:rPr>
          <w:sz w:val="20"/>
          <w:szCs w:val="22"/>
        </w:rPr>
        <w:t xml:space="preserve"> </w:t>
      </w:r>
      <w:r w:rsidR="0027359B" w:rsidRPr="00272117">
        <w:rPr>
          <w:sz w:val="20"/>
          <w:szCs w:val="22"/>
        </w:rPr>
        <w:t xml:space="preserve">set is compiled from multiple sources: some hand-entered, some </w:t>
      </w:r>
      <w:r w:rsidR="0027359B" w:rsidRPr="00E357FA">
        <w:rPr>
          <w:spacing w:val="6"/>
          <w:sz w:val="20"/>
          <w:szCs w:val="22"/>
        </w:rPr>
        <w:t xml:space="preserve">shared by other </w:t>
      </w:r>
      <w:proofErr w:type="gramStart"/>
      <w:r w:rsidR="0027359B" w:rsidRPr="00E357FA">
        <w:rPr>
          <w:spacing w:val="6"/>
          <w:sz w:val="20"/>
          <w:szCs w:val="22"/>
        </w:rPr>
        <w:t>researchers,</w:t>
      </w:r>
      <w:proofErr w:type="gramEnd"/>
      <w:r w:rsidR="0027359B" w:rsidRPr="00E357FA">
        <w:rPr>
          <w:spacing w:val="6"/>
          <w:sz w:val="20"/>
          <w:szCs w:val="22"/>
        </w:rPr>
        <w:t xml:space="preserve"> and some publicly available at Inter-</w:t>
      </w:r>
      <w:r w:rsidR="00272117" w:rsidRPr="00E357FA">
        <w:rPr>
          <w:spacing w:val="6"/>
          <w:sz w:val="20"/>
          <w:szCs w:val="22"/>
        </w:rPr>
        <w:t>un</w:t>
      </w:r>
      <w:r w:rsidR="0027359B" w:rsidRPr="00E357FA">
        <w:rPr>
          <w:spacing w:val="6"/>
          <w:sz w:val="20"/>
          <w:szCs w:val="22"/>
        </w:rPr>
        <w:t>iversity Consortium for Political and Social Research (ICPSR), Integrated Public Use Microdata Series (IPUMS), or through the National Archives and Records</w:t>
      </w:r>
      <w:r w:rsidR="0027359B" w:rsidRPr="00272117">
        <w:rPr>
          <w:sz w:val="20"/>
          <w:szCs w:val="22"/>
        </w:rPr>
        <w:t xml:space="preserve"> Administration (NARA). We describe each of these data sources and our variables here.</w:t>
      </w:r>
    </w:p>
    <w:p w:rsidR="00F4695A" w:rsidRPr="00F4695A" w:rsidRDefault="00F4695A" w:rsidP="00F4695A">
      <w:pPr>
        <w:jc w:val="both"/>
        <w:rPr>
          <w:sz w:val="20"/>
          <w:szCs w:val="22"/>
        </w:rPr>
      </w:pPr>
    </w:p>
    <w:p w:rsidR="0027359B" w:rsidRDefault="00166D17" w:rsidP="001C2222">
      <w:pPr>
        <w:pStyle w:val="Heading2"/>
        <w:spacing w:line="240" w:lineRule="auto"/>
        <w:rPr>
          <w:b w:val="0"/>
          <w:sz w:val="20"/>
          <w:szCs w:val="22"/>
        </w:rPr>
      </w:pPr>
      <w:r w:rsidRPr="00166D17">
        <w:rPr>
          <w:b w:val="0"/>
          <w:sz w:val="20"/>
          <w:szCs w:val="22"/>
        </w:rPr>
        <w:t>STATE-LEVEL DATA</w:t>
      </w:r>
    </w:p>
    <w:p w:rsidR="001C2222" w:rsidRPr="001C2222" w:rsidRDefault="001C2222" w:rsidP="001C2222">
      <w:pPr>
        <w:rPr>
          <w:sz w:val="20"/>
        </w:rPr>
      </w:pPr>
    </w:p>
    <w:p w:rsidR="0027359B" w:rsidRDefault="0027359B" w:rsidP="00FA177D">
      <w:pPr>
        <w:pStyle w:val="Dataset"/>
        <w:numPr>
          <w:ilvl w:val="0"/>
          <w:numId w:val="0"/>
        </w:numPr>
        <w:jc w:val="both"/>
        <w:rPr>
          <w:b w:val="0"/>
          <w:i/>
          <w:sz w:val="20"/>
          <w:szCs w:val="22"/>
        </w:rPr>
      </w:pPr>
      <w:r w:rsidRPr="00FA177D">
        <w:rPr>
          <w:b w:val="0"/>
          <w:i/>
          <w:sz w:val="20"/>
          <w:szCs w:val="22"/>
        </w:rPr>
        <w:t>Information on CAP Grants</w:t>
      </w:r>
    </w:p>
    <w:p w:rsidR="00FA177D" w:rsidRPr="00FA177D" w:rsidRDefault="00FA177D" w:rsidP="00FA177D">
      <w:pPr>
        <w:pStyle w:val="Dataset"/>
        <w:numPr>
          <w:ilvl w:val="0"/>
          <w:numId w:val="0"/>
        </w:numPr>
        <w:jc w:val="both"/>
        <w:rPr>
          <w:b w:val="0"/>
          <w:i/>
          <w:sz w:val="20"/>
          <w:szCs w:val="22"/>
        </w:rPr>
      </w:pPr>
    </w:p>
    <w:p w:rsidR="0027359B" w:rsidRPr="00F4695A" w:rsidRDefault="00FA177D" w:rsidP="00FA177D">
      <w:pPr>
        <w:tabs>
          <w:tab w:val="left" w:pos="200"/>
        </w:tabs>
        <w:jc w:val="both"/>
        <w:rPr>
          <w:sz w:val="20"/>
          <w:szCs w:val="22"/>
        </w:rPr>
      </w:pPr>
      <w:r>
        <w:rPr>
          <w:sz w:val="20"/>
          <w:szCs w:val="22"/>
        </w:rPr>
        <w:tab/>
      </w:r>
      <w:r w:rsidR="0027359B" w:rsidRPr="00F4695A">
        <w:rPr>
          <w:sz w:val="20"/>
          <w:szCs w:val="22"/>
        </w:rPr>
        <w:t xml:space="preserve">State-level information on federal CAP grants </w:t>
      </w:r>
      <w:r w:rsidR="00EE0367" w:rsidRPr="00F4695A">
        <w:rPr>
          <w:sz w:val="20"/>
          <w:szCs w:val="22"/>
        </w:rPr>
        <w:t>is</w:t>
      </w:r>
      <w:r w:rsidR="0027359B" w:rsidRPr="00F4695A">
        <w:rPr>
          <w:sz w:val="20"/>
          <w:szCs w:val="22"/>
        </w:rPr>
        <w:t xml:space="preserve"> derived from the NARA microdata (Community Services Administration 1981). These records are structured as two data </w:t>
      </w:r>
      <w:r w:rsidR="0027359B" w:rsidRPr="004423D4">
        <w:rPr>
          <w:spacing w:val="6"/>
          <w:sz w:val="20"/>
          <w:szCs w:val="22"/>
        </w:rPr>
        <w:t>files spanning 1965 to 1981. One data</w:t>
      </w:r>
      <w:r w:rsidR="000E42F4" w:rsidRPr="004423D4">
        <w:rPr>
          <w:spacing w:val="6"/>
          <w:sz w:val="20"/>
          <w:szCs w:val="22"/>
        </w:rPr>
        <w:t xml:space="preserve"> </w:t>
      </w:r>
      <w:r w:rsidR="0027359B" w:rsidRPr="004423D4">
        <w:rPr>
          <w:spacing w:val="6"/>
          <w:sz w:val="20"/>
          <w:szCs w:val="22"/>
        </w:rPr>
        <w:t xml:space="preserve">set is observed at the level of 163,483 </w:t>
      </w:r>
      <w:r w:rsidR="0027359B" w:rsidRPr="00F4695A">
        <w:rPr>
          <w:sz w:val="20"/>
          <w:szCs w:val="22"/>
        </w:rPr>
        <w:t>individual grant actions; the other data</w:t>
      </w:r>
      <w:r w:rsidR="00EB534B">
        <w:rPr>
          <w:sz w:val="20"/>
          <w:szCs w:val="22"/>
        </w:rPr>
        <w:t xml:space="preserve"> </w:t>
      </w:r>
      <w:r w:rsidR="0027359B" w:rsidRPr="00F4695A">
        <w:rPr>
          <w:sz w:val="20"/>
          <w:szCs w:val="22"/>
        </w:rPr>
        <w:t xml:space="preserve">set records data on the 4,769 organizations receiving grants. The combined data include information on any </w:t>
      </w:r>
      <w:r w:rsidR="002108D7">
        <w:rPr>
          <w:sz w:val="20"/>
          <w:szCs w:val="22"/>
        </w:rPr>
        <w:t>“</w:t>
      </w:r>
      <w:r w:rsidR="0027359B" w:rsidRPr="00F4695A">
        <w:rPr>
          <w:sz w:val="20"/>
          <w:szCs w:val="22"/>
        </w:rPr>
        <w:t>action</w:t>
      </w:r>
      <w:r w:rsidR="002108D7">
        <w:rPr>
          <w:sz w:val="20"/>
          <w:szCs w:val="22"/>
        </w:rPr>
        <w:t>”</w:t>
      </w:r>
      <w:r w:rsidR="0027359B" w:rsidRPr="00F4695A">
        <w:rPr>
          <w:sz w:val="20"/>
          <w:szCs w:val="22"/>
        </w:rPr>
        <w:t xml:space="preserve"> on a grant (when it is recorded, extended, renewed</w:t>
      </w:r>
      <w:r w:rsidR="001A4894">
        <w:rPr>
          <w:sz w:val="20"/>
          <w:szCs w:val="22"/>
        </w:rPr>
        <w:t>,</w:t>
      </w:r>
      <w:r w:rsidR="0027359B" w:rsidRPr="00F4695A">
        <w:rPr>
          <w:sz w:val="20"/>
          <w:szCs w:val="22"/>
        </w:rPr>
        <w:t xml:space="preserve"> or terminated), dates associated with these actions, and some information about the funded project. We use addresses from the </w:t>
      </w:r>
      <w:r w:rsidR="0027359B" w:rsidRPr="004423D4">
        <w:rPr>
          <w:spacing w:val="6"/>
          <w:sz w:val="20"/>
          <w:szCs w:val="22"/>
        </w:rPr>
        <w:t>grantee data and grant-action file, which include the name and address of the</w:t>
      </w:r>
      <w:r w:rsidR="0027359B" w:rsidRPr="00F4695A">
        <w:rPr>
          <w:sz w:val="20"/>
          <w:szCs w:val="22"/>
        </w:rPr>
        <w:t xml:space="preserve"> designated grantee as well as the county where the services are provided in most cases. Because a larger urban organization may be funded to provide services in a rural area, </w:t>
      </w:r>
      <w:r w:rsidR="0027359B" w:rsidRPr="00142CBC">
        <w:rPr>
          <w:spacing w:val="6"/>
          <w:sz w:val="20"/>
          <w:szCs w:val="22"/>
        </w:rPr>
        <w:t>we use information on the area of service delivery in all of our analysis, data</w:t>
      </w:r>
      <w:r w:rsidR="0027359B" w:rsidRPr="00F4695A">
        <w:rPr>
          <w:sz w:val="20"/>
          <w:szCs w:val="22"/>
        </w:rPr>
        <w:t xml:space="preserve"> permitting. We aggregate these amounts by the fiscal year of disbursement and state of service delivery</w:t>
      </w:r>
      <w:r w:rsidR="00D35185">
        <w:rPr>
          <w:sz w:val="20"/>
          <w:szCs w:val="22"/>
        </w:rPr>
        <w:t>.</w:t>
      </w:r>
      <w:r w:rsidR="0027359B" w:rsidRPr="00F4695A">
        <w:rPr>
          <w:rStyle w:val="FootnoteReference"/>
          <w:sz w:val="20"/>
          <w:szCs w:val="22"/>
        </w:rPr>
        <w:footnoteReference w:id="1"/>
      </w:r>
      <w:r w:rsidR="002108D7">
        <w:rPr>
          <w:sz w:val="20"/>
          <w:szCs w:val="22"/>
        </w:rPr>
        <w:t xml:space="preserve"> </w:t>
      </w:r>
    </w:p>
    <w:p w:rsidR="0027359B" w:rsidRPr="00F4695A" w:rsidRDefault="00FA177D" w:rsidP="00FA177D">
      <w:pPr>
        <w:tabs>
          <w:tab w:val="left" w:pos="200"/>
        </w:tabs>
        <w:jc w:val="both"/>
        <w:rPr>
          <w:sz w:val="20"/>
          <w:szCs w:val="22"/>
        </w:rPr>
      </w:pPr>
      <w:r>
        <w:rPr>
          <w:sz w:val="20"/>
          <w:szCs w:val="22"/>
        </w:rPr>
        <w:tab/>
      </w:r>
      <w:r w:rsidR="0027359B" w:rsidRPr="00F4695A">
        <w:rPr>
          <w:sz w:val="20"/>
          <w:szCs w:val="22"/>
        </w:rPr>
        <w:t xml:space="preserve">We have verified these amounts by state against information printed in OEO annual reports for FY 1965, 1966, 1967, and 1968 (Office of Economic Opportunity </w:t>
      </w:r>
      <w:r w:rsidR="002D31CE" w:rsidRPr="00F4695A">
        <w:rPr>
          <w:sz w:val="20"/>
          <w:szCs w:val="22"/>
        </w:rPr>
        <w:t>1965</w:t>
      </w:r>
      <w:r w:rsidR="002D31CE">
        <w:rPr>
          <w:sz w:val="20"/>
          <w:szCs w:val="22"/>
        </w:rPr>
        <w:t>–196</w:t>
      </w:r>
      <w:r w:rsidR="002D31CE" w:rsidRPr="00F4695A">
        <w:rPr>
          <w:sz w:val="20"/>
          <w:szCs w:val="22"/>
        </w:rPr>
        <w:t>8</w:t>
      </w:r>
      <w:r w:rsidR="0027359B" w:rsidRPr="00F4695A">
        <w:rPr>
          <w:sz w:val="20"/>
          <w:szCs w:val="22"/>
        </w:rPr>
        <w:t xml:space="preserve">). The NARA data have systematically fewer CAP grants than the OEO reports in 1965, which can be attributed to missing Head Start grants in this first year. We are unsure about why these data are missing from the electronic files: the 1965 report tabulates Head Start grants separately from other CAP program grants, and includes all </w:t>
      </w:r>
      <w:r w:rsidR="002108D7">
        <w:rPr>
          <w:sz w:val="20"/>
          <w:szCs w:val="22"/>
        </w:rPr>
        <w:t>“</w:t>
      </w:r>
      <w:r w:rsidR="0027359B" w:rsidRPr="00F4695A">
        <w:rPr>
          <w:sz w:val="20"/>
          <w:szCs w:val="22"/>
        </w:rPr>
        <w:t>approved</w:t>
      </w:r>
      <w:r w:rsidR="002108D7">
        <w:rPr>
          <w:sz w:val="20"/>
          <w:szCs w:val="22"/>
        </w:rPr>
        <w:t>”</w:t>
      </w:r>
      <w:r w:rsidR="0027359B" w:rsidRPr="00F4695A">
        <w:rPr>
          <w:sz w:val="20"/>
          <w:szCs w:val="22"/>
        </w:rPr>
        <w:t xml:space="preserve"> grants. Since Head Start began as a summer program in 1965, it may be </w:t>
      </w:r>
      <w:r w:rsidR="0027359B" w:rsidRPr="00E556C4">
        <w:rPr>
          <w:spacing w:val="6"/>
          <w:sz w:val="20"/>
          <w:szCs w:val="22"/>
        </w:rPr>
        <w:t xml:space="preserve">that these grants are charged to the new fiscal year that began in July 1965 and </w:t>
      </w:r>
      <w:r w:rsidR="0027359B" w:rsidRPr="00F4695A">
        <w:rPr>
          <w:sz w:val="20"/>
          <w:szCs w:val="22"/>
        </w:rPr>
        <w:t>counted in both 1965 and 1966 reports. The other FYs are very close in the NARA and OEO annual reports.</w:t>
      </w:r>
    </w:p>
    <w:p w:rsidR="0027359B" w:rsidRPr="00F4695A" w:rsidRDefault="00FA177D" w:rsidP="00FA177D">
      <w:pPr>
        <w:tabs>
          <w:tab w:val="left" w:pos="200"/>
        </w:tabs>
        <w:jc w:val="both"/>
        <w:rPr>
          <w:sz w:val="20"/>
          <w:szCs w:val="22"/>
        </w:rPr>
      </w:pPr>
      <w:r>
        <w:rPr>
          <w:sz w:val="20"/>
          <w:szCs w:val="22"/>
        </w:rPr>
        <w:tab/>
      </w:r>
      <w:r w:rsidR="0027359B" w:rsidRPr="00F4695A">
        <w:rPr>
          <w:sz w:val="20"/>
          <w:szCs w:val="22"/>
        </w:rPr>
        <w:t>CAP grant-action data include data on the target population of grant proposals; taken together, grants from 1965</w:t>
      </w:r>
      <w:r w:rsidR="00D01BE4">
        <w:rPr>
          <w:sz w:val="20"/>
          <w:szCs w:val="22"/>
        </w:rPr>
        <w:t>–</w:t>
      </w:r>
      <w:r w:rsidR="002E3845">
        <w:rPr>
          <w:sz w:val="20"/>
          <w:szCs w:val="22"/>
        </w:rPr>
        <w:t>196</w:t>
      </w:r>
      <w:r w:rsidR="0027359B" w:rsidRPr="00F4695A">
        <w:rPr>
          <w:sz w:val="20"/>
          <w:szCs w:val="22"/>
        </w:rPr>
        <w:t xml:space="preserve">8 total 18 million people targeted by approved CAP grants. The OEO deemed these data unreliable in 1971 and ceased collecting it; available documentation does not indicate how grantees made their estimates or even </w:t>
      </w:r>
      <w:r w:rsidR="0027359B" w:rsidRPr="00876BAF">
        <w:rPr>
          <w:spacing w:val="6"/>
          <w:sz w:val="20"/>
          <w:szCs w:val="22"/>
        </w:rPr>
        <w:t xml:space="preserve">whether the OEO believed the estimates were too high, too low, or simply too </w:t>
      </w:r>
      <w:r w:rsidR="0027359B" w:rsidRPr="00F4695A">
        <w:rPr>
          <w:sz w:val="20"/>
          <w:szCs w:val="22"/>
        </w:rPr>
        <w:t>inaccurate.</w:t>
      </w:r>
    </w:p>
    <w:p w:rsidR="0027359B" w:rsidRPr="00F4695A" w:rsidRDefault="0027359B" w:rsidP="00F4695A">
      <w:pPr>
        <w:jc w:val="both"/>
        <w:rPr>
          <w:sz w:val="20"/>
          <w:szCs w:val="22"/>
        </w:rPr>
      </w:pPr>
    </w:p>
    <w:p w:rsidR="0027359B" w:rsidRPr="00FA177D" w:rsidRDefault="00FA177D" w:rsidP="00FA177D">
      <w:pPr>
        <w:pStyle w:val="Dataset"/>
        <w:numPr>
          <w:ilvl w:val="0"/>
          <w:numId w:val="0"/>
        </w:numPr>
        <w:jc w:val="both"/>
        <w:rPr>
          <w:b w:val="0"/>
          <w:i/>
          <w:sz w:val="20"/>
          <w:szCs w:val="22"/>
        </w:rPr>
      </w:pPr>
      <w:r>
        <w:rPr>
          <w:sz w:val="20"/>
          <w:szCs w:val="22"/>
        </w:rPr>
        <w:br w:type="page"/>
      </w:r>
      <w:r w:rsidR="0027359B" w:rsidRPr="00FA177D">
        <w:rPr>
          <w:b w:val="0"/>
          <w:i/>
          <w:sz w:val="20"/>
          <w:szCs w:val="22"/>
        </w:rPr>
        <w:lastRenderedPageBreak/>
        <w:t>Reconstruction of the EOA Apportionment Index, FY 1965</w:t>
      </w:r>
      <w:r>
        <w:rPr>
          <w:b w:val="0"/>
          <w:i/>
          <w:sz w:val="20"/>
          <w:szCs w:val="22"/>
        </w:rPr>
        <w:t>–</w:t>
      </w:r>
      <w:r w:rsidR="0027359B" w:rsidRPr="00FA177D">
        <w:rPr>
          <w:b w:val="0"/>
          <w:i/>
          <w:sz w:val="20"/>
          <w:szCs w:val="22"/>
        </w:rPr>
        <w:t>1968</w:t>
      </w:r>
    </w:p>
    <w:p w:rsidR="00FA177D" w:rsidRPr="00F4695A" w:rsidRDefault="00FA177D" w:rsidP="00FA177D">
      <w:pPr>
        <w:pStyle w:val="Dataset"/>
        <w:numPr>
          <w:ilvl w:val="0"/>
          <w:numId w:val="0"/>
        </w:numPr>
        <w:jc w:val="both"/>
        <w:rPr>
          <w:sz w:val="20"/>
          <w:szCs w:val="22"/>
        </w:rPr>
      </w:pPr>
    </w:p>
    <w:p w:rsidR="0027359B" w:rsidRPr="00F4695A" w:rsidRDefault="00FA177D" w:rsidP="00FA177D">
      <w:pPr>
        <w:tabs>
          <w:tab w:val="left" w:pos="200"/>
        </w:tabs>
        <w:jc w:val="both"/>
        <w:rPr>
          <w:sz w:val="20"/>
          <w:szCs w:val="22"/>
        </w:rPr>
      </w:pPr>
      <w:r>
        <w:rPr>
          <w:sz w:val="20"/>
          <w:szCs w:val="22"/>
        </w:rPr>
        <w:tab/>
      </w:r>
      <w:r w:rsidR="0027359B" w:rsidRPr="00F4695A">
        <w:rPr>
          <w:sz w:val="20"/>
          <w:szCs w:val="22"/>
        </w:rPr>
        <w:t xml:space="preserve">Our reconstruction of the components of the EOA apportionment index in equation </w:t>
      </w:r>
      <w:r w:rsidR="0027359B" w:rsidRPr="00675443">
        <w:rPr>
          <w:spacing w:val="6"/>
          <w:sz w:val="20"/>
          <w:szCs w:val="22"/>
        </w:rPr>
        <w:t>1 requires three state-level components in each year from 1965 to 1967: (A)</w:t>
      </w:r>
      <w:r w:rsidR="0027359B" w:rsidRPr="00F4695A">
        <w:rPr>
          <w:sz w:val="20"/>
          <w:szCs w:val="22"/>
        </w:rPr>
        <w:t xml:space="preserve"> unemployment counts, (B) public assistance recipients, and (C) counts of children in families with household incomes below $1,000.</w:t>
      </w:r>
      <w:r w:rsidR="002108D7">
        <w:rPr>
          <w:sz w:val="20"/>
          <w:szCs w:val="22"/>
        </w:rPr>
        <w:t xml:space="preserve"> </w:t>
      </w:r>
      <w:r w:rsidR="0027359B" w:rsidRPr="00F4695A">
        <w:rPr>
          <w:sz w:val="20"/>
          <w:szCs w:val="22"/>
        </w:rPr>
        <w:t>The House Conference Report on the 1964 EOA (</w:t>
      </w:r>
      <w:r w:rsidR="008F7D9F">
        <w:rPr>
          <w:rFonts w:cs="Linux Libertine"/>
          <w:sz w:val="20"/>
          <w:szCs w:val="22"/>
        </w:rPr>
        <w:t>U.S. House</w:t>
      </w:r>
      <w:r w:rsidR="0027359B" w:rsidRPr="00F4695A">
        <w:rPr>
          <w:rFonts w:cs="Linux Libertine"/>
          <w:sz w:val="20"/>
          <w:szCs w:val="22"/>
        </w:rPr>
        <w:t xml:space="preserve"> 88-1458</w:t>
      </w:r>
      <w:r w:rsidR="000E7131">
        <w:rPr>
          <w:sz w:val="20"/>
          <w:szCs w:val="22"/>
        </w:rPr>
        <w:t xml:space="preserve"> 1964, pp.</w:t>
      </w:r>
      <w:r w:rsidR="0027359B" w:rsidRPr="00F4695A">
        <w:rPr>
          <w:sz w:val="20"/>
          <w:szCs w:val="22"/>
        </w:rPr>
        <w:t xml:space="preserve"> 13</w:t>
      </w:r>
      <w:r w:rsidR="000E7131">
        <w:rPr>
          <w:sz w:val="20"/>
          <w:szCs w:val="22"/>
        </w:rPr>
        <w:t>–</w:t>
      </w:r>
      <w:r w:rsidR="0027359B" w:rsidRPr="00F4695A">
        <w:rPr>
          <w:sz w:val="20"/>
          <w:szCs w:val="22"/>
        </w:rPr>
        <w:t>14) tabulates the current state-level data on these three measures that was used for FY 1965, and estimates the share of federal funds apportioned to each state based on the data. We hand entered these data for FY 1965.</w:t>
      </w:r>
      <w:r w:rsidR="002108D7">
        <w:rPr>
          <w:sz w:val="20"/>
          <w:szCs w:val="22"/>
        </w:rPr>
        <w:t xml:space="preserve"> </w:t>
      </w:r>
    </w:p>
    <w:p w:rsidR="0027359B" w:rsidRPr="00F4695A" w:rsidRDefault="00FA177D" w:rsidP="00FA177D">
      <w:pPr>
        <w:tabs>
          <w:tab w:val="left" w:pos="200"/>
        </w:tabs>
        <w:jc w:val="both"/>
        <w:rPr>
          <w:sz w:val="20"/>
          <w:szCs w:val="22"/>
        </w:rPr>
      </w:pPr>
      <w:r>
        <w:rPr>
          <w:sz w:val="20"/>
          <w:szCs w:val="22"/>
        </w:rPr>
        <w:tab/>
      </w:r>
      <w:r w:rsidR="0027359B" w:rsidRPr="00F4695A">
        <w:rPr>
          <w:sz w:val="20"/>
          <w:szCs w:val="22"/>
        </w:rPr>
        <w:t>The three components of the EOA apportionment index for the subsequent years were entered using the following sources.</w:t>
      </w:r>
    </w:p>
    <w:p w:rsidR="0027359B" w:rsidRPr="00F4695A" w:rsidRDefault="0027359B" w:rsidP="00F4695A">
      <w:pPr>
        <w:jc w:val="both"/>
        <w:rPr>
          <w:sz w:val="20"/>
          <w:szCs w:val="22"/>
        </w:rPr>
      </w:pPr>
    </w:p>
    <w:p w:rsidR="0027359B" w:rsidRPr="00F4695A" w:rsidRDefault="0027359B" w:rsidP="00F4695A">
      <w:pPr>
        <w:jc w:val="both"/>
        <w:rPr>
          <w:sz w:val="20"/>
          <w:szCs w:val="22"/>
        </w:rPr>
      </w:pPr>
      <w:r w:rsidRPr="00F4695A">
        <w:rPr>
          <w:sz w:val="20"/>
          <w:szCs w:val="22"/>
        </w:rPr>
        <w:t xml:space="preserve">(A) Unemployment counts come from the annual </w:t>
      </w:r>
      <w:r w:rsidRPr="00F4695A">
        <w:rPr>
          <w:i/>
          <w:sz w:val="20"/>
          <w:szCs w:val="22"/>
        </w:rPr>
        <w:t>Manpower Report of the President</w:t>
      </w:r>
      <w:r w:rsidRPr="00F4695A">
        <w:rPr>
          <w:sz w:val="20"/>
          <w:szCs w:val="22"/>
        </w:rPr>
        <w:t xml:space="preserve"> </w:t>
      </w:r>
      <w:r w:rsidRPr="00EB0D75">
        <w:rPr>
          <w:spacing w:val="6"/>
          <w:sz w:val="20"/>
          <w:szCs w:val="22"/>
        </w:rPr>
        <w:t>for FY 1966 to 1968 (U.S. Department of Labor 1966</w:t>
      </w:r>
      <w:r w:rsidR="007B5C90" w:rsidRPr="00EB0D75">
        <w:rPr>
          <w:spacing w:val="6"/>
          <w:sz w:val="20"/>
          <w:szCs w:val="22"/>
        </w:rPr>
        <w:t>–196</w:t>
      </w:r>
      <w:r w:rsidRPr="00EB0D75">
        <w:rPr>
          <w:spacing w:val="6"/>
          <w:sz w:val="20"/>
          <w:szCs w:val="22"/>
        </w:rPr>
        <w:t>8). These totals are</w:t>
      </w:r>
      <w:r w:rsidRPr="00F4695A">
        <w:rPr>
          <w:sz w:val="20"/>
          <w:szCs w:val="22"/>
        </w:rPr>
        <w:t xml:space="preserve"> transformed into state shares of the national total.</w:t>
      </w:r>
    </w:p>
    <w:p w:rsidR="0027359B" w:rsidRPr="00F4695A" w:rsidRDefault="0027359B" w:rsidP="00F4695A">
      <w:pPr>
        <w:jc w:val="both"/>
        <w:rPr>
          <w:sz w:val="20"/>
          <w:szCs w:val="22"/>
        </w:rPr>
      </w:pPr>
    </w:p>
    <w:p w:rsidR="0027359B" w:rsidRPr="00F4695A" w:rsidRDefault="0027359B" w:rsidP="00F4695A">
      <w:pPr>
        <w:jc w:val="both"/>
        <w:rPr>
          <w:sz w:val="20"/>
          <w:szCs w:val="22"/>
        </w:rPr>
      </w:pPr>
      <w:r w:rsidRPr="00F4695A">
        <w:rPr>
          <w:sz w:val="20"/>
          <w:szCs w:val="22"/>
        </w:rPr>
        <w:t xml:space="preserve">(B) Public assistance recipients are derived from the </w:t>
      </w:r>
      <w:r w:rsidRPr="00F4695A">
        <w:rPr>
          <w:i/>
          <w:sz w:val="20"/>
          <w:szCs w:val="22"/>
        </w:rPr>
        <w:t>Social Security Bulletin</w:t>
      </w:r>
      <w:r w:rsidR="002108D7">
        <w:rPr>
          <w:sz w:val="20"/>
          <w:szCs w:val="22"/>
        </w:rPr>
        <w:t>’</w:t>
      </w:r>
      <w:r w:rsidRPr="00F4695A">
        <w:rPr>
          <w:sz w:val="20"/>
          <w:szCs w:val="22"/>
        </w:rPr>
        <w:t>s annual statistical supplements for FY 1966 to 1968 and transformed into state shares of the national total (Department of Hea</w:t>
      </w:r>
      <w:r w:rsidR="004878F6">
        <w:rPr>
          <w:sz w:val="20"/>
          <w:szCs w:val="22"/>
        </w:rPr>
        <w:t>lth, Education and Welfare 1966–</w:t>
      </w:r>
      <w:r w:rsidRPr="00F4695A">
        <w:rPr>
          <w:sz w:val="20"/>
          <w:szCs w:val="22"/>
        </w:rPr>
        <w:t xml:space="preserve">1968). The annual supplement tabulates data for five public assistance programs: old age assistance, aid to the blind, aid to the permanently and totally disabled, aid to families with dependent children (AFDC), and general assistance. For each of these five programs, the </w:t>
      </w:r>
      <w:r w:rsidRPr="00F4695A">
        <w:rPr>
          <w:i/>
          <w:sz w:val="20"/>
          <w:szCs w:val="22"/>
        </w:rPr>
        <w:t>Bulletin</w:t>
      </w:r>
      <w:r w:rsidRPr="00F4695A">
        <w:rPr>
          <w:sz w:val="20"/>
          <w:szCs w:val="22"/>
        </w:rPr>
        <w:t xml:space="preserve"> tabulates total expenditures and expenditure per recipient by state and program; total recipients are derived by state and program by dividing total expenditures ($) by expenditures per recipient ($/person), and then summing across the five categories. This risks double-counting recipients of more than one form of public assistance, but the number of such people are likely to be small relative to the </w:t>
      </w:r>
      <w:r w:rsidRPr="00E34E2A">
        <w:rPr>
          <w:spacing w:val="6"/>
          <w:sz w:val="20"/>
          <w:szCs w:val="22"/>
        </w:rPr>
        <w:t>total number of recipients, as old</w:t>
      </w:r>
      <w:r w:rsidR="00E34E2A" w:rsidRPr="00E34E2A">
        <w:rPr>
          <w:spacing w:val="6"/>
          <w:sz w:val="20"/>
          <w:szCs w:val="22"/>
        </w:rPr>
        <w:t xml:space="preserve"> </w:t>
      </w:r>
      <w:r w:rsidRPr="00E34E2A">
        <w:rPr>
          <w:spacing w:val="6"/>
          <w:sz w:val="20"/>
          <w:szCs w:val="22"/>
        </w:rPr>
        <w:t>age assistance and AFDC recipients exceed</w:t>
      </w:r>
      <w:r w:rsidRPr="00F4695A">
        <w:rPr>
          <w:sz w:val="20"/>
          <w:szCs w:val="22"/>
        </w:rPr>
        <w:t xml:space="preserve"> recipients of all the other three forms of </w:t>
      </w:r>
      <w:r w:rsidR="00EE0367" w:rsidRPr="00F4695A">
        <w:rPr>
          <w:sz w:val="20"/>
          <w:szCs w:val="22"/>
        </w:rPr>
        <w:t>assistance</w:t>
      </w:r>
      <w:r w:rsidRPr="00F4695A">
        <w:rPr>
          <w:sz w:val="20"/>
          <w:szCs w:val="22"/>
        </w:rPr>
        <w:t xml:space="preserve"> by orders of magnitude, and since relatively few elderly people have dependent children. Furthermore, to the extent that </w:t>
      </w:r>
      <w:r w:rsidRPr="00EB0D75">
        <w:rPr>
          <w:spacing w:val="6"/>
          <w:sz w:val="20"/>
          <w:szCs w:val="22"/>
        </w:rPr>
        <w:t>such double-counting occurs proportionally in every state, transforming total</w:t>
      </w:r>
      <w:r w:rsidRPr="00F4695A">
        <w:rPr>
          <w:sz w:val="20"/>
          <w:szCs w:val="22"/>
        </w:rPr>
        <w:t xml:space="preserve"> recipients into state share of the national total eliminates any problem.</w:t>
      </w:r>
    </w:p>
    <w:p w:rsidR="0027359B" w:rsidRPr="00F4695A" w:rsidRDefault="0027359B" w:rsidP="00F4695A">
      <w:pPr>
        <w:jc w:val="both"/>
        <w:rPr>
          <w:sz w:val="20"/>
          <w:szCs w:val="22"/>
        </w:rPr>
      </w:pPr>
    </w:p>
    <w:p w:rsidR="0027359B" w:rsidRDefault="0027359B" w:rsidP="00F4695A">
      <w:pPr>
        <w:jc w:val="both"/>
        <w:rPr>
          <w:sz w:val="20"/>
          <w:szCs w:val="22"/>
        </w:rPr>
      </w:pPr>
      <w:r w:rsidRPr="00F4695A">
        <w:rPr>
          <w:sz w:val="20"/>
          <w:szCs w:val="22"/>
        </w:rPr>
        <w:t>(C) We found no state-level information on child poverty counts beyond the 1964 information printed in the House Conference Report (</w:t>
      </w:r>
      <w:r w:rsidR="008C0AA0">
        <w:rPr>
          <w:rFonts w:cs="Linux Libertine"/>
          <w:sz w:val="20"/>
          <w:szCs w:val="22"/>
        </w:rPr>
        <w:t>U.S. House</w:t>
      </w:r>
      <w:r w:rsidR="008C0AA0" w:rsidRPr="00F4695A">
        <w:rPr>
          <w:rFonts w:cs="Linux Libertine"/>
          <w:sz w:val="20"/>
          <w:szCs w:val="22"/>
        </w:rPr>
        <w:t xml:space="preserve"> </w:t>
      </w:r>
      <w:r w:rsidRPr="00F4695A">
        <w:rPr>
          <w:rFonts w:cs="Linux Libertine"/>
          <w:sz w:val="20"/>
          <w:szCs w:val="22"/>
        </w:rPr>
        <w:t>88-1458</w:t>
      </w:r>
      <w:r w:rsidRPr="00F4695A">
        <w:rPr>
          <w:sz w:val="20"/>
          <w:szCs w:val="22"/>
        </w:rPr>
        <w:t xml:space="preserve"> 1964</w:t>
      </w:r>
      <w:r w:rsidR="00BB1EB3">
        <w:rPr>
          <w:sz w:val="20"/>
          <w:szCs w:val="22"/>
        </w:rPr>
        <w:t xml:space="preserve"> p.</w:t>
      </w:r>
      <w:r w:rsidRPr="00F4695A">
        <w:rPr>
          <w:sz w:val="20"/>
          <w:szCs w:val="22"/>
        </w:rPr>
        <w:t xml:space="preserve"> 13), nor do we know how subsequent figures would have been computed at the OEO.</w:t>
      </w:r>
      <w:r w:rsidR="002108D7">
        <w:rPr>
          <w:sz w:val="20"/>
          <w:szCs w:val="22"/>
        </w:rPr>
        <w:t xml:space="preserve"> </w:t>
      </w:r>
      <w:r w:rsidRPr="00F4695A">
        <w:rPr>
          <w:sz w:val="20"/>
          <w:szCs w:val="22"/>
        </w:rPr>
        <w:t xml:space="preserve">Consequently, our primary analysis uses the published 1964 child poverty rates for </w:t>
      </w:r>
      <w:r w:rsidRPr="00F4695A">
        <w:rPr>
          <w:i/>
          <w:sz w:val="20"/>
          <w:szCs w:val="22"/>
        </w:rPr>
        <w:t>subsequent</w:t>
      </w:r>
      <w:r w:rsidRPr="00F4695A">
        <w:rPr>
          <w:sz w:val="20"/>
          <w:szCs w:val="22"/>
        </w:rPr>
        <w:t xml:space="preserve"> fiscal years. Because our state-level analysis relies on the index being what the OEO actually used, the lack of child poverty data could introduce measurement error.</w:t>
      </w:r>
      <w:r w:rsidR="002108D7">
        <w:rPr>
          <w:sz w:val="20"/>
          <w:szCs w:val="22"/>
        </w:rPr>
        <w:t xml:space="preserve"> </w:t>
      </w:r>
      <w:r w:rsidRPr="00F4695A">
        <w:rPr>
          <w:sz w:val="20"/>
          <w:szCs w:val="22"/>
        </w:rPr>
        <w:t>Therefore, we also examine the robustness of our results to a measure of child poverty that is linearly interpolated between 1964 and the 1970 census, which we compute using the 1970 IPUMS Census 1</w:t>
      </w:r>
      <w:r w:rsidR="00BB1EB3">
        <w:rPr>
          <w:sz w:val="20"/>
          <w:szCs w:val="22"/>
        </w:rPr>
        <w:t xml:space="preserve"> percent</w:t>
      </w:r>
      <w:r w:rsidRPr="00F4695A">
        <w:rPr>
          <w:sz w:val="20"/>
          <w:szCs w:val="22"/>
        </w:rPr>
        <w:t xml:space="preserve"> sample. </w:t>
      </w:r>
    </w:p>
    <w:p w:rsidR="00AE216B" w:rsidRPr="00AE216B" w:rsidRDefault="00AE216B" w:rsidP="00F4695A">
      <w:pPr>
        <w:jc w:val="both"/>
        <w:rPr>
          <w:sz w:val="20"/>
          <w:szCs w:val="22"/>
        </w:rPr>
      </w:pPr>
    </w:p>
    <w:p w:rsidR="0027359B" w:rsidRDefault="00AE216B" w:rsidP="00AE216B">
      <w:pPr>
        <w:pStyle w:val="Heading2"/>
        <w:spacing w:line="240" w:lineRule="auto"/>
        <w:rPr>
          <w:b w:val="0"/>
          <w:sz w:val="20"/>
          <w:szCs w:val="22"/>
        </w:rPr>
      </w:pPr>
      <w:r w:rsidRPr="00AE216B">
        <w:rPr>
          <w:b w:val="0"/>
          <w:sz w:val="20"/>
          <w:szCs w:val="22"/>
        </w:rPr>
        <w:t>COUNTY-LEVEL DATA</w:t>
      </w:r>
    </w:p>
    <w:p w:rsidR="00F67F85" w:rsidRPr="00F67F85" w:rsidRDefault="00F67F85" w:rsidP="00F67F85">
      <w:pPr>
        <w:rPr>
          <w:sz w:val="16"/>
        </w:rPr>
      </w:pPr>
    </w:p>
    <w:p w:rsidR="00CD6DAA" w:rsidRDefault="00AE216B" w:rsidP="00AE216B">
      <w:pPr>
        <w:tabs>
          <w:tab w:val="left" w:pos="200"/>
        </w:tabs>
        <w:jc w:val="both"/>
        <w:rPr>
          <w:sz w:val="20"/>
          <w:szCs w:val="22"/>
        </w:rPr>
      </w:pPr>
      <w:r>
        <w:rPr>
          <w:sz w:val="20"/>
          <w:szCs w:val="22"/>
        </w:rPr>
        <w:tab/>
      </w:r>
      <w:r w:rsidR="0027359B" w:rsidRPr="00F4695A">
        <w:rPr>
          <w:sz w:val="20"/>
          <w:szCs w:val="22"/>
        </w:rPr>
        <w:t xml:space="preserve">Except as noted, all data are reported at, aggregated to, or mapped onto consistent </w:t>
      </w:r>
      <w:r w:rsidR="0027359B" w:rsidRPr="00937E1E">
        <w:rPr>
          <w:spacing w:val="6"/>
          <w:sz w:val="20"/>
          <w:szCs w:val="22"/>
        </w:rPr>
        <w:t>geographic units. The final data set contains 3,091 counties</w:t>
      </w:r>
      <w:r w:rsidR="0027359B" w:rsidRPr="00937E1E">
        <w:rPr>
          <w:rStyle w:val="FootnoteReference"/>
          <w:spacing w:val="6"/>
          <w:sz w:val="20"/>
          <w:szCs w:val="22"/>
        </w:rPr>
        <w:footnoteReference w:id="2"/>
      </w:r>
      <w:r w:rsidR="00937E1E">
        <w:rPr>
          <w:spacing w:val="6"/>
          <w:sz w:val="20"/>
          <w:szCs w:val="22"/>
        </w:rPr>
        <w:t xml:space="preserve"> or </w:t>
      </w:r>
      <w:proofErr w:type="spellStart"/>
      <w:r w:rsidR="00937E1E">
        <w:rPr>
          <w:spacing w:val="6"/>
          <w:sz w:val="20"/>
          <w:szCs w:val="22"/>
        </w:rPr>
        <w:t>super</w:t>
      </w:r>
      <w:r w:rsidR="0027359B" w:rsidRPr="00937E1E">
        <w:rPr>
          <w:spacing w:val="6"/>
          <w:sz w:val="20"/>
          <w:szCs w:val="22"/>
        </w:rPr>
        <w:t>counties</w:t>
      </w:r>
      <w:proofErr w:type="spellEnd"/>
      <w:r w:rsidR="0027359B" w:rsidRPr="00F4695A">
        <w:rPr>
          <w:sz w:val="20"/>
          <w:szCs w:val="22"/>
        </w:rPr>
        <w:t xml:space="preserve">. </w:t>
      </w:r>
      <w:r w:rsidR="00F67F85" w:rsidRPr="007D4E62">
        <w:rPr>
          <w:w w:val="97"/>
        </w:rPr>
        <w:br/>
      </w:r>
    </w:p>
    <w:p w:rsidR="0027359B" w:rsidRPr="00F4695A" w:rsidRDefault="002C26AD" w:rsidP="00AE216B">
      <w:pPr>
        <w:tabs>
          <w:tab w:val="left" w:pos="200"/>
        </w:tabs>
        <w:jc w:val="both"/>
        <w:rPr>
          <w:sz w:val="20"/>
          <w:szCs w:val="22"/>
        </w:rPr>
      </w:pPr>
      <w:proofErr w:type="spellStart"/>
      <w:r w:rsidRPr="002C26AD">
        <w:rPr>
          <w:spacing w:val="6"/>
          <w:sz w:val="20"/>
          <w:szCs w:val="22"/>
        </w:rPr>
        <w:lastRenderedPageBreak/>
        <w:t>Super</w:t>
      </w:r>
      <w:r w:rsidR="0027359B" w:rsidRPr="002C26AD">
        <w:rPr>
          <w:spacing w:val="6"/>
          <w:sz w:val="20"/>
          <w:szCs w:val="22"/>
        </w:rPr>
        <w:t>counties</w:t>
      </w:r>
      <w:proofErr w:type="spellEnd"/>
      <w:r w:rsidR="0027359B" w:rsidRPr="002C26AD">
        <w:rPr>
          <w:spacing w:val="6"/>
          <w:sz w:val="20"/>
          <w:szCs w:val="22"/>
        </w:rPr>
        <w:t xml:space="preserve"> are the aggregations of individual counties into a single unit for</w:t>
      </w:r>
      <w:r w:rsidR="0027359B" w:rsidRPr="00F4695A">
        <w:rPr>
          <w:sz w:val="20"/>
          <w:szCs w:val="22"/>
        </w:rPr>
        <w:t xml:space="preserve"> analysis, either because so</w:t>
      </w:r>
      <w:r>
        <w:rPr>
          <w:sz w:val="20"/>
          <w:szCs w:val="22"/>
        </w:rPr>
        <w:t xml:space="preserve">me data are reported at a </w:t>
      </w:r>
      <w:proofErr w:type="spellStart"/>
      <w:r>
        <w:rPr>
          <w:sz w:val="20"/>
          <w:szCs w:val="22"/>
        </w:rPr>
        <w:t>super</w:t>
      </w:r>
      <w:r w:rsidR="0027359B" w:rsidRPr="00F4695A">
        <w:rPr>
          <w:sz w:val="20"/>
          <w:szCs w:val="22"/>
        </w:rPr>
        <w:t>county</w:t>
      </w:r>
      <w:proofErr w:type="spellEnd"/>
      <w:r w:rsidR="0027359B" w:rsidRPr="00F4695A">
        <w:rPr>
          <w:sz w:val="20"/>
          <w:szCs w:val="22"/>
        </w:rPr>
        <w:t xml:space="preserve"> level, or because county boundaries change over th</w:t>
      </w:r>
      <w:r>
        <w:rPr>
          <w:sz w:val="20"/>
          <w:szCs w:val="22"/>
        </w:rPr>
        <w:t>e period of study.</w:t>
      </w:r>
      <w:r w:rsidR="002108D7">
        <w:rPr>
          <w:sz w:val="20"/>
          <w:szCs w:val="22"/>
        </w:rPr>
        <w:t xml:space="preserve"> </w:t>
      </w:r>
      <w:r>
        <w:rPr>
          <w:sz w:val="20"/>
          <w:szCs w:val="22"/>
        </w:rPr>
        <w:t xml:space="preserve">These </w:t>
      </w:r>
      <w:proofErr w:type="spellStart"/>
      <w:r>
        <w:rPr>
          <w:sz w:val="20"/>
          <w:szCs w:val="22"/>
        </w:rPr>
        <w:t>super</w:t>
      </w:r>
      <w:r w:rsidR="0027359B" w:rsidRPr="00F4695A">
        <w:rPr>
          <w:sz w:val="20"/>
          <w:szCs w:val="22"/>
        </w:rPr>
        <w:t>counties</w:t>
      </w:r>
      <w:proofErr w:type="spellEnd"/>
      <w:r w:rsidR="0027359B" w:rsidRPr="00F4695A">
        <w:rPr>
          <w:sz w:val="20"/>
          <w:szCs w:val="22"/>
        </w:rPr>
        <w:t xml:space="preserve"> include: </w:t>
      </w:r>
    </w:p>
    <w:p w:rsidR="0027359B" w:rsidRPr="00F4695A" w:rsidRDefault="0027359B" w:rsidP="00F4695A">
      <w:pPr>
        <w:ind w:firstLine="720"/>
        <w:jc w:val="both"/>
        <w:rPr>
          <w:sz w:val="20"/>
          <w:szCs w:val="22"/>
        </w:rPr>
      </w:pPr>
      <w:r w:rsidRPr="00F4695A">
        <w:rPr>
          <w:sz w:val="20"/>
          <w:szCs w:val="22"/>
        </w:rPr>
        <w:t xml:space="preserve">(1) the five boroughs comprising New York City; </w:t>
      </w:r>
    </w:p>
    <w:p w:rsidR="0027359B" w:rsidRPr="00F4695A" w:rsidRDefault="0027359B" w:rsidP="00F4695A">
      <w:pPr>
        <w:ind w:firstLine="720"/>
        <w:jc w:val="both"/>
        <w:rPr>
          <w:sz w:val="20"/>
          <w:szCs w:val="22"/>
        </w:rPr>
      </w:pPr>
      <w:r w:rsidRPr="00F4695A">
        <w:rPr>
          <w:sz w:val="20"/>
          <w:szCs w:val="22"/>
        </w:rPr>
        <w:t xml:space="preserve">(2) Menominee, Oconto, and Shawano </w:t>
      </w:r>
      <w:r w:rsidR="00115126" w:rsidRPr="00F4695A">
        <w:rPr>
          <w:sz w:val="20"/>
          <w:szCs w:val="22"/>
        </w:rPr>
        <w:t>Countie</w:t>
      </w:r>
      <w:r w:rsidRPr="00F4695A">
        <w:rPr>
          <w:sz w:val="20"/>
          <w:szCs w:val="22"/>
        </w:rPr>
        <w:t xml:space="preserve">s, Wisconsin; </w:t>
      </w:r>
    </w:p>
    <w:p w:rsidR="0027359B" w:rsidRPr="00F4695A" w:rsidRDefault="0027359B" w:rsidP="00F4695A">
      <w:pPr>
        <w:ind w:firstLine="720"/>
        <w:jc w:val="both"/>
        <w:rPr>
          <w:sz w:val="20"/>
          <w:szCs w:val="22"/>
        </w:rPr>
      </w:pPr>
      <w:r w:rsidRPr="00F4695A">
        <w:rPr>
          <w:sz w:val="20"/>
          <w:szCs w:val="22"/>
        </w:rPr>
        <w:t xml:space="preserve">(3) La Paz and Yuma, Arizona; </w:t>
      </w:r>
    </w:p>
    <w:p w:rsidR="0027359B" w:rsidRPr="00F4695A" w:rsidRDefault="0027359B" w:rsidP="00F4695A">
      <w:pPr>
        <w:ind w:firstLine="720"/>
        <w:jc w:val="both"/>
        <w:rPr>
          <w:sz w:val="20"/>
          <w:szCs w:val="22"/>
        </w:rPr>
      </w:pPr>
      <w:r w:rsidRPr="00F4695A">
        <w:rPr>
          <w:sz w:val="20"/>
          <w:szCs w:val="22"/>
        </w:rPr>
        <w:t xml:space="preserve">(4) Cibola and Valencia, New Mexico; </w:t>
      </w:r>
    </w:p>
    <w:p w:rsidR="0027359B" w:rsidRPr="00F4695A" w:rsidRDefault="0027359B" w:rsidP="00F4695A">
      <w:pPr>
        <w:ind w:firstLine="720"/>
        <w:jc w:val="both"/>
        <w:rPr>
          <w:sz w:val="20"/>
          <w:szCs w:val="22"/>
        </w:rPr>
      </w:pPr>
      <w:r w:rsidRPr="00F4695A">
        <w:rPr>
          <w:sz w:val="20"/>
          <w:szCs w:val="22"/>
        </w:rPr>
        <w:t xml:space="preserve">(5) Washabaugh and Jackson, South Dakota; </w:t>
      </w:r>
    </w:p>
    <w:p w:rsidR="0027359B" w:rsidRPr="00F4695A" w:rsidRDefault="0027359B" w:rsidP="00F4695A">
      <w:pPr>
        <w:ind w:firstLine="720"/>
        <w:jc w:val="both"/>
        <w:rPr>
          <w:sz w:val="20"/>
          <w:szCs w:val="22"/>
        </w:rPr>
      </w:pPr>
      <w:r w:rsidRPr="00F4695A">
        <w:rPr>
          <w:sz w:val="20"/>
          <w:szCs w:val="22"/>
        </w:rPr>
        <w:t xml:space="preserve">(6) Armstrong and Dewey, South Dakota; </w:t>
      </w:r>
    </w:p>
    <w:p w:rsidR="0027359B" w:rsidRPr="00C73D43" w:rsidRDefault="0027359B" w:rsidP="00706644">
      <w:pPr>
        <w:ind w:left="720"/>
        <w:jc w:val="both"/>
        <w:rPr>
          <w:sz w:val="20"/>
          <w:szCs w:val="22"/>
        </w:rPr>
      </w:pPr>
      <w:r w:rsidRPr="00F4695A">
        <w:rPr>
          <w:sz w:val="20"/>
          <w:szCs w:val="22"/>
        </w:rPr>
        <w:t xml:space="preserve">(7) Yellowstone National Park designated area and Yellowstone </w:t>
      </w:r>
      <w:r w:rsidR="00115126" w:rsidRPr="00F4695A">
        <w:rPr>
          <w:sz w:val="20"/>
          <w:szCs w:val="22"/>
        </w:rPr>
        <w:t>County</w:t>
      </w:r>
      <w:r w:rsidRPr="00F4695A">
        <w:rPr>
          <w:sz w:val="20"/>
          <w:szCs w:val="22"/>
        </w:rPr>
        <w:t xml:space="preserve">, </w:t>
      </w:r>
      <w:r w:rsidRPr="00C73D43">
        <w:rPr>
          <w:sz w:val="20"/>
          <w:szCs w:val="22"/>
        </w:rPr>
        <w:t xml:space="preserve">Montana; </w:t>
      </w:r>
    </w:p>
    <w:p w:rsidR="0027359B" w:rsidRPr="00F4695A" w:rsidRDefault="0027359B" w:rsidP="00F4695A">
      <w:pPr>
        <w:ind w:firstLine="720"/>
        <w:jc w:val="both"/>
        <w:rPr>
          <w:sz w:val="20"/>
          <w:szCs w:val="22"/>
        </w:rPr>
      </w:pPr>
      <w:r w:rsidRPr="00F4695A">
        <w:rPr>
          <w:sz w:val="20"/>
          <w:szCs w:val="22"/>
        </w:rPr>
        <w:t xml:space="preserve">(8) Yellowstone National Park designated area and Park </w:t>
      </w:r>
      <w:r w:rsidR="00115126" w:rsidRPr="00F4695A">
        <w:rPr>
          <w:sz w:val="20"/>
          <w:szCs w:val="22"/>
        </w:rPr>
        <w:t>Count</w:t>
      </w:r>
      <w:r w:rsidRPr="00F4695A">
        <w:rPr>
          <w:sz w:val="20"/>
          <w:szCs w:val="22"/>
        </w:rPr>
        <w:t xml:space="preserve">y, Wyoming; </w:t>
      </w:r>
    </w:p>
    <w:p w:rsidR="0027359B" w:rsidRPr="00F4695A" w:rsidRDefault="0027359B" w:rsidP="00F4695A">
      <w:pPr>
        <w:ind w:firstLine="720"/>
        <w:jc w:val="both"/>
        <w:rPr>
          <w:sz w:val="20"/>
          <w:szCs w:val="22"/>
        </w:rPr>
      </w:pPr>
      <w:r w:rsidRPr="00F4695A">
        <w:rPr>
          <w:sz w:val="20"/>
          <w:szCs w:val="22"/>
        </w:rPr>
        <w:t xml:space="preserve">(9) Lexington </w:t>
      </w:r>
      <w:r w:rsidR="00F8023B" w:rsidRPr="00F4695A">
        <w:rPr>
          <w:sz w:val="20"/>
          <w:szCs w:val="22"/>
        </w:rPr>
        <w:t>City</w:t>
      </w:r>
      <w:r w:rsidRPr="00F4695A">
        <w:rPr>
          <w:sz w:val="20"/>
          <w:szCs w:val="22"/>
        </w:rPr>
        <w:t xml:space="preserve"> and Rockbridge </w:t>
      </w:r>
      <w:r w:rsidR="00115126" w:rsidRPr="00F4695A">
        <w:rPr>
          <w:sz w:val="20"/>
          <w:szCs w:val="22"/>
        </w:rPr>
        <w:t>County</w:t>
      </w:r>
      <w:r w:rsidRPr="00F4695A">
        <w:rPr>
          <w:sz w:val="20"/>
          <w:szCs w:val="22"/>
        </w:rPr>
        <w:t xml:space="preserve">, Virginia; </w:t>
      </w:r>
    </w:p>
    <w:p w:rsidR="0027359B" w:rsidRPr="00F4695A" w:rsidRDefault="0027359B" w:rsidP="00F4695A">
      <w:pPr>
        <w:ind w:firstLine="720"/>
        <w:jc w:val="both"/>
        <w:rPr>
          <w:sz w:val="20"/>
          <w:szCs w:val="22"/>
        </w:rPr>
      </w:pPr>
      <w:r w:rsidRPr="00F4695A">
        <w:rPr>
          <w:sz w:val="20"/>
          <w:szCs w:val="22"/>
        </w:rPr>
        <w:t xml:space="preserve">(10) Elizabeth </w:t>
      </w:r>
      <w:r w:rsidR="00F8023B" w:rsidRPr="00F4695A">
        <w:rPr>
          <w:sz w:val="20"/>
          <w:szCs w:val="22"/>
        </w:rPr>
        <w:t xml:space="preserve">City </w:t>
      </w:r>
      <w:r w:rsidRPr="00F4695A">
        <w:rPr>
          <w:sz w:val="20"/>
          <w:szCs w:val="22"/>
        </w:rPr>
        <w:t xml:space="preserve">and Hampton </w:t>
      </w:r>
      <w:r w:rsidR="005C64FF" w:rsidRPr="00F4695A">
        <w:rPr>
          <w:sz w:val="20"/>
          <w:szCs w:val="22"/>
        </w:rPr>
        <w:t>City</w:t>
      </w:r>
      <w:r w:rsidRPr="00F4695A">
        <w:rPr>
          <w:sz w:val="20"/>
          <w:szCs w:val="22"/>
        </w:rPr>
        <w:t xml:space="preserve">, Virginia; </w:t>
      </w:r>
    </w:p>
    <w:p w:rsidR="0027359B" w:rsidRPr="00F4695A" w:rsidRDefault="0027359B" w:rsidP="00F4695A">
      <w:pPr>
        <w:ind w:firstLine="720"/>
        <w:jc w:val="both"/>
        <w:rPr>
          <w:sz w:val="20"/>
          <w:szCs w:val="22"/>
        </w:rPr>
      </w:pPr>
      <w:r w:rsidRPr="00F4695A">
        <w:rPr>
          <w:sz w:val="20"/>
          <w:szCs w:val="22"/>
        </w:rPr>
        <w:t xml:space="preserve">(11) Emporia </w:t>
      </w:r>
      <w:r w:rsidR="00F8023B" w:rsidRPr="00F4695A">
        <w:rPr>
          <w:sz w:val="20"/>
          <w:szCs w:val="22"/>
        </w:rPr>
        <w:t xml:space="preserve">City </w:t>
      </w:r>
      <w:r w:rsidRPr="00F4695A">
        <w:rPr>
          <w:sz w:val="20"/>
          <w:szCs w:val="22"/>
        </w:rPr>
        <w:t xml:space="preserve">and Greensville </w:t>
      </w:r>
      <w:r w:rsidR="00115126" w:rsidRPr="00F4695A">
        <w:rPr>
          <w:sz w:val="20"/>
          <w:szCs w:val="22"/>
        </w:rPr>
        <w:t>County</w:t>
      </w:r>
      <w:r w:rsidRPr="00F4695A">
        <w:rPr>
          <w:sz w:val="20"/>
          <w:szCs w:val="22"/>
        </w:rPr>
        <w:t xml:space="preserve">, Virginia; </w:t>
      </w:r>
    </w:p>
    <w:p w:rsidR="0027359B" w:rsidRPr="00F4695A" w:rsidRDefault="0027359B" w:rsidP="00706644">
      <w:pPr>
        <w:ind w:left="720"/>
        <w:jc w:val="both"/>
        <w:rPr>
          <w:sz w:val="20"/>
          <w:szCs w:val="22"/>
        </w:rPr>
      </w:pPr>
      <w:r w:rsidRPr="00F4695A">
        <w:rPr>
          <w:sz w:val="20"/>
          <w:szCs w:val="22"/>
        </w:rPr>
        <w:t xml:space="preserve">(12) Norfolk </w:t>
      </w:r>
      <w:r w:rsidR="00115126" w:rsidRPr="00F4695A">
        <w:rPr>
          <w:sz w:val="20"/>
          <w:szCs w:val="22"/>
        </w:rPr>
        <w:t xml:space="preserve">County </w:t>
      </w:r>
      <w:r w:rsidRPr="00F4695A">
        <w:rPr>
          <w:sz w:val="20"/>
          <w:szCs w:val="22"/>
        </w:rPr>
        <w:t xml:space="preserve">and South Norfolk </w:t>
      </w:r>
      <w:r w:rsidR="00F8023B" w:rsidRPr="00F4695A">
        <w:rPr>
          <w:sz w:val="20"/>
          <w:szCs w:val="22"/>
        </w:rPr>
        <w:t xml:space="preserve">City </w:t>
      </w:r>
      <w:r w:rsidRPr="00F4695A">
        <w:rPr>
          <w:sz w:val="20"/>
          <w:szCs w:val="22"/>
        </w:rPr>
        <w:t xml:space="preserve">become Chesapeake </w:t>
      </w:r>
      <w:r w:rsidR="00F8023B" w:rsidRPr="00F4695A">
        <w:rPr>
          <w:sz w:val="20"/>
          <w:szCs w:val="22"/>
        </w:rPr>
        <w:t>City</w:t>
      </w:r>
      <w:r w:rsidRPr="00F4695A">
        <w:rPr>
          <w:sz w:val="20"/>
          <w:szCs w:val="22"/>
        </w:rPr>
        <w:t xml:space="preserve">, </w:t>
      </w:r>
      <w:r w:rsidRPr="00C73D43">
        <w:rPr>
          <w:sz w:val="20"/>
          <w:szCs w:val="22"/>
        </w:rPr>
        <w:t>Virginia;</w:t>
      </w:r>
      <w:r w:rsidRPr="00F4695A">
        <w:rPr>
          <w:sz w:val="20"/>
          <w:szCs w:val="22"/>
        </w:rPr>
        <w:t xml:space="preserve"> </w:t>
      </w:r>
    </w:p>
    <w:p w:rsidR="0027359B" w:rsidRPr="00F4695A" w:rsidRDefault="0027359B" w:rsidP="00F4695A">
      <w:pPr>
        <w:ind w:firstLine="720"/>
        <w:jc w:val="both"/>
        <w:rPr>
          <w:sz w:val="20"/>
          <w:szCs w:val="22"/>
        </w:rPr>
      </w:pPr>
      <w:r w:rsidRPr="00F4695A">
        <w:rPr>
          <w:sz w:val="20"/>
          <w:szCs w:val="22"/>
        </w:rPr>
        <w:t xml:space="preserve">(13) Princess Anne </w:t>
      </w:r>
      <w:r w:rsidR="00115126" w:rsidRPr="00F4695A">
        <w:rPr>
          <w:sz w:val="20"/>
          <w:szCs w:val="22"/>
        </w:rPr>
        <w:t xml:space="preserve">County </w:t>
      </w:r>
      <w:r w:rsidRPr="00F4695A">
        <w:rPr>
          <w:sz w:val="20"/>
          <w:szCs w:val="22"/>
        </w:rPr>
        <w:t xml:space="preserve">and Virginia Beach </w:t>
      </w:r>
      <w:r w:rsidR="008415D8" w:rsidRPr="00F4695A">
        <w:rPr>
          <w:sz w:val="20"/>
          <w:szCs w:val="22"/>
        </w:rPr>
        <w:t>City</w:t>
      </w:r>
      <w:r w:rsidRPr="00F4695A">
        <w:rPr>
          <w:sz w:val="20"/>
          <w:szCs w:val="22"/>
        </w:rPr>
        <w:t xml:space="preserve">, Virginia; </w:t>
      </w:r>
    </w:p>
    <w:p w:rsidR="0027359B" w:rsidRPr="00F4695A" w:rsidRDefault="0027359B" w:rsidP="00F4695A">
      <w:pPr>
        <w:ind w:firstLine="720"/>
        <w:jc w:val="both"/>
        <w:rPr>
          <w:sz w:val="20"/>
          <w:szCs w:val="22"/>
        </w:rPr>
      </w:pPr>
      <w:r w:rsidRPr="00F4695A">
        <w:rPr>
          <w:sz w:val="20"/>
          <w:szCs w:val="22"/>
        </w:rPr>
        <w:t xml:space="preserve">(14) Franklin </w:t>
      </w:r>
      <w:r w:rsidR="008415D8" w:rsidRPr="00F4695A">
        <w:rPr>
          <w:sz w:val="20"/>
          <w:szCs w:val="22"/>
        </w:rPr>
        <w:t xml:space="preserve">City </w:t>
      </w:r>
      <w:r w:rsidRPr="00F4695A">
        <w:rPr>
          <w:sz w:val="20"/>
          <w:szCs w:val="22"/>
        </w:rPr>
        <w:t xml:space="preserve">and Southampton </w:t>
      </w:r>
      <w:r w:rsidR="00115126" w:rsidRPr="00F4695A">
        <w:rPr>
          <w:sz w:val="20"/>
          <w:szCs w:val="22"/>
        </w:rPr>
        <w:t>County</w:t>
      </w:r>
      <w:r w:rsidRPr="00F4695A">
        <w:rPr>
          <w:sz w:val="20"/>
          <w:szCs w:val="22"/>
        </w:rPr>
        <w:t xml:space="preserve">, Virginia; </w:t>
      </w:r>
    </w:p>
    <w:p w:rsidR="0027359B" w:rsidRPr="00F4695A" w:rsidRDefault="0027359B" w:rsidP="00F4695A">
      <w:pPr>
        <w:ind w:firstLine="720"/>
        <w:jc w:val="both"/>
        <w:rPr>
          <w:sz w:val="20"/>
          <w:szCs w:val="22"/>
        </w:rPr>
      </w:pPr>
      <w:r w:rsidRPr="00F4695A">
        <w:rPr>
          <w:sz w:val="20"/>
          <w:szCs w:val="22"/>
        </w:rPr>
        <w:t xml:space="preserve">(15) Warwick </w:t>
      </w:r>
      <w:r w:rsidR="00115126" w:rsidRPr="00F4695A">
        <w:rPr>
          <w:sz w:val="20"/>
          <w:szCs w:val="22"/>
        </w:rPr>
        <w:t xml:space="preserve">County </w:t>
      </w:r>
      <w:r w:rsidRPr="00F4695A">
        <w:rPr>
          <w:sz w:val="20"/>
          <w:szCs w:val="22"/>
        </w:rPr>
        <w:t xml:space="preserve">and </w:t>
      </w:r>
      <w:r w:rsidR="008415D8" w:rsidRPr="00F4695A">
        <w:rPr>
          <w:sz w:val="20"/>
          <w:szCs w:val="22"/>
        </w:rPr>
        <w:t>City</w:t>
      </w:r>
      <w:r w:rsidRPr="00F4695A">
        <w:rPr>
          <w:sz w:val="20"/>
          <w:szCs w:val="22"/>
        </w:rPr>
        <w:t xml:space="preserve"> and Newport News </w:t>
      </w:r>
      <w:r w:rsidR="008415D8" w:rsidRPr="00F4695A">
        <w:rPr>
          <w:sz w:val="20"/>
          <w:szCs w:val="22"/>
        </w:rPr>
        <w:t>City</w:t>
      </w:r>
      <w:r w:rsidRPr="00F4695A">
        <w:rPr>
          <w:sz w:val="20"/>
          <w:szCs w:val="22"/>
        </w:rPr>
        <w:t xml:space="preserve">, Virginia; </w:t>
      </w:r>
    </w:p>
    <w:p w:rsidR="0027359B" w:rsidRPr="00F4695A" w:rsidRDefault="0027359B" w:rsidP="00F4695A">
      <w:pPr>
        <w:ind w:firstLine="720"/>
        <w:jc w:val="both"/>
        <w:rPr>
          <w:sz w:val="20"/>
          <w:szCs w:val="22"/>
        </w:rPr>
      </w:pPr>
      <w:r w:rsidRPr="00F4695A">
        <w:rPr>
          <w:sz w:val="20"/>
          <w:szCs w:val="22"/>
        </w:rPr>
        <w:t xml:space="preserve">(16) Fairfax </w:t>
      </w:r>
      <w:r w:rsidR="008415D8" w:rsidRPr="00F4695A">
        <w:rPr>
          <w:sz w:val="20"/>
          <w:szCs w:val="22"/>
        </w:rPr>
        <w:t>City</w:t>
      </w:r>
      <w:r w:rsidRPr="00F4695A">
        <w:rPr>
          <w:sz w:val="20"/>
          <w:szCs w:val="22"/>
        </w:rPr>
        <w:t xml:space="preserve"> and Fairfax </w:t>
      </w:r>
      <w:r w:rsidR="00115126" w:rsidRPr="00F4695A">
        <w:rPr>
          <w:sz w:val="20"/>
          <w:szCs w:val="22"/>
        </w:rPr>
        <w:t>County</w:t>
      </w:r>
      <w:r w:rsidRPr="00F4695A">
        <w:rPr>
          <w:sz w:val="20"/>
          <w:szCs w:val="22"/>
        </w:rPr>
        <w:t xml:space="preserve">, Virginia; </w:t>
      </w:r>
    </w:p>
    <w:p w:rsidR="0027359B" w:rsidRPr="00F4695A" w:rsidRDefault="0027359B" w:rsidP="00F4695A">
      <w:pPr>
        <w:ind w:firstLine="720"/>
        <w:jc w:val="both"/>
        <w:rPr>
          <w:sz w:val="20"/>
          <w:szCs w:val="22"/>
        </w:rPr>
      </w:pPr>
      <w:r w:rsidRPr="00F4695A">
        <w:rPr>
          <w:sz w:val="20"/>
          <w:szCs w:val="22"/>
        </w:rPr>
        <w:t xml:space="preserve">(17) Salem </w:t>
      </w:r>
      <w:r w:rsidR="008415D8" w:rsidRPr="00F4695A">
        <w:rPr>
          <w:sz w:val="20"/>
          <w:szCs w:val="22"/>
        </w:rPr>
        <w:t xml:space="preserve">City </w:t>
      </w:r>
      <w:r w:rsidRPr="00F4695A">
        <w:rPr>
          <w:sz w:val="20"/>
          <w:szCs w:val="22"/>
        </w:rPr>
        <w:t xml:space="preserve">and Roanoke </w:t>
      </w:r>
      <w:r w:rsidR="00115126" w:rsidRPr="00F4695A">
        <w:rPr>
          <w:sz w:val="20"/>
          <w:szCs w:val="22"/>
        </w:rPr>
        <w:t>County,</w:t>
      </w:r>
      <w:r w:rsidRPr="00F4695A">
        <w:rPr>
          <w:sz w:val="20"/>
          <w:szCs w:val="22"/>
        </w:rPr>
        <w:t xml:space="preserve"> Virginia; </w:t>
      </w:r>
    </w:p>
    <w:p w:rsidR="0027359B" w:rsidRPr="00F4695A" w:rsidRDefault="0027359B" w:rsidP="00F4695A">
      <w:pPr>
        <w:ind w:firstLine="720"/>
        <w:jc w:val="both"/>
        <w:rPr>
          <w:sz w:val="20"/>
          <w:szCs w:val="22"/>
        </w:rPr>
      </w:pPr>
      <w:r w:rsidRPr="00F4695A">
        <w:rPr>
          <w:sz w:val="20"/>
          <w:szCs w:val="22"/>
        </w:rPr>
        <w:t xml:space="preserve">(18) Bedford </w:t>
      </w:r>
      <w:r w:rsidR="008415D8" w:rsidRPr="00F4695A">
        <w:rPr>
          <w:sz w:val="20"/>
          <w:szCs w:val="22"/>
        </w:rPr>
        <w:t xml:space="preserve">City </w:t>
      </w:r>
      <w:r w:rsidRPr="00F4695A">
        <w:rPr>
          <w:sz w:val="20"/>
          <w:szCs w:val="22"/>
        </w:rPr>
        <w:t xml:space="preserve">and Bedford </w:t>
      </w:r>
      <w:r w:rsidR="00115126" w:rsidRPr="00F4695A">
        <w:rPr>
          <w:sz w:val="20"/>
          <w:szCs w:val="22"/>
        </w:rPr>
        <w:t xml:space="preserve">County, </w:t>
      </w:r>
      <w:r w:rsidRPr="00F4695A">
        <w:rPr>
          <w:sz w:val="20"/>
          <w:szCs w:val="22"/>
        </w:rPr>
        <w:t xml:space="preserve">Virginia; </w:t>
      </w:r>
    </w:p>
    <w:p w:rsidR="0027359B" w:rsidRPr="00F4695A" w:rsidRDefault="0027359B" w:rsidP="00706644">
      <w:pPr>
        <w:ind w:left="720"/>
        <w:jc w:val="both"/>
        <w:rPr>
          <w:sz w:val="20"/>
          <w:szCs w:val="22"/>
        </w:rPr>
      </w:pPr>
      <w:r w:rsidRPr="00F4695A">
        <w:rPr>
          <w:sz w:val="20"/>
          <w:szCs w:val="22"/>
        </w:rPr>
        <w:t xml:space="preserve">(19) Manassas </w:t>
      </w:r>
      <w:r w:rsidR="008415D8" w:rsidRPr="00F4695A">
        <w:rPr>
          <w:sz w:val="20"/>
          <w:szCs w:val="22"/>
        </w:rPr>
        <w:t>City,</w:t>
      </w:r>
      <w:r w:rsidRPr="00F4695A">
        <w:rPr>
          <w:sz w:val="20"/>
          <w:szCs w:val="22"/>
        </w:rPr>
        <w:t xml:space="preserve"> Manassas Park </w:t>
      </w:r>
      <w:r w:rsidR="008415D8" w:rsidRPr="00F4695A">
        <w:rPr>
          <w:sz w:val="20"/>
          <w:szCs w:val="22"/>
        </w:rPr>
        <w:t xml:space="preserve">City, </w:t>
      </w:r>
      <w:r w:rsidRPr="00F4695A">
        <w:rPr>
          <w:sz w:val="20"/>
          <w:szCs w:val="22"/>
        </w:rPr>
        <w:t xml:space="preserve">and Prince William </w:t>
      </w:r>
      <w:r w:rsidR="00115126" w:rsidRPr="00F4695A">
        <w:rPr>
          <w:sz w:val="20"/>
          <w:szCs w:val="22"/>
        </w:rPr>
        <w:t>County</w:t>
      </w:r>
      <w:r w:rsidRPr="00F4695A">
        <w:rPr>
          <w:sz w:val="20"/>
          <w:szCs w:val="22"/>
        </w:rPr>
        <w:t xml:space="preserve">, </w:t>
      </w:r>
      <w:r w:rsidRPr="00C73D43">
        <w:rPr>
          <w:sz w:val="20"/>
          <w:szCs w:val="22"/>
        </w:rPr>
        <w:t>Virginia; and</w:t>
      </w:r>
      <w:r w:rsidRPr="00F4695A">
        <w:rPr>
          <w:sz w:val="20"/>
          <w:szCs w:val="22"/>
        </w:rPr>
        <w:t xml:space="preserve"> </w:t>
      </w:r>
    </w:p>
    <w:p w:rsidR="0027359B" w:rsidRPr="00F4695A" w:rsidRDefault="0027359B" w:rsidP="00F4695A">
      <w:pPr>
        <w:ind w:firstLine="720"/>
        <w:jc w:val="both"/>
        <w:rPr>
          <w:sz w:val="20"/>
          <w:szCs w:val="22"/>
        </w:rPr>
      </w:pPr>
      <w:proofErr w:type="gramStart"/>
      <w:r w:rsidRPr="00F4695A">
        <w:rPr>
          <w:sz w:val="20"/>
          <w:szCs w:val="22"/>
        </w:rPr>
        <w:t xml:space="preserve">(20) </w:t>
      </w:r>
      <w:proofErr w:type="spellStart"/>
      <w:r w:rsidRPr="00F4695A">
        <w:rPr>
          <w:sz w:val="20"/>
          <w:szCs w:val="22"/>
        </w:rPr>
        <w:t>Poquonson</w:t>
      </w:r>
      <w:proofErr w:type="spellEnd"/>
      <w:r w:rsidRPr="00F4695A">
        <w:rPr>
          <w:sz w:val="20"/>
          <w:szCs w:val="22"/>
        </w:rPr>
        <w:t xml:space="preserve"> </w:t>
      </w:r>
      <w:r w:rsidR="00715DF0" w:rsidRPr="00F4695A">
        <w:rPr>
          <w:sz w:val="20"/>
          <w:szCs w:val="22"/>
        </w:rPr>
        <w:t>Cit</w:t>
      </w:r>
      <w:r w:rsidRPr="00F4695A">
        <w:rPr>
          <w:sz w:val="20"/>
          <w:szCs w:val="22"/>
        </w:rPr>
        <w:t xml:space="preserve">y and York </w:t>
      </w:r>
      <w:r w:rsidR="00115126" w:rsidRPr="00F4695A">
        <w:rPr>
          <w:sz w:val="20"/>
          <w:szCs w:val="22"/>
        </w:rPr>
        <w:t>County</w:t>
      </w:r>
      <w:r w:rsidRPr="00F4695A">
        <w:rPr>
          <w:sz w:val="20"/>
          <w:szCs w:val="22"/>
        </w:rPr>
        <w:t>, Virginia.</w:t>
      </w:r>
      <w:proofErr w:type="gramEnd"/>
      <w:r w:rsidRPr="00F4695A">
        <w:rPr>
          <w:sz w:val="20"/>
          <w:szCs w:val="22"/>
        </w:rPr>
        <w:t xml:space="preserve"> </w:t>
      </w:r>
    </w:p>
    <w:p w:rsidR="00492177" w:rsidRDefault="00492177" w:rsidP="00F4695A">
      <w:pPr>
        <w:jc w:val="both"/>
        <w:rPr>
          <w:sz w:val="20"/>
          <w:szCs w:val="22"/>
        </w:rPr>
      </w:pPr>
    </w:p>
    <w:p w:rsidR="0027359B" w:rsidRPr="00F4695A" w:rsidRDefault="00492177" w:rsidP="00492177">
      <w:pPr>
        <w:tabs>
          <w:tab w:val="left" w:pos="200"/>
        </w:tabs>
        <w:jc w:val="both"/>
        <w:rPr>
          <w:sz w:val="20"/>
          <w:szCs w:val="22"/>
        </w:rPr>
      </w:pPr>
      <w:r>
        <w:rPr>
          <w:sz w:val="20"/>
          <w:szCs w:val="22"/>
        </w:rPr>
        <w:tab/>
      </w:r>
      <w:r w:rsidR="0027359B" w:rsidRPr="001D6801">
        <w:rPr>
          <w:spacing w:val="6"/>
          <w:sz w:val="20"/>
          <w:szCs w:val="22"/>
        </w:rPr>
        <w:t>For each of the data</w:t>
      </w:r>
      <w:r w:rsidR="00B70284" w:rsidRPr="001D6801">
        <w:rPr>
          <w:spacing w:val="6"/>
          <w:sz w:val="20"/>
          <w:szCs w:val="22"/>
        </w:rPr>
        <w:t xml:space="preserve"> </w:t>
      </w:r>
      <w:r w:rsidR="0027359B" w:rsidRPr="001D6801">
        <w:rPr>
          <w:spacing w:val="6"/>
          <w:sz w:val="20"/>
          <w:szCs w:val="22"/>
        </w:rPr>
        <w:t>sets described below, we aggregated county information</w:t>
      </w:r>
      <w:r w:rsidR="0027359B" w:rsidRPr="00F4695A">
        <w:rPr>
          <w:sz w:val="20"/>
          <w:szCs w:val="22"/>
        </w:rPr>
        <w:t xml:space="preserve"> </w:t>
      </w:r>
      <w:r w:rsidR="00C475BD" w:rsidRPr="007D4E62">
        <w:rPr>
          <w:w w:val="97"/>
        </w:rPr>
        <w:br/>
      </w:r>
      <w:r w:rsidR="0027359B" w:rsidRPr="00F4695A">
        <w:rPr>
          <w:sz w:val="20"/>
          <w:szCs w:val="22"/>
        </w:rPr>
        <w:t xml:space="preserve">(count information is summed and share information is population weighted) to our </w:t>
      </w:r>
      <w:r w:rsidR="00C475BD" w:rsidRPr="007D4E62">
        <w:rPr>
          <w:w w:val="97"/>
        </w:rPr>
        <w:br/>
      </w:r>
      <w:r w:rsidR="0027359B" w:rsidRPr="00F4695A">
        <w:rPr>
          <w:sz w:val="20"/>
          <w:szCs w:val="22"/>
        </w:rPr>
        <w:t>set of consistently identified counties and supercounties and then linked these data</w:t>
      </w:r>
      <w:r>
        <w:rPr>
          <w:sz w:val="20"/>
          <w:szCs w:val="22"/>
        </w:rPr>
        <w:t xml:space="preserve"> </w:t>
      </w:r>
      <w:r w:rsidR="00C475BD" w:rsidRPr="007D4E62">
        <w:rPr>
          <w:w w:val="97"/>
        </w:rPr>
        <w:br/>
      </w:r>
      <w:r w:rsidR="0027359B" w:rsidRPr="00154D55">
        <w:rPr>
          <w:spacing w:val="6"/>
          <w:sz w:val="20"/>
          <w:szCs w:val="22"/>
        </w:rPr>
        <w:t>sets together. Alaska, Hawaii</w:t>
      </w:r>
      <w:r w:rsidR="008A7097" w:rsidRPr="00154D55">
        <w:rPr>
          <w:spacing w:val="6"/>
          <w:sz w:val="20"/>
          <w:szCs w:val="22"/>
        </w:rPr>
        <w:t>,</w:t>
      </w:r>
      <w:r w:rsidR="0027359B" w:rsidRPr="00154D55">
        <w:rPr>
          <w:spacing w:val="6"/>
          <w:sz w:val="20"/>
          <w:szCs w:val="22"/>
        </w:rPr>
        <w:t xml:space="preserve"> and the District of Columbia are excluded from</w:t>
      </w:r>
      <w:r w:rsidR="0027359B" w:rsidRPr="00F4695A">
        <w:rPr>
          <w:sz w:val="20"/>
          <w:szCs w:val="22"/>
        </w:rPr>
        <w:t xml:space="preserve"> analysis.</w:t>
      </w:r>
      <w:r w:rsidR="002108D7">
        <w:rPr>
          <w:sz w:val="20"/>
          <w:szCs w:val="22"/>
        </w:rPr>
        <w:t xml:space="preserve"> </w:t>
      </w:r>
      <w:r w:rsidR="0027359B" w:rsidRPr="00F4695A">
        <w:rPr>
          <w:sz w:val="20"/>
          <w:szCs w:val="22"/>
        </w:rPr>
        <w:t xml:space="preserve">Additionally, Bradley and Independence </w:t>
      </w:r>
      <w:r w:rsidR="00DD5735" w:rsidRPr="00F4695A">
        <w:rPr>
          <w:sz w:val="20"/>
          <w:szCs w:val="22"/>
        </w:rPr>
        <w:t>Counties</w:t>
      </w:r>
      <w:r w:rsidR="0027359B" w:rsidRPr="00F4695A">
        <w:rPr>
          <w:sz w:val="20"/>
          <w:szCs w:val="22"/>
        </w:rPr>
        <w:t xml:space="preserve">, Arkansas, are missing 1960 presidential election data from all sources and are excluded from analysis. Necessarily, all are reported at the county level or lower. </w:t>
      </w:r>
    </w:p>
    <w:p w:rsidR="0027359B" w:rsidRPr="00447B4A" w:rsidRDefault="00492177" w:rsidP="00492177">
      <w:pPr>
        <w:tabs>
          <w:tab w:val="left" w:pos="200"/>
        </w:tabs>
        <w:jc w:val="both"/>
        <w:rPr>
          <w:sz w:val="20"/>
          <w:szCs w:val="22"/>
        </w:rPr>
      </w:pPr>
      <w:r w:rsidRPr="00447B4A">
        <w:rPr>
          <w:sz w:val="20"/>
          <w:szCs w:val="22"/>
        </w:rPr>
        <w:tab/>
      </w:r>
      <w:r w:rsidR="0027359B" w:rsidRPr="00447B4A">
        <w:rPr>
          <w:sz w:val="20"/>
          <w:szCs w:val="22"/>
        </w:rPr>
        <w:t>Figure 3 maps per</w:t>
      </w:r>
      <w:r w:rsidR="00B70284" w:rsidRPr="00447B4A">
        <w:rPr>
          <w:sz w:val="20"/>
          <w:szCs w:val="22"/>
        </w:rPr>
        <w:t xml:space="preserve"> </w:t>
      </w:r>
      <w:r w:rsidR="0027359B" w:rsidRPr="00447B4A">
        <w:rPr>
          <w:sz w:val="20"/>
          <w:szCs w:val="22"/>
        </w:rPr>
        <w:t>capita CAP spending at the county level using GIS shape files obtained from the Newberry Library (Siczewicz 2011). We extracted county borders as of December 31, 1959 from their panel of U</w:t>
      </w:r>
      <w:r w:rsidR="00FD468F" w:rsidRPr="00447B4A">
        <w:rPr>
          <w:sz w:val="20"/>
          <w:szCs w:val="22"/>
        </w:rPr>
        <w:t>.</w:t>
      </w:r>
      <w:r w:rsidR="0027359B" w:rsidRPr="00447B4A">
        <w:rPr>
          <w:sz w:val="20"/>
          <w:szCs w:val="22"/>
        </w:rPr>
        <w:t>S</w:t>
      </w:r>
      <w:r w:rsidR="00FD468F" w:rsidRPr="00447B4A">
        <w:rPr>
          <w:sz w:val="20"/>
          <w:szCs w:val="22"/>
        </w:rPr>
        <w:t>.</w:t>
      </w:r>
      <w:r w:rsidR="0027359B" w:rsidRPr="00447B4A">
        <w:rPr>
          <w:sz w:val="20"/>
          <w:szCs w:val="22"/>
        </w:rPr>
        <w:t xml:space="preserve"> historical county boundaries. </w:t>
      </w:r>
      <w:r w:rsidR="007B55D1" w:rsidRPr="007D4E62">
        <w:rPr>
          <w:w w:val="97"/>
        </w:rPr>
        <w:br/>
      </w:r>
      <w:r w:rsidR="0027359B" w:rsidRPr="00447B4A">
        <w:rPr>
          <w:sz w:val="20"/>
          <w:szCs w:val="22"/>
        </w:rPr>
        <w:t>In a small number of cases where map counties were mo</w:t>
      </w:r>
      <w:r w:rsidR="00B70284" w:rsidRPr="00447B4A">
        <w:rPr>
          <w:sz w:val="20"/>
          <w:szCs w:val="22"/>
        </w:rPr>
        <w:t xml:space="preserve">re disaggregated than our </w:t>
      </w:r>
      <w:proofErr w:type="spellStart"/>
      <w:r w:rsidR="00B70284" w:rsidRPr="00447B4A">
        <w:rPr>
          <w:sz w:val="20"/>
          <w:szCs w:val="22"/>
        </w:rPr>
        <w:t>supercounties</w:t>
      </w:r>
      <w:proofErr w:type="spellEnd"/>
      <w:r w:rsidR="00B70284" w:rsidRPr="00447B4A">
        <w:rPr>
          <w:sz w:val="20"/>
          <w:szCs w:val="22"/>
        </w:rPr>
        <w:t xml:space="preserve">, the </w:t>
      </w:r>
      <w:proofErr w:type="spellStart"/>
      <w:r w:rsidR="00B70284" w:rsidRPr="00447B4A">
        <w:rPr>
          <w:sz w:val="20"/>
          <w:szCs w:val="22"/>
        </w:rPr>
        <w:t>super</w:t>
      </w:r>
      <w:r w:rsidR="0027359B" w:rsidRPr="00447B4A">
        <w:rPr>
          <w:sz w:val="20"/>
          <w:szCs w:val="22"/>
        </w:rPr>
        <w:t>county</w:t>
      </w:r>
      <w:proofErr w:type="spellEnd"/>
      <w:r w:rsidR="0027359B" w:rsidRPr="00447B4A">
        <w:rPr>
          <w:sz w:val="20"/>
          <w:szCs w:val="22"/>
        </w:rPr>
        <w:t xml:space="preserve"> value is mapped in each constituent county. </w:t>
      </w:r>
    </w:p>
    <w:p w:rsidR="0027359B" w:rsidRPr="00BF2E38" w:rsidRDefault="0027359B" w:rsidP="0027359B">
      <w:pPr>
        <w:rPr>
          <w:sz w:val="22"/>
          <w:szCs w:val="22"/>
        </w:rPr>
      </w:pPr>
    </w:p>
    <w:p w:rsidR="0027359B" w:rsidRDefault="0027359B" w:rsidP="00A055FE">
      <w:pPr>
        <w:pStyle w:val="Dataset"/>
        <w:numPr>
          <w:ilvl w:val="0"/>
          <w:numId w:val="0"/>
        </w:numPr>
        <w:jc w:val="both"/>
        <w:rPr>
          <w:b w:val="0"/>
          <w:i/>
          <w:sz w:val="20"/>
          <w:szCs w:val="20"/>
        </w:rPr>
      </w:pPr>
      <w:r w:rsidRPr="00A055FE">
        <w:rPr>
          <w:b w:val="0"/>
          <w:i/>
          <w:sz w:val="20"/>
          <w:szCs w:val="20"/>
        </w:rPr>
        <w:t>Demographic Information</w:t>
      </w:r>
    </w:p>
    <w:p w:rsidR="00A055FE" w:rsidRPr="00A055FE" w:rsidRDefault="00A055FE" w:rsidP="00A055FE">
      <w:pPr>
        <w:pStyle w:val="Dataset"/>
        <w:numPr>
          <w:ilvl w:val="0"/>
          <w:numId w:val="0"/>
        </w:numPr>
        <w:jc w:val="both"/>
        <w:rPr>
          <w:b w:val="0"/>
          <w:i/>
          <w:sz w:val="20"/>
          <w:szCs w:val="20"/>
        </w:rPr>
      </w:pPr>
    </w:p>
    <w:p w:rsidR="00FA10DC" w:rsidRDefault="00A055FE" w:rsidP="00A055FE">
      <w:pPr>
        <w:tabs>
          <w:tab w:val="left" w:pos="200"/>
        </w:tabs>
        <w:jc w:val="both"/>
        <w:rPr>
          <w:sz w:val="20"/>
          <w:szCs w:val="20"/>
        </w:rPr>
      </w:pPr>
      <w:r>
        <w:rPr>
          <w:sz w:val="20"/>
          <w:szCs w:val="20"/>
        </w:rPr>
        <w:tab/>
      </w:r>
      <w:r w:rsidR="0027359B" w:rsidRPr="007D66F8">
        <w:rPr>
          <w:sz w:val="20"/>
          <w:szCs w:val="20"/>
        </w:rPr>
        <w:t>Demographic information are data entered from the U.S. Census publications and posted at ICPSR by Michael Haines (2010; ICPSR data</w:t>
      </w:r>
      <w:r w:rsidR="00006CA6">
        <w:rPr>
          <w:sz w:val="20"/>
          <w:szCs w:val="20"/>
        </w:rPr>
        <w:t xml:space="preserve"> </w:t>
      </w:r>
      <w:r w:rsidR="0027359B" w:rsidRPr="007D66F8">
        <w:rPr>
          <w:sz w:val="20"/>
          <w:szCs w:val="20"/>
        </w:rPr>
        <w:t>set 2896).</w:t>
      </w:r>
      <w:r w:rsidR="002108D7">
        <w:rPr>
          <w:sz w:val="20"/>
          <w:szCs w:val="20"/>
        </w:rPr>
        <w:t xml:space="preserve"> </w:t>
      </w:r>
      <w:r w:rsidR="0027359B" w:rsidRPr="007D66F8">
        <w:rPr>
          <w:sz w:val="20"/>
          <w:szCs w:val="20"/>
        </w:rPr>
        <w:t>Variables from this data</w:t>
      </w:r>
      <w:r w:rsidR="002E1464">
        <w:rPr>
          <w:sz w:val="20"/>
          <w:szCs w:val="20"/>
        </w:rPr>
        <w:t xml:space="preserve"> </w:t>
      </w:r>
      <w:r w:rsidR="0027359B" w:rsidRPr="007D66F8">
        <w:rPr>
          <w:sz w:val="20"/>
          <w:szCs w:val="20"/>
        </w:rPr>
        <w:t>set include shares of population livin</w:t>
      </w:r>
      <w:r w:rsidR="00E4408F">
        <w:rPr>
          <w:sz w:val="20"/>
          <w:szCs w:val="20"/>
        </w:rPr>
        <w:t>g in urban, farm, and rural non</w:t>
      </w:r>
      <w:r w:rsidR="0027359B" w:rsidRPr="007D66F8">
        <w:rPr>
          <w:sz w:val="20"/>
          <w:szCs w:val="20"/>
        </w:rPr>
        <w:t>farm areas; shares of the population that are white and nonwhite; shares of population younger than five years old and older than sixty-four; share of population in households earning less than $3</w:t>
      </w:r>
      <w:r w:rsidR="00E4408F">
        <w:rPr>
          <w:sz w:val="20"/>
          <w:szCs w:val="20"/>
        </w:rPr>
        <w:t>,</w:t>
      </w:r>
      <w:r w:rsidR="0027359B" w:rsidRPr="007D66F8">
        <w:rPr>
          <w:sz w:val="20"/>
          <w:szCs w:val="20"/>
        </w:rPr>
        <w:t xml:space="preserve">000 per year or more than $10,000; shares of population with </w:t>
      </w:r>
      <w:r w:rsidR="0087618F" w:rsidRPr="007D4E62">
        <w:rPr>
          <w:w w:val="97"/>
        </w:rPr>
        <w:br/>
      </w:r>
      <w:r w:rsidR="0027359B" w:rsidRPr="007D66F8">
        <w:rPr>
          <w:sz w:val="20"/>
          <w:szCs w:val="20"/>
        </w:rPr>
        <w:t xml:space="preserve">less than or equal to 4 years educational attainment and with greater than or equal to twelve years. </w:t>
      </w:r>
    </w:p>
    <w:p w:rsidR="00FA10DC" w:rsidRDefault="00FA10DC">
      <w:pPr>
        <w:rPr>
          <w:sz w:val="20"/>
          <w:szCs w:val="20"/>
        </w:rPr>
      </w:pPr>
      <w:r>
        <w:rPr>
          <w:sz w:val="20"/>
          <w:szCs w:val="20"/>
        </w:rPr>
        <w:br w:type="page"/>
      </w:r>
    </w:p>
    <w:p w:rsidR="0027359B" w:rsidRPr="007D66F8" w:rsidRDefault="001E3025" w:rsidP="001E3025">
      <w:pPr>
        <w:tabs>
          <w:tab w:val="left" w:pos="200"/>
        </w:tabs>
        <w:jc w:val="both"/>
        <w:rPr>
          <w:sz w:val="20"/>
          <w:szCs w:val="20"/>
        </w:rPr>
      </w:pPr>
      <w:r>
        <w:rPr>
          <w:sz w:val="20"/>
          <w:szCs w:val="20"/>
        </w:rPr>
        <w:lastRenderedPageBreak/>
        <w:tab/>
      </w:r>
      <w:r w:rsidR="0027359B" w:rsidRPr="007D66F8">
        <w:rPr>
          <w:sz w:val="20"/>
          <w:szCs w:val="20"/>
        </w:rPr>
        <w:t>Haines (20</w:t>
      </w:r>
      <w:r w:rsidR="005E10C2">
        <w:rPr>
          <w:sz w:val="20"/>
          <w:szCs w:val="20"/>
        </w:rPr>
        <w:t>10</w:t>
      </w:r>
      <w:r w:rsidR="0027359B" w:rsidRPr="007D66F8">
        <w:rPr>
          <w:sz w:val="20"/>
          <w:szCs w:val="20"/>
        </w:rPr>
        <w:t>) is also the source of several additional demographic and political controls</w:t>
      </w:r>
      <w:r w:rsidR="002108D7">
        <w:rPr>
          <w:sz w:val="20"/>
          <w:szCs w:val="20"/>
        </w:rPr>
        <w:t xml:space="preserve"> </w:t>
      </w:r>
      <w:r w:rsidR="0027359B" w:rsidRPr="007D66F8">
        <w:rPr>
          <w:sz w:val="20"/>
          <w:szCs w:val="20"/>
        </w:rPr>
        <w:t xml:space="preserve">included in Appendix Table 5, used to replicate as closely as possible for the 1960s the variables used in </w:t>
      </w:r>
      <w:r w:rsidR="00EE3210">
        <w:rPr>
          <w:sz w:val="20"/>
          <w:szCs w:val="20"/>
        </w:rPr>
        <w:t xml:space="preserve">Price </w:t>
      </w:r>
      <w:r w:rsidR="0027359B" w:rsidRPr="007D66F8">
        <w:rPr>
          <w:sz w:val="20"/>
          <w:szCs w:val="20"/>
        </w:rPr>
        <w:t xml:space="preserve">Fishback, </w:t>
      </w:r>
      <w:r w:rsidR="00EE3210">
        <w:rPr>
          <w:sz w:val="20"/>
          <w:szCs w:val="20"/>
        </w:rPr>
        <w:t xml:space="preserve">Shawn </w:t>
      </w:r>
      <w:r w:rsidR="0027359B" w:rsidRPr="007D66F8">
        <w:rPr>
          <w:sz w:val="20"/>
          <w:szCs w:val="20"/>
        </w:rPr>
        <w:t>Kantor</w:t>
      </w:r>
      <w:r w:rsidR="001824CB">
        <w:rPr>
          <w:sz w:val="20"/>
          <w:szCs w:val="20"/>
        </w:rPr>
        <w:t>,</w:t>
      </w:r>
      <w:r w:rsidR="0027359B" w:rsidRPr="007D66F8">
        <w:rPr>
          <w:sz w:val="20"/>
          <w:szCs w:val="20"/>
        </w:rPr>
        <w:t xml:space="preserve"> and </w:t>
      </w:r>
      <w:r w:rsidR="00EE3210">
        <w:rPr>
          <w:sz w:val="20"/>
          <w:szCs w:val="20"/>
        </w:rPr>
        <w:t xml:space="preserve">John </w:t>
      </w:r>
      <w:r w:rsidR="0027359B" w:rsidRPr="007D66F8">
        <w:rPr>
          <w:sz w:val="20"/>
          <w:szCs w:val="20"/>
        </w:rPr>
        <w:t>Wallis</w:t>
      </w:r>
      <w:r w:rsidR="002108D7">
        <w:rPr>
          <w:sz w:val="20"/>
          <w:szCs w:val="20"/>
        </w:rPr>
        <w:t>’</w:t>
      </w:r>
      <w:r w:rsidR="0027359B" w:rsidRPr="007D66F8">
        <w:rPr>
          <w:sz w:val="20"/>
          <w:szCs w:val="20"/>
        </w:rPr>
        <w:t>s (2003) study of the New Deal. These additional variables include the civilian unemployment rate, inverse population density, voter turnout, total population, change in per capita retail sales 1958 to 1963, share of population with less than four years of education, share of land in farms, average farm size in 1964, and change in average farm size 1959 to 1964.</w:t>
      </w:r>
    </w:p>
    <w:p w:rsidR="0027359B" w:rsidRPr="00C77412" w:rsidRDefault="0027359B" w:rsidP="00C77412">
      <w:pPr>
        <w:jc w:val="both"/>
        <w:rPr>
          <w:sz w:val="20"/>
          <w:szCs w:val="20"/>
        </w:rPr>
      </w:pPr>
    </w:p>
    <w:p w:rsidR="0027359B" w:rsidRPr="001E3025" w:rsidRDefault="0027359B" w:rsidP="001E3025">
      <w:pPr>
        <w:pStyle w:val="Dataset"/>
        <w:numPr>
          <w:ilvl w:val="0"/>
          <w:numId w:val="0"/>
        </w:numPr>
        <w:jc w:val="both"/>
        <w:rPr>
          <w:b w:val="0"/>
          <w:i/>
          <w:sz w:val="20"/>
          <w:szCs w:val="20"/>
        </w:rPr>
      </w:pPr>
      <w:r w:rsidRPr="001E3025">
        <w:rPr>
          <w:b w:val="0"/>
          <w:i/>
          <w:sz w:val="20"/>
          <w:szCs w:val="20"/>
        </w:rPr>
        <w:t>County-</w:t>
      </w:r>
      <w:r w:rsidR="001E3025" w:rsidRPr="001E3025">
        <w:rPr>
          <w:b w:val="0"/>
          <w:i/>
          <w:sz w:val="20"/>
          <w:szCs w:val="20"/>
        </w:rPr>
        <w:t>Level</w:t>
      </w:r>
      <w:r w:rsidRPr="001E3025">
        <w:rPr>
          <w:b w:val="0"/>
          <w:i/>
          <w:sz w:val="20"/>
          <w:szCs w:val="20"/>
        </w:rPr>
        <w:t xml:space="preserve"> Measures of Local Government Spending</w:t>
      </w:r>
    </w:p>
    <w:p w:rsidR="001E3025" w:rsidRPr="00C77412" w:rsidRDefault="001E3025" w:rsidP="001E3025">
      <w:pPr>
        <w:pStyle w:val="Dataset"/>
        <w:numPr>
          <w:ilvl w:val="0"/>
          <w:numId w:val="0"/>
        </w:numPr>
        <w:jc w:val="both"/>
        <w:rPr>
          <w:sz w:val="20"/>
          <w:szCs w:val="20"/>
        </w:rPr>
      </w:pPr>
    </w:p>
    <w:p w:rsidR="0027359B" w:rsidRPr="007D66F8" w:rsidRDefault="00793125" w:rsidP="00793125">
      <w:pPr>
        <w:tabs>
          <w:tab w:val="left" w:pos="200"/>
        </w:tabs>
        <w:jc w:val="both"/>
        <w:rPr>
          <w:sz w:val="20"/>
          <w:szCs w:val="20"/>
        </w:rPr>
      </w:pPr>
      <w:r>
        <w:rPr>
          <w:sz w:val="20"/>
          <w:szCs w:val="20"/>
        </w:rPr>
        <w:tab/>
      </w:r>
      <w:r w:rsidR="0027359B" w:rsidRPr="007D66F8">
        <w:rPr>
          <w:sz w:val="20"/>
          <w:szCs w:val="20"/>
        </w:rPr>
        <w:t>Data on county-level local government spending are collected from Volume VII, table 28 of the 1964 Census of Governments.</w:t>
      </w:r>
      <w:r w:rsidR="002108D7">
        <w:rPr>
          <w:sz w:val="20"/>
          <w:szCs w:val="20"/>
        </w:rPr>
        <w:t xml:space="preserve"> </w:t>
      </w:r>
      <w:proofErr w:type="gramStart"/>
      <w:r w:rsidR="0027359B" w:rsidRPr="007D66F8">
        <w:rPr>
          <w:sz w:val="20"/>
          <w:szCs w:val="20"/>
        </w:rPr>
        <w:t>(U.S. Bureau of the Census 1964)</w:t>
      </w:r>
      <w:r w:rsidR="006F29BB">
        <w:rPr>
          <w:sz w:val="20"/>
          <w:szCs w:val="20"/>
        </w:rPr>
        <w:t>.</w:t>
      </w:r>
      <w:proofErr w:type="gramEnd"/>
      <w:r w:rsidR="0027359B" w:rsidRPr="007D66F8">
        <w:rPr>
          <w:sz w:val="20"/>
          <w:szCs w:val="20"/>
        </w:rPr>
        <w:t xml:space="preserve"> </w:t>
      </w:r>
      <w:r w:rsidR="00C36A46" w:rsidRPr="007D4E62">
        <w:rPr>
          <w:w w:val="97"/>
        </w:rPr>
        <w:br/>
      </w:r>
      <w:r w:rsidR="0027359B" w:rsidRPr="007D66F8">
        <w:rPr>
          <w:sz w:val="20"/>
          <w:szCs w:val="20"/>
        </w:rPr>
        <w:t xml:space="preserve">We collect data on direct general expenditure, which includes all outlays other than outgoing intergovernmental transfers, direct public welfare expenditure, and total local tax revenue. Local government spending is an aggregate of all local governments in </w:t>
      </w:r>
      <w:r w:rsidR="00426ABA" w:rsidRPr="007D4E62">
        <w:rPr>
          <w:w w:val="97"/>
        </w:rPr>
        <w:br/>
      </w:r>
      <w:r w:rsidR="0027359B" w:rsidRPr="007D66F8">
        <w:rPr>
          <w:sz w:val="20"/>
          <w:szCs w:val="20"/>
        </w:rPr>
        <w:t>a county, including the towns, cities, townships, villages, school districts, special districts</w:t>
      </w:r>
      <w:r w:rsidR="00FF6CD2">
        <w:rPr>
          <w:sz w:val="20"/>
          <w:szCs w:val="20"/>
        </w:rPr>
        <w:t>,</w:t>
      </w:r>
      <w:r w:rsidR="0027359B" w:rsidRPr="007D66F8">
        <w:rPr>
          <w:sz w:val="20"/>
          <w:szCs w:val="20"/>
        </w:rPr>
        <w:t xml:space="preserve"> and county government itself. We divide these </w:t>
      </w:r>
      <w:r w:rsidR="00EE0367" w:rsidRPr="007D66F8">
        <w:rPr>
          <w:sz w:val="20"/>
          <w:szCs w:val="20"/>
        </w:rPr>
        <w:t>aggregates</w:t>
      </w:r>
      <w:r w:rsidR="0027359B" w:rsidRPr="007D66F8">
        <w:rPr>
          <w:sz w:val="20"/>
          <w:szCs w:val="20"/>
        </w:rPr>
        <w:t xml:space="preserve"> by total population to obtain per</w:t>
      </w:r>
      <w:r w:rsidR="00FF6CD2">
        <w:rPr>
          <w:sz w:val="20"/>
          <w:szCs w:val="20"/>
        </w:rPr>
        <w:t xml:space="preserve"> </w:t>
      </w:r>
      <w:r w:rsidR="0027359B" w:rsidRPr="007D66F8">
        <w:rPr>
          <w:sz w:val="20"/>
          <w:szCs w:val="20"/>
        </w:rPr>
        <w:t>capita figures.</w:t>
      </w:r>
    </w:p>
    <w:p w:rsidR="0027359B" w:rsidRPr="00C77412" w:rsidRDefault="0027359B" w:rsidP="00C77412">
      <w:pPr>
        <w:pStyle w:val="Dataset"/>
        <w:numPr>
          <w:ilvl w:val="0"/>
          <w:numId w:val="0"/>
        </w:numPr>
        <w:ind w:left="360" w:hanging="360"/>
        <w:jc w:val="both"/>
        <w:rPr>
          <w:b w:val="0"/>
          <w:i/>
          <w:sz w:val="20"/>
          <w:szCs w:val="20"/>
        </w:rPr>
      </w:pPr>
    </w:p>
    <w:p w:rsidR="0027359B" w:rsidRPr="001E3025" w:rsidRDefault="0027359B" w:rsidP="001E3025">
      <w:pPr>
        <w:pStyle w:val="Dataset"/>
        <w:numPr>
          <w:ilvl w:val="0"/>
          <w:numId w:val="0"/>
        </w:numPr>
        <w:jc w:val="both"/>
        <w:rPr>
          <w:b w:val="0"/>
          <w:i/>
          <w:sz w:val="20"/>
          <w:szCs w:val="20"/>
        </w:rPr>
      </w:pPr>
      <w:r w:rsidRPr="001E3025">
        <w:rPr>
          <w:b w:val="0"/>
          <w:i/>
          <w:sz w:val="20"/>
          <w:szCs w:val="20"/>
        </w:rPr>
        <w:t>County</w:t>
      </w:r>
      <w:r w:rsidR="001E3025" w:rsidRPr="001E3025">
        <w:rPr>
          <w:b w:val="0"/>
          <w:i/>
          <w:sz w:val="20"/>
          <w:szCs w:val="20"/>
        </w:rPr>
        <w:t xml:space="preserve">-Level </w:t>
      </w:r>
      <w:r w:rsidRPr="001E3025">
        <w:rPr>
          <w:b w:val="0"/>
          <w:i/>
          <w:sz w:val="20"/>
          <w:szCs w:val="20"/>
        </w:rPr>
        <w:t xml:space="preserve">Information </w:t>
      </w:r>
      <w:r w:rsidR="001E3025" w:rsidRPr="001E3025">
        <w:rPr>
          <w:b w:val="0"/>
          <w:i/>
          <w:sz w:val="20"/>
          <w:szCs w:val="20"/>
        </w:rPr>
        <w:t xml:space="preserve">on </w:t>
      </w:r>
      <w:r w:rsidRPr="001E3025">
        <w:rPr>
          <w:b w:val="0"/>
          <w:i/>
          <w:sz w:val="20"/>
          <w:szCs w:val="20"/>
        </w:rPr>
        <w:t>Vietnam Casualties</w:t>
      </w:r>
    </w:p>
    <w:p w:rsidR="001E3025" w:rsidRPr="00C77412" w:rsidRDefault="001E3025" w:rsidP="001E3025">
      <w:pPr>
        <w:pStyle w:val="Dataset"/>
        <w:numPr>
          <w:ilvl w:val="0"/>
          <w:numId w:val="0"/>
        </w:numPr>
        <w:jc w:val="both"/>
        <w:rPr>
          <w:sz w:val="20"/>
          <w:szCs w:val="20"/>
        </w:rPr>
      </w:pPr>
    </w:p>
    <w:p w:rsidR="0027359B" w:rsidRPr="007D66F8" w:rsidRDefault="00793125" w:rsidP="00793125">
      <w:pPr>
        <w:pStyle w:val="FootnoteText"/>
        <w:tabs>
          <w:tab w:val="left" w:pos="200"/>
        </w:tabs>
        <w:jc w:val="both"/>
      </w:pPr>
      <w:r>
        <w:tab/>
      </w:r>
      <w:r w:rsidR="0027359B" w:rsidRPr="007D66F8">
        <w:t xml:space="preserve">Unfortunately, information on the number of men serving by county is not available from the National Archives or Selective Service, so casualty records are the best </w:t>
      </w:r>
      <w:r w:rsidR="0027359B" w:rsidRPr="00A836BD">
        <w:rPr>
          <w:spacing w:val="6"/>
        </w:rPr>
        <w:t>information we have on Vietnam mobilization.</w:t>
      </w:r>
      <w:r w:rsidR="002108D7">
        <w:rPr>
          <w:spacing w:val="6"/>
        </w:rPr>
        <w:t xml:space="preserve"> </w:t>
      </w:r>
      <w:r w:rsidR="0027359B" w:rsidRPr="00A836BD">
        <w:rPr>
          <w:spacing w:val="6"/>
        </w:rPr>
        <w:t>Data on Vietnam casualties is</w:t>
      </w:r>
      <w:r w:rsidR="0027359B" w:rsidRPr="007D66F8">
        <w:t xml:space="preserve"> obtained from the NARA (Department of Defense 200</w:t>
      </w:r>
      <w:r w:rsidR="00F17199">
        <w:t>8</w:t>
      </w:r>
      <w:r w:rsidR="0027359B" w:rsidRPr="007D66F8">
        <w:t xml:space="preserve">). The level of observation is the individual decedent. Records for 58,220 decedents contain date of death, state, and home city; most records also have data on home county. </w:t>
      </w:r>
    </w:p>
    <w:p w:rsidR="0027359B" w:rsidRPr="007D66F8" w:rsidRDefault="00793125" w:rsidP="00793125">
      <w:pPr>
        <w:pStyle w:val="FootnoteText"/>
        <w:tabs>
          <w:tab w:val="left" w:pos="200"/>
        </w:tabs>
        <w:jc w:val="both"/>
      </w:pPr>
      <w:r>
        <w:tab/>
      </w:r>
      <w:r w:rsidR="0027359B" w:rsidRPr="007D66F8">
        <w:t xml:space="preserve">We aggregate individual decedents and compute the cumulative number of deaths </w:t>
      </w:r>
      <w:r w:rsidR="00CE670E" w:rsidRPr="007D4E62">
        <w:rPr>
          <w:w w:val="97"/>
        </w:rPr>
        <w:br/>
      </w:r>
      <w:r w:rsidR="0027359B" w:rsidRPr="007D66F8">
        <w:t xml:space="preserve">in Vietnam in a county per draft-eligible man (× 100) at </w:t>
      </w:r>
      <w:r w:rsidR="0027359B" w:rsidRPr="007D66F8">
        <w:rPr>
          <w:i/>
        </w:rPr>
        <w:t>t</w:t>
      </w:r>
      <w:r w:rsidR="00B67BF7">
        <w:rPr>
          <w:i/>
        </w:rPr>
        <w:t xml:space="preserve"> </w:t>
      </w:r>
      <w:r w:rsidR="0027359B" w:rsidRPr="007D66F8">
        <w:t>+</w:t>
      </w:r>
      <w:r w:rsidR="00B67BF7">
        <w:t xml:space="preserve"> </w:t>
      </w:r>
      <w:r w:rsidR="0027359B" w:rsidRPr="007D66F8">
        <w:t xml:space="preserve">2 because tours were two years long. The </w:t>
      </w:r>
      <w:r w:rsidR="00EE0367" w:rsidRPr="007D66F8">
        <w:t>number of draft-eligible men by county is</w:t>
      </w:r>
      <w:r w:rsidR="0027359B" w:rsidRPr="007D66F8">
        <w:t xml:space="preserve"> calculated using the number of males in the 1960 Census who would have been draft-eligible by year </w:t>
      </w:r>
      <w:r w:rsidR="0027359B" w:rsidRPr="007D66F8">
        <w:rPr>
          <w:i/>
        </w:rPr>
        <w:t>t</w:t>
      </w:r>
      <w:r w:rsidR="00DD3058">
        <w:rPr>
          <w:i/>
        </w:rPr>
        <w:t xml:space="preserve"> </w:t>
      </w:r>
      <w:r w:rsidR="0027359B" w:rsidRPr="007D66F8">
        <w:rPr>
          <w:i/>
        </w:rPr>
        <w:t>+</w:t>
      </w:r>
      <w:r w:rsidR="00DD3058">
        <w:rPr>
          <w:i/>
        </w:rPr>
        <w:t xml:space="preserve"> </w:t>
      </w:r>
      <w:r w:rsidR="0027359B" w:rsidRPr="007D66F8">
        <w:rPr>
          <w:i/>
        </w:rPr>
        <w:t>2</w:t>
      </w:r>
      <w:r w:rsidR="0027359B" w:rsidRPr="007D66F8">
        <w:t>. So, for the share of men in years 1960</w:t>
      </w:r>
      <w:r w:rsidR="007B330A">
        <w:t>–19</w:t>
      </w:r>
      <w:r w:rsidR="0027359B" w:rsidRPr="007D66F8">
        <w:t xml:space="preserve">70, we total males aged 8 to 20 in the 1960 Census. </w:t>
      </w:r>
      <w:proofErr w:type="gramStart"/>
      <w:r w:rsidR="0027359B" w:rsidRPr="007D66F8">
        <w:t>(The youngest would have been 18 by the start of 1970; the oldest 26 in 1966.)</w:t>
      </w:r>
      <w:proofErr w:type="gramEnd"/>
      <w:r w:rsidR="0027359B" w:rsidRPr="007D66F8">
        <w:t xml:space="preserve"> </w:t>
      </w:r>
      <w:r w:rsidR="00551262" w:rsidRPr="007D4E62">
        <w:rPr>
          <w:w w:val="97"/>
        </w:rPr>
        <w:br/>
      </w:r>
      <w:r w:rsidR="0027359B" w:rsidRPr="007D66F8">
        <w:t xml:space="preserve">To confirm that this variable is not driven by outmigration of males in heavily drafted areas, we also construct a backward-looking denominator of </w:t>
      </w:r>
      <w:r w:rsidR="0027359B" w:rsidRPr="007D66F8">
        <w:rPr>
          <w:i/>
        </w:rPr>
        <w:t>females</w:t>
      </w:r>
      <w:r w:rsidR="0027359B" w:rsidRPr="007D66F8">
        <w:t xml:space="preserve"> aged 21</w:t>
      </w:r>
      <w:r w:rsidR="00BE633D">
        <w:t>–</w:t>
      </w:r>
      <w:r w:rsidR="0027359B" w:rsidRPr="007D66F8">
        <w:t xml:space="preserve">34 in </w:t>
      </w:r>
      <w:r w:rsidR="000E14D1" w:rsidRPr="007D4E62">
        <w:rPr>
          <w:w w:val="97"/>
        </w:rPr>
        <w:br/>
      </w:r>
      <w:r w:rsidR="0027359B" w:rsidRPr="007D66F8">
        <w:t>the 1970 Census. Using this alternative measure of Vietnam mobilization does not affect our results. In practice, deaths appear to be a good proxy for mobilization.</w:t>
      </w:r>
      <w:r w:rsidR="002108D7">
        <w:t xml:space="preserve"> </w:t>
      </w:r>
      <w:r w:rsidR="000E14D1" w:rsidRPr="007D4E62">
        <w:rPr>
          <w:w w:val="97"/>
        </w:rPr>
        <w:br/>
      </w:r>
      <w:r w:rsidR="0027359B" w:rsidRPr="007D66F8">
        <w:t>The association between two-year rolling windows of Vietnam casualties and lagged mobilization rates at the state level is 0.66.</w:t>
      </w:r>
      <w:r w:rsidR="002108D7">
        <w:t xml:space="preserve"> </w:t>
      </w:r>
    </w:p>
    <w:p w:rsidR="00C77412" w:rsidRDefault="00793125" w:rsidP="00793125">
      <w:pPr>
        <w:tabs>
          <w:tab w:val="left" w:pos="200"/>
        </w:tabs>
        <w:jc w:val="both"/>
        <w:rPr>
          <w:sz w:val="20"/>
          <w:szCs w:val="20"/>
        </w:rPr>
      </w:pPr>
      <w:r>
        <w:rPr>
          <w:sz w:val="20"/>
          <w:szCs w:val="20"/>
        </w:rPr>
        <w:tab/>
      </w:r>
      <w:r w:rsidR="0027359B" w:rsidRPr="007D66F8">
        <w:rPr>
          <w:sz w:val="20"/>
          <w:szCs w:val="20"/>
        </w:rPr>
        <w:t>In 1,709 cases where the decedent</w:t>
      </w:r>
      <w:r w:rsidR="002108D7">
        <w:rPr>
          <w:sz w:val="20"/>
          <w:szCs w:val="20"/>
        </w:rPr>
        <w:t>’</w:t>
      </w:r>
      <w:r w:rsidR="0027359B" w:rsidRPr="007D66F8">
        <w:rPr>
          <w:sz w:val="20"/>
          <w:szCs w:val="20"/>
        </w:rPr>
        <w:t>s city could refer to areas in more than one county, the county identifier is missing. When a decedent</w:t>
      </w:r>
      <w:r w:rsidR="002108D7">
        <w:rPr>
          <w:sz w:val="20"/>
          <w:szCs w:val="20"/>
        </w:rPr>
        <w:t>’</w:t>
      </w:r>
      <w:r w:rsidR="0027359B" w:rsidRPr="007D66F8">
        <w:rPr>
          <w:sz w:val="20"/>
          <w:szCs w:val="20"/>
        </w:rPr>
        <w:t>s city is uniquely named within a state, he is assigned to the county containing that city. When a decedent</w:t>
      </w:r>
      <w:r w:rsidR="002108D7">
        <w:rPr>
          <w:sz w:val="20"/>
          <w:szCs w:val="20"/>
        </w:rPr>
        <w:t>’</w:t>
      </w:r>
      <w:r w:rsidR="0027359B" w:rsidRPr="007D66F8">
        <w:rPr>
          <w:sz w:val="20"/>
          <w:szCs w:val="20"/>
        </w:rPr>
        <w:t>s city of origin is in multiple counties, we assign the casualty to the county containing the larger area or population mass of that city. For example, the incorporated area of Columbus, Ohio includes parts of three different counties, and Columbus decedents are coded as being from multiple counties. However, the largest, oldest, and most populous portion of Columbus is located in Franklin County, and we therefore assign Columbus decedents to Franklin County. When a decedent</w:t>
      </w:r>
      <w:r w:rsidR="002108D7">
        <w:rPr>
          <w:sz w:val="20"/>
          <w:szCs w:val="20"/>
        </w:rPr>
        <w:t>’</w:t>
      </w:r>
      <w:r w:rsidR="0027359B" w:rsidRPr="007D66F8">
        <w:rPr>
          <w:sz w:val="20"/>
          <w:szCs w:val="20"/>
        </w:rPr>
        <w:t xml:space="preserve">s city could refer to more than one populated area within a state, we assign the casualty to the county containing the largest populated area. For example, there are two places named Liberty in Illinois. </w:t>
      </w:r>
      <w:r w:rsidR="00C77412" w:rsidRPr="007D4E62">
        <w:rPr>
          <w:w w:val="97"/>
        </w:rPr>
        <w:br/>
      </w:r>
    </w:p>
    <w:p w:rsidR="0027359B" w:rsidRPr="007D66F8" w:rsidRDefault="0027359B" w:rsidP="00793125">
      <w:pPr>
        <w:tabs>
          <w:tab w:val="left" w:pos="200"/>
        </w:tabs>
        <w:jc w:val="both"/>
        <w:rPr>
          <w:sz w:val="20"/>
          <w:szCs w:val="20"/>
        </w:rPr>
      </w:pPr>
      <w:r w:rsidRPr="007D66F8">
        <w:rPr>
          <w:sz w:val="20"/>
          <w:szCs w:val="20"/>
        </w:rPr>
        <w:lastRenderedPageBreak/>
        <w:t xml:space="preserve">One is a small town of a few hundred people in Adams County; the other is an even smaller, unincorporated place in Saline County. Two decedents from Liberty, Illinois are assigned to Adams County. </w:t>
      </w:r>
    </w:p>
    <w:p w:rsidR="0027359B" w:rsidRPr="007D66F8" w:rsidRDefault="00C77412" w:rsidP="00C77412">
      <w:pPr>
        <w:tabs>
          <w:tab w:val="left" w:pos="200"/>
        </w:tabs>
        <w:jc w:val="both"/>
        <w:rPr>
          <w:sz w:val="20"/>
          <w:szCs w:val="20"/>
        </w:rPr>
      </w:pPr>
      <w:r>
        <w:rPr>
          <w:sz w:val="20"/>
          <w:szCs w:val="20"/>
        </w:rPr>
        <w:tab/>
      </w:r>
      <w:r w:rsidR="0027359B" w:rsidRPr="007D66F8">
        <w:rPr>
          <w:sz w:val="20"/>
          <w:szCs w:val="20"/>
        </w:rPr>
        <w:t>For 13 observations lacking county identifiers, a county cannot be assigned, and these decedents are dropped from the analysis. Once county assignments have been made, casualties are aggregated to the county-year level.</w:t>
      </w:r>
    </w:p>
    <w:p w:rsidR="0027359B" w:rsidRPr="0073657C" w:rsidRDefault="00AF3F7F" w:rsidP="00AF3F7F">
      <w:pPr>
        <w:tabs>
          <w:tab w:val="left" w:pos="200"/>
        </w:tabs>
        <w:jc w:val="both"/>
        <w:rPr>
          <w:sz w:val="20"/>
          <w:szCs w:val="20"/>
        </w:rPr>
      </w:pPr>
      <w:r w:rsidRPr="00B84CCF">
        <w:rPr>
          <w:spacing w:val="6"/>
          <w:sz w:val="20"/>
          <w:szCs w:val="20"/>
        </w:rPr>
        <w:tab/>
      </w:r>
      <w:r w:rsidR="0027359B" w:rsidRPr="00B84CCF">
        <w:rPr>
          <w:spacing w:val="6"/>
          <w:sz w:val="20"/>
          <w:szCs w:val="20"/>
        </w:rPr>
        <w:t xml:space="preserve">County-year casualty totals are then transformed into a proxy measure of </w:t>
      </w:r>
      <w:r w:rsidR="0027359B" w:rsidRPr="007D66F8">
        <w:rPr>
          <w:sz w:val="20"/>
          <w:szCs w:val="20"/>
        </w:rPr>
        <w:t xml:space="preserve">mobilization at year </w:t>
      </w:r>
      <w:r w:rsidR="0027359B" w:rsidRPr="007D66F8">
        <w:rPr>
          <w:i/>
          <w:sz w:val="20"/>
          <w:szCs w:val="20"/>
        </w:rPr>
        <w:t>t</w:t>
      </w:r>
      <w:r w:rsidR="0027359B" w:rsidRPr="007D66F8">
        <w:rPr>
          <w:sz w:val="20"/>
          <w:szCs w:val="20"/>
        </w:rPr>
        <w:t xml:space="preserve"> by dividing casualties from 1960 to year </w:t>
      </w:r>
      <w:r w:rsidR="0027359B" w:rsidRPr="007D66F8">
        <w:rPr>
          <w:i/>
          <w:sz w:val="20"/>
          <w:szCs w:val="20"/>
        </w:rPr>
        <w:t>t +2</w:t>
      </w:r>
      <w:r w:rsidR="0027359B" w:rsidRPr="007D66F8">
        <w:rPr>
          <w:sz w:val="20"/>
          <w:szCs w:val="20"/>
        </w:rPr>
        <w:t xml:space="preserve"> by the number of males in the 1960 census eligible for service by year </w:t>
      </w:r>
      <w:r w:rsidR="0027359B" w:rsidRPr="007D66F8">
        <w:rPr>
          <w:i/>
          <w:sz w:val="20"/>
          <w:szCs w:val="20"/>
        </w:rPr>
        <w:t>t</w:t>
      </w:r>
      <w:r w:rsidR="00B67DD6">
        <w:rPr>
          <w:i/>
          <w:sz w:val="20"/>
          <w:szCs w:val="20"/>
        </w:rPr>
        <w:t xml:space="preserve"> </w:t>
      </w:r>
      <w:r w:rsidR="0027359B" w:rsidRPr="007D66F8">
        <w:rPr>
          <w:i/>
          <w:sz w:val="20"/>
          <w:szCs w:val="20"/>
        </w:rPr>
        <w:t>+</w:t>
      </w:r>
      <w:r w:rsidR="00B67DD6">
        <w:rPr>
          <w:i/>
          <w:sz w:val="20"/>
          <w:szCs w:val="20"/>
        </w:rPr>
        <w:t xml:space="preserve"> </w:t>
      </w:r>
      <w:r w:rsidR="0027359B" w:rsidRPr="007D66F8">
        <w:rPr>
          <w:i/>
          <w:sz w:val="20"/>
          <w:szCs w:val="20"/>
        </w:rPr>
        <w:t>2</w:t>
      </w:r>
      <w:r w:rsidR="0027359B" w:rsidRPr="007D66F8">
        <w:rPr>
          <w:sz w:val="20"/>
          <w:szCs w:val="20"/>
        </w:rPr>
        <w:t>. For instance, for year 1966, we total all casualties in a particular county recorded from 1960 to 1968 and divide by the number of males in the 1960</w:t>
      </w:r>
      <w:r w:rsidR="00B84CCF" w:rsidRPr="007D66F8">
        <w:rPr>
          <w:sz w:val="20"/>
          <w:szCs w:val="20"/>
        </w:rPr>
        <w:t xml:space="preserve"> Census </w:t>
      </w:r>
      <w:r w:rsidR="0027359B" w:rsidRPr="007D66F8">
        <w:rPr>
          <w:sz w:val="20"/>
          <w:szCs w:val="20"/>
        </w:rPr>
        <w:t xml:space="preserve">aged 10 to 20 (since all would have been greater than 18 and draft eligible by 1968). We look forward two years from year </w:t>
      </w:r>
      <w:r w:rsidR="0027359B" w:rsidRPr="007D66F8">
        <w:rPr>
          <w:i/>
          <w:sz w:val="20"/>
          <w:szCs w:val="20"/>
        </w:rPr>
        <w:t>t</w:t>
      </w:r>
      <w:r w:rsidR="0027359B" w:rsidRPr="007D66F8">
        <w:rPr>
          <w:sz w:val="20"/>
          <w:szCs w:val="20"/>
        </w:rPr>
        <w:t xml:space="preserve"> to capture men who may have been drafted in year </w:t>
      </w:r>
      <w:r w:rsidR="0027359B" w:rsidRPr="007D66F8">
        <w:rPr>
          <w:i/>
          <w:sz w:val="20"/>
          <w:szCs w:val="20"/>
        </w:rPr>
        <w:t>t</w:t>
      </w:r>
      <w:r w:rsidR="0027359B" w:rsidRPr="007D66F8">
        <w:rPr>
          <w:sz w:val="20"/>
          <w:szCs w:val="20"/>
        </w:rPr>
        <w:t xml:space="preserve"> and killed during their two-year tour of duty. We confirm that this measure is not driven by migration by calculating an alternative version using the 1970 </w:t>
      </w:r>
      <w:r w:rsidR="00276CE7" w:rsidRPr="007D66F8">
        <w:rPr>
          <w:sz w:val="20"/>
          <w:szCs w:val="20"/>
        </w:rPr>
        <w:t>Census</w:t>
      </w:r>
      <w:r w:rsidR="0027359B" w:rsidRPr="007D66F8">
        <w:rPr>
          <w:sz w:val="20"/>
          <w:szCs w:val="20"/>
        </w:rPr>
        <w:t xml:space="preserve"> and women of appropriate age from </w:t>
      </w:r>
      <w:r w:rsidR="0027359B" w:rsidRPr="0073657C">
        <w:rPr>
          <w:sz w:val="20"/>
          <w:szCs w:val="20"/>
        </w:rPr>
        <w:t>Haines (2010).</w:t>
      </w:r>
    </w:p>
    <w:p w:rsidR="0027359B" w:rsidRPr="0073657C" w:rsidRDefault="0027359B" w:rsidP="002B0220">
      <w:pPr>
        <w:jc w:val="both"/>
        <w:rPr>
          <w:sz w:val="20"/>
          <w:szCs w:val="20"/>
        </w:rPr>
      </w:pPr>
    </w:p>
    <w:p w:rsidR="0027359B" w:rsidRDefault="0027359B" w:rsidP="002B0220">
      <w:pPr>
        <w:pStyle w:val="Dataset"/>
        <w:numPr>
          <w:ilvl w:val="0"/>
          <w:numId w:val="0"/>
        </w:numPr>
        <w:jc w:val="both"/>
        <w:rPr>
          <w:b w:val="0"/>
          <w:i/>
          <w:sz w:val="20"/>
          <w:szCs w:val="20"/>
        </w:rPr>
      </w:pPr>
      <w:r w:rsidRPr="002B0220">
        <w:rPr>
          <w:b w:val="0"/>
          <w:i/>
          <w:sz w:val="20"/>
          <w:szCs w:val="20"/>
        </w:rPr>
        <w:t>Information on Riot Intensity</w:t>
      </w:r>
    </w:p>
    <w:p w:rsidR="002B0220" w:rsidRPr="002B0220" w:rsidRDefault="002B0220" w:rsidP="002B0220">
      <w:pPr>
        <w:pStyle w:val="Dataset"/>
        <w:numPr>
          <w:ilvl w:val="0"/>
          <w:numId w:val="0"/>
        </w:numPr>
        <w:jc w:val="both"/>
        <w:rPr>
          <w:b w:val="0"/>
          <w:i/>
          <w:sz w:val="20"/>
          <w:szCs w:val="20"/>
        </w:rPr>
      </w:pPr>
    </w:p>
    <w:p w:rsidR="0027359B" w:rsidRPr="007D66F8" w:rsidRDefault="002B0220" w:rsidP="002B0220">
      <w:pPr>
        <w:tabs>
          <w:tab w:val="left" w:pos="200"/>
        </w:tabs>
        <w:jc w:val="both"/>
        <w:rPr>
          <w:sz w:val="20"/>
          <w:szCs w:val="20"/>
        </w:rPr>
      </w:pPr>
      <w:r>
        <w:rPr>
          <w:sz w:val="20"/>
          <w:szCs w:val="20"/>
        </w:rPr>
        <w:tab/>
      </w:r>
      <w:r w:rsidR="0027359B" w:rsidRPr="007D66F8">
        <w:rPr>
          <w:sz w:val="20"/>
          <w:szCs w:val="20"/>
        </w:rPr>
        <w:t xml:space="preserve">Data on rioting was generously shared by William Collins and Robert Margo </w:t>
      </w:r>
      <w:r w:rsidR="0027359B" w:rsidRPr="00F108F9">
        <w:rPr>
          <w:spacing w:val="6"/>
          <w:sz w:val="20"/>
          <w:szCs w:val="20"/>
        </w:rPr>
        <w:t>(2007). These data were originally collected by Gregg Leigh Carter (1986) and</w:t>
      </w:r>
      <w:r w:rsidR="0027359B" w:rsidRPr="007D66F8">
        <w:rPr>
          <w:sz w:val="20"/>
          <w:szCs w:val="20"/>
        </w:rPr>
        <w:t xml:space="preserve"> encompass 752 urban riots spanning from 1964 to 1971, observed at the level of individual riots.</w:t>
      </w:r>
      <w:r w:rsidR="002108D7">
        <w:rPr>
          <w:sz w:val="20"/>
          <w:szCs w:val="20"/>
        </w:rPr>
        <w:t xml:space="preserve"> </w:t>
      </w:r>
    </w:p>
    <w:p w:rsidR="0027359B" w:rsidRPr="007D66F8" w:rsidRDefault="002B0220" w:rsidP="002B0220">
      <w:pPr>
        <w:tabs>
          <w:tab w:val="left" w:pos="200"/>
        </w:tabs>
        <w:jc w:val="both"/>
        <w:rPr>
          <w:sz w:val="20"/>
          <w:szCs w:val="20"/>
        </w:rPr>
      </w:pPr>
      <w:r>
        <w:rPr>
          <w:sz w:val="20"/>
          <w:szCs w:val="20"/>
        </w:rPr>
        <w:tab/>
      </w:r>
      <w:r w:rsidR="0027359B" w:rsidRPr="007D66F8">
        <w:rPr>
          <w:sz w:val="20"/>
          <w:szCs w:val="20"/>
        </w:rPr>
        <w:t>We match city names for these riots to counties by hand and then aggregate to the county-year level. Where a city is located in more than one county (e.g.</w:t>
      </w:r>
      <w:r w:rsidR="00BE2EB5">
        <w:rPr>
          <w:sz w:val="20"/>
          <w:szCs w:val="20"/>
        </w:rPr>
        <w:t>,</w:t>
      </w:r>
      <w:r w:rsidR="0027359B" w:rsidRPr="007D66F8">
        <w:rPr>
          <w:sz w:val="20"/>
          <w:szCs w:val="20"/>
        </w:rPr>
        <w:t xml:space="preserve"> Columbus, Ohio) we match it to its principal county. </w:t>
      </w:r>
    </w:p>
    <w:p w:rsidR="0027359B" w:rsidRPr="007D66F8" w:rsidRDefault="002B0220" w:rsidP="002B0220">
      <w:pPr>
        <w:tabs>
          <w:tab w:val="left" w:pos="200"/>
        </w:tabs>
        <w:jc w:val="both"/>
        <w:rPr>
          <w:sz w:val="20"/>
          <w:szCs w:val="20"/>
        </w:rPr>
      </w:pPr>
      <w:r>
        <w:rPr>
          <w:sz w:val="20"/>
          <w:szCs w:val="20"/>
        </w:rPr>
        <w:tab/>
      </w:r>
      <w:r w:rsidR="0027359B" w:rsidRPr="007D66F8">
        <w:rPr>
          <w:sz w:val="20"/>
          <w:szCs w:val="20"/>
        </w:rPr>
        <w:t>Following Collins and Margo, we measure riot intensity using an equally</w:t>
      </w:r>
      <w:r w:rsidR="002E7BDE">
        <w:rPr>
          <w:sz w:val="20"/>
          <w:szCs w:val="20"/>
        </w:rPr>
        <w:t xml:space="preserve"> </w:t>
      </w:r>
      <w:r w:rsidR="0027359B" w:rsidRPr="007D66F8">
        <w:rPr>
          <w:sz w:val="20"/>
          <w:szCs w:val="20"/>
        </w:rPr>
        <w:t xml:space="preserve">weighted index of five measures of riot intensity (deaths, injuries, arrests, days of rioting, and number of arsons) as a proportion of the sum of these measures for all urban riots from 1964 to 1971 in a specific county-year, measured as shares of the total count of all </w:t>
      </w:r>
      <w:r w:rsidR="00BF2389" w:rsidRPr="007D4E62">
        <w:rPr>
          <w:w w:val="97"/>
        </w:rPr>
        <w:br/>
      </w:r>
      <w:r w:rsidR="0027359B" w:rsidRPr="007D66F8">
        <w:rPr>
          <w:sz w:val="20"/>
          <w:szCs w:val="20"/>
        </w:rPr>
        <w:t xml:space="preserve">of these measures in all years and multiplied by a scaling factor of 10,000. The county-year index value is the sum of all riot index values in that county and year. For instance, the riot data set cumulatively counts 15,835 arsons, 69,099 arrests, </w:t>
      </w:r>
      <w:proofErr w:type="gramStart"/>
      <w:r w:rsidR="0027359B" w:rsidRPr="007D66F8">
        <w:rPr>
          <w:sz w:val="20"/>
          <w:szCs w:val="20"/>
        </w:rPr>
        <w:t>1,802</w:t>
      </w:r>
      <w:proofErr w:type="gramEnd"/>
      <w:r w:rsidR="0027359B" w:rsidRPr="007D66F8">
        <w:rPr>
          <w:sz w:val="20"/>
          <w:szCs w:val="20"/>
        </w:rPr>
        <w:t xml:space="preserve"> days of rioting, 12,741 injuries, and 228 deaths. The notorious July, 1967 Detroit riot had 7,231 arrests, 1,682 arsons, 491 injuries, 43 deaths, and lasted 9 days. Therefore the 1967 Detroit riot</w:t>
      </w:r>
      <w:r w:rsidR="002108D7">
        <w:rPr>
          <w:sz w:val="20"/>
          <w:szCs w:val="20"/>
        </w:rPr>
        <w:t>’</w:t>
      </w:r>
      <w:r w:rsidR="0027359B" w:rsidRPr="007D66F8">
        <w:rPr>
          <w:sz w:val="20"/>
          <w:szCs w:val="20"/>
        </w:rPr>
        <w:t>s index value is</w:t>
      </w:r>
    </w:p>
    <w:p w:rsidR="0027359B" w:rsidRPr="007D66F8" w:rsidRDefault="0027359B" w:rsidP="007D66F8">
      <w:pPr>
        <w:jc w:val="both"/>
        <w:rPr>
          <w:sz w:val="20"/>
          <w:szCs w:val="20"/>
        </w:rPr>
      </w:pPr>
    </w:p>
    <w:p w:rsidR="0027359B" w:rsidRPr="00680C89" w:rsidRDefault="001B3769" w:rsidP="007D66F8">
      <w:pPr>
        <w:jc w:val="both"/>
        <w:rPr>
          <w:sz w:val="20"/>
          <w:szCs w:val="20"/>
        </w:rPr>
      </w:pPr>
      <m:oMathPara>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1,682</m:t>
                  </m:r>
                </m:num>
                <m:den>
                  <m:r>
                    <w:rPr>
                      <w:rFonts w:ascii="Cambria Math" w:hAnsi="Cambria Math"/>
                      <w:sz w:val="22"/>
                      <w:szCs w:val="22"/>
                    </w:rPr>
                    <m:t>15,835</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7,231</m:t>
                  </m:r>
                </m:num>
                <m:den>
                  <m:r>
                    <w:rPr>
                      <w:rFonts w:ascii="Cambria Math" w:hAnsi="Cambria Math"/>
                      <w:sz w:val="22"/>
                      <w:szCs w:val="22"/>
                    </w:rPr>
                    <m:t>69,099</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1,802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491</m:t>
                  </m:r>
                </m:num>
                <m:den>
                  <m:r>
                    <w:rPr>
                      <w:rFonts w:ascii="Cambria Math" w:hAnsi="Cambria Math"/>
                      <w:sz w:val="22"/>
                      <w:szCs w:val="22"/>
                    </w:rPr>
                    <m:t>12,741</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43</m:t>
                  </m:r>
                </m:num>
                <m:den>
                  <m:r>
                    <w:rPr>
                      <w:rFonts w:ascii="Cambria Math" w:hAnsi="Cambria Math"/>
                      <w:sz w:val="22"/>
                      <w:szCs w:val="22"/>
                    </w:rPr>
                    <m:t>228</m:t>
                  </m:r>
                </m:den>
              </m:f>
            </m:e>
          </m:d>
          <m:r>
            <w:rPr>
              <w:rFonts w:ascii="Cambria Math" w:hAnsi="Cambria Math"/>
              <w:sz w:val="22"/>
              <w:szCs w:val="22"/>
            </w:rPr>
            <m:t>× 10,000=4,430</m:t>
          </m:r>
        </m:oMath>
      </m:oMathPara>
    </w:p>
    <w:p w:rsidR="0027359B" w:rsidRPr="007D66F8" w:rsidRDefault="0027359B" w:rsidP="007D66F8">
      <w:pPr>
        <w:jc w:val="both"/>
        <w:rPr>
          <w:sz w:val="20"/>
          <w:szCs w:val="20"/>
        </w:rPr>
      </w:pPr>
    </w:p>
    <w:p w:rsidR="0027359B" w:rsidRPr="007D66F8" w:rsidRDefault="0027359B" w:rsidP="007D66F8">
      <w:pPr>
        <w:jc w:val="both"/>
        <w:rPr>
          <w:sz w:val="20"/>
          <w:szCs w:val="20"/>
        </w:rPr>
      </w:pPr>
      <w:r w:rsidRPr="00092F41">
        <w:rPr>
          <w:spacing w:val="6"/>
          <w:sz w:val="20"/>
          <w:szCs w:val="20"/>
        </w:rPr>
        <w:t>Counties with no riots observed in a particular year are assigned a zero value.</w:t>
      </w:r>
      <w:r w:rsidRPr="007D66F8">
        <w:rPr>
          <w:sz w:val="20"/>
          <w:szCs w:val="20"/>
        </w:rPr>
        <w:t xml:space="preserve"> </w:t>
      </w:r>
      <w:r w:rsidR="00092F41" w:rsidRPr="007D4E62">
        <w:rPr>
          <w:w w:val="97"/>
        </w:rPr>
        <w:br/>
      </w:r>
      <w:r w:rsidRPr="007D66F8">
        <w:rPr>
          <w:sz w:val="20"/>
          <w:szCs w:val="20"/>
        </w:rPr>
        <w:t xml:space="preserve">The Detroit riots were much more extensive than several small riots more typical of the time. During 1968, the worst year of the rioting, there are 167 individual riots, with a mean index value of 126. Of the 330 individual riots observed from 1964 to 1968, the mean index value is 140 and the </w:t>
      </w:r>
      <w:r w:rsidR="00FE2DDB">
        <w:rPr>
          <w:sz w:val="20"/>
          <w:szCs w:val="20"/>
        </w:rPr>
        <w:t>median</w:t>
      </w:r>
      <w:r w:rsidRPr="007D66F8">
        <w:rPr>
          <w:sz w:val="20"/>
          <w:szCs w:val="20"/>
        </w:rPr>
        <w:t xml:space="preserve"> index value is 30.</w:t>
      </w:r>
    </w:p>
    <w:p w:rsidR="0027359B" w:rsidRPr="007D66F8" w:rsidRDefault="0027359B" w:rsidP="007D66F8">
      <w:pPr>
        <w:ind w:firstLine="720"/>
        <w:jc w:val="both"/>
        <w:rPr>
          <w:sz w:val="20"/>
          <w:szCs w:val="20"/>
        </w:rPr>
      </w:pPr>
    </w:p>
    <w:p w:rsidR="0027359B" w:rsidRPr="002B0220" w:rsidRDefault="0027359B" w:rsidP="002B0220">
      <w:pPr>
        <w:pStyle w:val="Dataset"/>
        <w:numPr>
          <w:ilvl w:val="0"/>
          <w:numId w:val="0"/>
        </w:numPr>
        <w:jc w:val="both"/>
        <w:rPr>
          <w:b w:val="0"/>
          <w:i/>
          <w:sz w:val="20"/>
          <w:szCs w:val="20"/>
        </w:rPr>
      </w:pPr>
      <w:r w:rsidRPr="002B0220">
        <w:rPr>
          <w:b w:val="0"/>
          <w:i/>
          <w:sz w:val="20"/>
          <w:szCs w:val="20"/>
        </w:rPr>
        <w:t>County-</w:t>
      </w:r>
      <w:r w:rsidR="002B0220" w:rsidRPr="002B0220">
        <w:rPr>
          <w:b w:val="0"/>
          <w:i/>
          <w:sz w:val="20"/>
          <w:szCs w:val="20"/>
        </w:rPr>
        <w:t>Level</w:t>
      </w:r>
      <w:r w:rsidRPr="002B0220">
        <w:rPr>
          <w:b w:val="0"/>
          <w:i/>
          <w:sz w:val="20"/>
          <w:szCs w:val="20"/>
        </w:rPr>
        <w:t xml:space="preserve"> Poverty Counts</w:t>
      </w:r>
    </w:p>
    <w:p w:rsidR="002B0220" w:rsidRPr="007D66F8" w:rsidRDefault="002B0220" w:rsidP="002B0220">
      <w:pPr>
        <w:pStyle w:val="Dataset"/>
        <w:numPr>
          <w:ilvl w:val="0"/>
          <w:numId w:val="0"/>
        </w:numPr>
        <w:jc w:val="both"/>
        <w:rPr>
          <w:sz w:val="20"/>
          <w:szCs w:val="20"/>
        </w:rPr>
      </w:pPr>
    </w:p>
    <w:p w:rsidR="0027359B" w:rsidRPr="007D66F8" w:rsidRDefault="008D1785" w:rsidP="008D1785">
      <w:pPr>
        <w:tabs>
          <w:tab w:val="left" w:pos="200"/>
        </w:tabs>
        <w:jc w:val="both"/>
        <w:rPr>
          <w:sz w:val="20"/>
          <w:szCs w:val="20"/>
        </w:rPr>
      </w:pPr>
      <w:r>
        <w:rPr>
          <w:sz w:val="20"/>
          <w:szCs w:val="20"/>
        </w:rPr>
        <w:tab/>
      </w:r>
      <w:r w:rsidR="0027359B" w:rsidRPr="007D66F8">
        <w:rPr>
          <w:sz w:val="20"/>
          <w:szCs w:val="20"/>
        </w:rPr>
        <w:t xml:space="preserve">In addition to income measures from the Haines Census files, we obtain counts </w:t>
      </w:r>
      <w:r w:rsidR="003D4BB4" w:rsidRPr="007D4E62">
        <w:rPr>
          <w:w w:val="97"/>
        </w:rPr>
        <w:br/>
      </w:r>
      <w:r w:rsidR="0027359B" w:rsidRPr="007D66F8">
        <w:rPr>
          <w:sz w:val="20"/>
          <w:szCs w:val="20"/>
        </w:rPr>
        <w:t>and shares of families living below $1,000, $2,000, $3,000</w:t>
      </w:r>
      <w:r w:rsidR="001E631C">
        <w:rPr>
          <w:sz w:val="20"/>
          <w:szCs w:val="20"/>
        </w:rPr>
        <w:t>,</w:t>
      </w:r>
      <w:r w:rsidR="0027359B" w:rsidRPr="007D66F8">
        <w:rPr>
          <w:sz w:val="20"/>
          <w:szCs w:val="20"/>
        </w:rPr>
        <w:t xml:space="preserve"> and below the poverty </w:t>
      </w:r>
      <w:r w:rsidR="003D4BB4" w:rsidRPr="007D4E62">
        <w:rPr>
          <w:w w:val="97"/>
        </w:rPr>
        <w:br/>
      </w:r>
      <w:r w:rsidR="0027359B" w:rsidRPr="007D66F8">
        <w:rPr>
          <w:sz w:val="20"/>
          <w:szCs w:val="20"/>
        </w:rPr>
        <w:t>line from the 1960 Putnam file (Community Services Administration 1975).</w:t>
      </w:r>
      <w:r w:rsidR="002108D7">
        <w:rPr>
          <w:sz w:val="20"/>
          <w:szCs w:val="20"/>
        </w:rPr>
        <w:t xml:space="preserve"> </w:t>
      </w:r>
      <w:r w:rsidR="0027359B" w:rsidRPr="007D66F8">
        <w:rPr>
          <w:sz w:val="20"/>
          <w:szCs w:val="20"/>
        </w:rPr>
        <w:t>The documentation included with the National Archives</w:t>
      </w:r>
      <w:r w:rsidR="002108D7">
        <w:rPr>
          <w:sz w:val="20"/>
          <w:szCs w:val="20"/>
        </w:rPr>
        <w:t>’</w:t>
      </w:r>
      <w:r w:rsidR="0027359B" w:rsidRPr="007D66F8">
        <w:rPr>
          <w:sz w:val="20"/>
          <w:szCs w:val="20"/>
        </w:rPr>
        <w:t xml:space="preserve"> copy of the Putnam file explains, </w:t>
      </w:r>
    </w:p>
    <w:p w:rsidR="0027359B" w:rsidRPr="007D66F8" w:rsidRDefault="00F90D2E" w:rsidP="00500E03">
      <w:pPr>
        <w:ind w:left="240" w:right="240"/>
        <w:jc w:val="both"/>
        <w:rPr>
          <w:i/>
          <w:sz w:val="20"/>
          <w:szCs w:val="20"/>
        </w:rPr>
      </w:pPr>
      <w:r>
        <w:rPr>
          <w:i/>
          <w:sz w:val="20"/>
          <w:szCs w:val="20"/>
        </w:rPr>
        <w:lastRenderedPageBreak/>
        <w:t xml:space="preserve">[The] </w:t>
      </w:r>
      <w:r w:rsidR="0027359B" w:rsidRPr="007D66F8">
        <w:rPr>
          <w:i/>
          <w:sz w:val="20"/>
          <w:szCs w:val="20"/>
        </w:rPr>
        <w:t xml:space="preserve">OEO needed a definition of poverty and identification of the extent and pattern of poverty in the United States. The definition did not exist previously, and no documentation was available on what constituted poverty. No one knew exactly how the picture of poverty in the United States looked or what programs would act to eliminate it in the nation... To establish this definition and pattern of poverty, the Bureau of the Census took the first step and created the PUTNAM FILE using data from the Census of 1960. The file acquired the name from its originator in the OEO, Israel Putnam... OEO and other agencies used their files recurrently... OEO also used these files to justify the allocation of funds, the Department of Agriculture used them to estimate the cost burden of the Food Stamp Program, and the Center for Infectious Disease in Atlanta used them to identify disease vectors. </w:t>
      </w:r>
    </w:p>
    <w:p w:rsidR="0027359B" w:rsidRPr="007D66F8" w:rsidRDefault="0027359B" w:rsidP="007D66F8">
      <w:pPr>
        <w:jc w:val="both"/>
        <w:rPr>
          <w:i/>
          <w:sz w:val="20"/>
          <w:szCs w:val="20"/>
        </w:rPr>
      </w:pPr>
    </w:p>
    <w:p w:rsidR="0027359B" w:rsidRPr="007D66F8" w:rsidRDefault="0027359B" w:rsidP="007D66F8">
      <w:pPr>
        <w:jc w:val="both"/>
        <w:rPr>
          <w:sz w:val="20"/>
          <w:szCs w:val="20"/>
        </w:rPr>
      </w:pPr>
      <w:r w:rsidRPr="00A0362C">
        <w:rPr>
          <w:spacing w:val="6"/>
          <w:sz w:val="20"/>
          <w:szCs w:val="20"/>
        </w:rPr>
        <w:t xml:space="preserve">The documentation suggest the Putnam file once included data by city and </w:t>
      </w:r>
      <w:r w:rsidRPr="007D66F8">
        <w:rPr>
          <w:sz w:val="20"/>
          <w:szCs w:val="20"/>
        </w:rPr>
        <w:t xml:space="preserve">congressional district as well, but the National Archives holds a copy of county-level data exclusively. The documentation also indicates that the Putnam file is stored </w:t>
      </w:r>
      <w:r w:rsidR="0088799D" w:rsidRPr="007D4E62">
        <w:rPr>
          <w:w w:val="97"/>
        </w:rPr>
        <w:br/>
      </w:r>
      <w:r w:rsidRPr="007D66F8">
        <w:rPr>
          <w:sz w:val="20"/>
          <w:szCs w:val="20"/>
        </w:rPr>
        <w:t xml:space="preserve">as EBCDIC plain text, but we found no software that was able to successfully convert the Putnam file to ASCII. To translate the data into a modern format, we did a </w:t>
      </w:r>
      <w:r w:rsidR="0088799D" w:rsidRPr="007D4E62">
        <w:rPr>
          <w:w w:val="97"/>
        </w:rPr>
        <w:br/>
      </w:r>
      <w:r w:rsidR="002108D7">
        <w:rPr>
          <w:sz w:val="20"/>
          <w:szCs w:val="20"/>
        </w:rPr>
        <w:t>“</w:t>
      </w:r>
      <w:r w:rsidRPr="007D66F8">
        <w:rPr>
          <w:sz w:val="20"/>
          <w:szCs w:val="20"/>
        </w:rPr>
        <w:t>hex dump</w:t>
      </w:r>
      <w:r w:rsidR="002108D7">
        <w:rPr>
          <w:sz w:val="20"/>
          <w:szCs w:val="20"/>
        </w:rPr>
        <w:t>”</w:t>
      </w:r>
      <w:r w:rsidRPr="007D66F8">
        <w:rPr>
          <w:sz w:val="20"/>
          <w:szCs w:val="20"/>
        </w:rPr>
        <w:t xml:space="preserve"> of the underlying binary code into a text file recording each byte in hexadecimal (base-16) digits. We then compared individual bytes to a sample page </w:t>
      </w:r>
      <w:r w:rsidR="0088799D" w:rsidRPr="007D4E62">
        <w:rPr>
          <w:w w:val="97"/>
        </w:rPr>
        <w:br/>
      </w:r>
      <w:r w:rsidRPr="007D66F8">
        <w:rPr>
          <w:sz w:val="20"/>
          <w:szCs w:val="20"/>
        </w:rPr>
        <w:t xml:space="preserve">of bytes and corresponding meanings in the National Archives documentation to </w:t>
      </w:r>
      <w:r w:rsidR="002108D7">
        <w:rPr>
          <w:sz w:val="20"/>
          <w:szCs w:val="20"/>
        </w:rPr>
        <w:t>“</w:t>
      </w:r>
      <w:r w:rsidRPr="007D66F8">
        <w:rPr>
          <w:sz w:val="20"/>
          <w:szCs w:val="20"/>
        </w:rPr>
        <w:t>decode</w:t>
      </w:r>
      <w:r w:rsidR="002108D7">
        <w:rPr>
          <w:sz w:val="20"/>
          <w:szCs w:val="20"/>
        </w:rPr>
        <w:t>”</w:t>
      </w:r>
      <w:r w:rsidRPr="007D66F8">
        <w:rPr>
          <w:sz w:val="20"/>
          <w:szCs w:val="20"/>
        </w:rPr>
        <w:t xml:space="preserve"> the data format of the underlying file. We then translated the hexadecimal output directly into Stata format. We confirmed that this method correctly obtained the underlying data by aggregating poverty counts from the Putnam file and comparing </w:t>
      </w:r>
      <w:r w:rsidRPr="00047811">
        <w:rPr>
          <w:spacing w:val="6"/>
          <w:sz w:val="20"/>
          <w:szCs w:val="20"/>
        </w:rPr>
        <w:t xml:space="preserve">the results to those published in a 1970 Census special report on changes in local </w:t>
      </w:r>
      <w:r w:rsidRPr="007D66F8">
        <w:rPr>
          <w:sz w:val="20"/>
          <w:szCs w:val="20"/>
        </w:rPr>
        <w:t>poverty rates (Bureau of the Census 1975).</w:t>
      </w:r>
      <w:r w:rsidRPr="007D66F8" w:rsidDel="0064009C">
        <w:rPr>
          <w:sz w:val="20"/>
          <w:szCs w:val="20"/>
        </w:rPr>
        <w:t xml:space="preserve"> </w:t>
      </w:r>
    </w:p>
    <w:p w:rsidR="0027359B" w:rsidRPr="007D66F8" w:rsidRDefault="0027359B" w:rsidP="007D66F8">
      <w:pPr>
        <w:jc w:val="both"/>
        <w:rPr>
          <w:sz w:val="20"/>
          <w:szCs w:val="20"/>
        </w:rPr>
      </w:pPr>
    </w:p>
    <w:p w:rsidR="0027359B" w:rsidRPr="00C175F2" w:rsidRDefault="0027359B" w:rsidP="00C175F2">
      <w:pPr>
        <w:pStyle w:val="Dataset"/>
        <w:numPr>
          <w:ilvl w:val="0"/>
          <w:numId w:val="0"/>
        </w:numPr>
        <w:jc w:val="both"/>
        <w:rPr>
          <w:b w:val="0"/>
          <w:i/>
          <w:sz w:val="20"/>
          <w:szCs w:val="20"/>
        </w:rPr>
      </w:pPr>
      <w:r w:rsidRPr="00C175F2">
        <w:rPr>
          <w:b w:val="0"/>
          <w:i/>
          <w:sz w:val="20"/>
          <w:szCs w:val="20"/>
        </w:rPr>
        <w:t>County-</w:t>
      </w:r>
      <w:r w:rsidR="00C175F2" w:rsidRPr="00C175F2">
        <w:rPr>
          <w:b w:val="0"/>
          <w:i/>
          <w:sz w:val="20"/>
          <w:szCs w:val="20"/>
        </w:rPr>
        <w:t>L</w:t>
      </w:r>
      <w:r w:rsidRPr="00C175F2">
        <w:rPr>
          <w:b w:val="0"/>
          <w:i/>
          <w:sz w:val="20"/>
          <w:szCs w:val="20"/>
        </w:rPr>
        <w:t>evel Information on U</w:t>
      </w:r>
      <w:r w:rsidR="00C175F2">
        <w:rPr>
          <w:b w:val="0"/>
          <w:i/>
          <w:sz w:val="20"/>
          <w:szCs w:val="20"/>
        </w:rPr>
        <w:t>.</w:t>
      </w:r>
      <w:r w:rsidRPr="00C175F2">
        <w:rPr>
          <w:b w:val="0"/>
          <w:i/>
          <w:sz w:val="20"/>
          <w:szCs w:val="20"/>
        </w:rPr>
        <w:t>S</w:t>
      </w:r>
      <w:r w:rsidR="00C175F2">
        <w:rPr>
          <w:b w:val="0"/>
          <w:i/>
          <w:sz w:val="20"/>
          <w:szCs w:val="20"/>
        </w:rPr>
        <w:t>.</w:t>
      </w:r>
      <w:r w:rsidRPr="00C175F2">
        <w:rPr>
          <w:b w:val="0"/>
          <w:i/>
          <w:sz w:val="20"/>
          <w:szCs w:val="20"/>
        </w:rPr>
        <w:t xml:space="preserve"> Election Outcomes and Voter Turnout</w:t>
      </w:r>
    </w:p>
    <w:p w:rsidR="00C175F2" w:rsidRPr="007D66F8" w:rsidRDefault="00C175F2" w:rsidP="00C175F2">
      <w:pPr>
        <w:pStyle w:val="Dataset"/>
        <w:numPr>
          <w:ilvl w:val="0"/>
          <w:numId w:val="0"/>
        </w:numPr>
        <w:jc w:val="both"/>
        <w:rPr>
          <w:sz w:val="20"/>
          <w:szCs w:val="20"/>
        </w:rPr>
      </w:pPr>
    </w:p>
    <w:p w:rsidR="0027359B" w:rsidRPr="007D66F8" w:rsidRDefault="000325FA" w:rsidP="000325FA">
      <w:pPr>
        <w:tabs>
          <w:tab w:val="left" w:pos="200"/>
        </w:tabs>
        <w:jc w:val="both"/>
        <w:rPr>
          <w:sz w:val="20"/>
          <w:szCs w:val="20"/>
        </w:rPr>
      </w:pPr>
      <w:r>
        <w:rPr>
          <w:sz w:val="20"/>
          <w:szCs w:val="20"/>
        </w:rPr>
        <w:tab/>
      </w:r>
      <w:r w:rsidR="0027359B" w:rsidRPr="007D66F8">
        <w:rPr>
          <w:sz w:val="20"/>
          <w:szCs w:val="20"/>
        </w:rPr>
        <w:t>We obtain votes cast by party by county for the 1960, 1964, and 1968 presidential elections from ICPSR (1995)</w:t>
      </w:r>
      <w:r w:rsidR="007E54D3">
        <w:rPr>
          <w:sz w:val="20"/>
          <w:szCs w:val="20"/>
        </w:rPr>
        <w:t>,</w:t>
      </w:r>
      <w:r w:rsidR="0027359B" w:rsidRPr="007D66F8">
        <w:rPr>
          <w:sz w:val="20"/>
          <w:szCs w:val="20"/>
        </w:rPr>
        <w:t xml:space="preserve"> </w:t>
      </w:r>
      <w:r w:rsidR="002108D7">
        <w:rPr>
          <w:sz w:val="20"/>
          <w:szCs w:val="20"/>
        </w:rPr>
        <w:t>“</w:t>
      </w:r>
      <w:r w:rsidR="0027359B" w:rsidRPr="007D66F8">
        <w:rPr>
          <w:sz w:val="20"/>
          <w:szCs w:val="20"/>
        </w:rPr>
        <w:t>General Election Data for the United States, 1950</w:t>
      </w:r>
      <w:r w:rsidR="00D618B5">
        <w:rPr>
          <w:sz w:val="20"/>
          <w:szCs w:val="22"/>
        </w:rPr>
        <w:t>–</w:t>
      </w:r>
      <w:r w:rsidR="0027359B" w:rsidRPr="007D66F8">
        <w:rPr>
          <w:sz w:val="20"/>
          <w:szCs w:val="20"/>
        </w:rPr>
        <w:t>1990.</w:t>
      </w:r>
      <w:r w:rsidR="002108D7">
        <w:rPr>
          <w:sz w:val="20"/>
          <w:szCs w:val="20"/>
        </w:rPr>
        <w:t>”</w:t>
      </w:r>
      <w:r w:rsidR="0027359B" w:rsidRPr="007D66F8">
        <w:rPr>
          <w:sz w:val="20"/>
          <w:szCs w:val="20"/>
        </w:rPr>
        <w:t xml:space="preserve"> From these data, we create variables for each election measuring the share of votes cast for the Democrat relative to the decisive vote, indicator variables for close vote shares within the county or for Democratic victory, and interactions of these variables. Because county-level 1960, 1964</w:t>
      </w:r>
      <w:r w:rsidR="00D618B5">
        <w:rPr>
          <w:sz w:val="20"/>
          <w:szCs w:val="20"/>
        </w:rPr>
        <w:t>,</w:t>
      </w:r>
      <w:r w:rsidR="0027359B" w:rsidRPr="007D66F8">
        <w:rPr>
          <w:sz w:val="20"/>
          <w:szCs w:val="20"/>
        </w:rPr>
        <w:t xml:space="preserve"> and 1968 presidential election vote totals for Mississippi and Alabama have missing observations in ICPSR (1995), we hand-entered this information using official state publications: the </w:t>
      </w:r>
      <w:r w:rsidR="0027359B" w:rsidRPr="007D66F8">
        <w:rPr>
          <w:i/>
          <w:sz w:val="20"/>
          <w:szCs w:val="20"/>
        </w:rPr>
        <w:t xml:space="preserve">Alabama Official and </w:t>
      </w:r>
      <w:r w:rsidR="0027359B" w:rsidRPr="006F5EE7">
        <w:rPr>
          <w:i/>
          <w:spacing w:val="6"/>
          <w:sz w:val="20"/>
          <w:szCs w:val="20"/>
        </w:rPr>
        <w:t>Statistical Register</w:t>
      </w:r>
      <w:r w:rsidR="0027359B" w:rsidRPr="006F5EE7">
        <w:rPr>
          <w:spacing w:val="6"/>
          <w:sz w:val="20"/>
          <w:szCs w:val="20"/>
        </w:rPr>
        <w:t xml:space="preserve"> (</w:t>
      </w:r>
      <w:r w:rsidR="004F03A4" w:rsidRPr="006F5EE7">
        <w:rPr>
          <w:spacing w:val="6"/>
          <w:sz w:val="20"/>
          <w:szCs w:val="20"/>
        </w:rPr>
        <w:t>State of Alabama</w:t>
      </w:r>
      <w:r w:rsidR="006F5EE7" w:rsidRPr="006F5EE7">
        <w:rPr>
          <w:spacing w:val="6"/>
          <w:sz w:val="20"/>
          <w:szCs w:val="20"/>
        </w:rPr>
        <w:t xml:space="preserve"> </w:t>
      </w:r>
      <w:r w:rsidR="0027359B" w:rsidRPr="006F5EE7">
        <w:rPr>
          <w:spacing w:val="6"/>
          <w:sz w:val="20"/>
          <w:szCs w:val="20"/>
        </w:rPr>
        <w:t xml:space="preserve">1963) and </w:t>
      </w:r>
      <w:r w:rsidR="0027359B" w:rsidRPr="006F5EE7">
        <w:rPr>
          <w:i/>
          <w:spacing w:val="6"/>
          <w:sz w:val="20"/>
          <w:szCs w:val="20"/>
        </w:rPr>
        <w:t>Mississippi Election Statistics</w:t>
      </w:r>
      <w:r w:rsidR="0027359B" w:rsidRPr="007D66F8">
        <w:rPr>
          <w:sz w:val="20"/>
          <w:szCs w:val="20"/>
        </w:rPr>
        <w:t xml:space="preserve"> (</w:t>
      </w:r>
      <w:r w:rsidR="004F03A4">
        <w:rPr>
          <w:sz w:val="20"/>
          <w:szCs w:val="20"/>
        </w:rPr>
        <w:t xml:space="preserve">Abney </w:t>
      </w:r>
      <w:r w:rsidR="0027359B" w:rsidRPr="007D66F8">
        <w:rPr>
          <w:sz w:val="20"/>
          <w:szCs w:val="20"/>
        </w:rPr>
        <w:t xml:space="preserve">1968). Bradley and Independence </w:t>
      </w:r>
      <w:r w:rsidR="009768D6" w:rsidRPr="007D66F8">
        <w:rPr>
          <w:sz w:val="20"/>
          <w:szCs w:val="20"/>
        </w:rPr>
        <w:t>Countie</w:t>
      </w:r>
      <w:r w:rsidR="0027359B" w:rsidRPr="007D66F8">
        <w:rPr>
          <w:sz w:val="20"/>
          <w:szCs w:val="20"/>
        </w:rPr>
        <w:t>s, Arkansas have missing data as well, but we could not find an alternative data source. These two counties are dropped from our analysis.</w:t>
      </w:r>
    </w:p>
    <w:p w:rsidR="0027359B" w:rsidRPr="007D66F8" w:rsidRDefault="000325FA" w:rsidP="000325FA">
      <w:pPr>
        <w:tabs>
          <w:tab w:val="left" w:pos="200"/>
        </w:tabs>
        <w:jc w:val="both"/>
        <w:rPr>
          <w:sz w:val="20"/>
          <w:szCs w:val="20"/>
        </w:rPr>
      </w:pPr>
      <w:r>
        <w:rPr>
          <w:sz w:val="20"/>
          <w:szCs w:val="20"/>
        </w:rPr>
        <w:tab/>
      </w:r>
      <w:r w:rsidR="0027359B" w:rsidRPr="007D66F8">
        <w:rPr>
          <w:sz w:val="20"/>
          <w:szCs w:val="20"/>
        </w:rPr>
        <w:t xml:space="preserve">Specifically, we construct the </w:t>
      </w:r>
      <w:r w:rsidR="0027359B" w:rsidRPr="007D66F8">
        <w:rPr>
          <w:i/>
          <w:sz w:val="20"/>
          <w:szCs w:val="20"/>
        </w:rPr>
        <w:t>relative</w:t>
      </w:r>
      <w:r w:rsidR="0027359B" w:rsidRPr="007D66F8">
        <w:rPr>
          <w:sz w:val="20"/>
          <w:szCs w:val="20"/>
        </w:rPr>
        <w:t xml:space="preserve"> vote share as half the difference between the Democratic vote share and the winner (in the case of a loss) or the second-place candidate (if the Democrat is the winner). In a two-party race, a 50</w:t>
      </w:r>
      <w:r w:rsidR="00393524">
        <w:rPr>
          <w:sz w:val="20"/>
          <w:szCs w:val="22"/>
        </w:rPr>
        <w:t>–</w:t>
      </w:r>
      <w:r w:rsidR="0027359B" w:rsidRPr="007D66F8">
        <w:rPr>
          <w:sz w:val="20"/>
          <w:szCs w:val="20"/>
        </w:rPr>
        <w:t>50 split sets this variable equal to 0; a 75</w:t>
      </w:r>
      <w:r w:rsidR="00393524">
        <w:rPr>
          <w:sz w:val="20"/>
          <w:szCs w:val="22"/>
        </w:rPr>
        <w:t>–</w:t>
      </w:r>
      <w:r w:rsidR="0027359B" w:rsidRPr="007D66F8">
        <w:rPr>
          <w:sz w:val="20"/>
          <w:szCs w:val="20"/>
        </w:rPr>
        <w:t xml:space="preserve">25 win is a relative share of +25 percent; a 60-40 loss is a relative share of </w:t>
      </w:r>
      <w:r w:rsidR="009B04E2">
        <w:rPr>
          <w:sz w:val="20"/>
          <w:szCs w:val="22"/>
        </w:rPr>
        <w:t>–</w:t>
      </w:r>
      <w:r w:rsidR="0027359B" w:rsidRPr="007D66F8">
        <w:rPr>
          <w:sz w:val="20"/>
          <w:szCs w:val="20"/>
        </w:rPr>
        <w:t>10 percent; etc. For the 1964 election, the share of ballots cast for third parties is small in all states, and the variable is extremely close to this ideal.</w:t>
      </w:r>
    </w:p>
    <w:p w:rsidR="0027359B" w:rsidRPr="007D66F8" w:rsidRDefault="000325FA" w:rsidP="000325FA">
      <w:pPr>
        <w:tabs>
          <w:tab w:val="left" w:pos="200"/>
        </w:tabs>
        <w:jc w:val="both"/>
        <w:rPr>
          <w:sz w:val="20"/>
          <w:szCs w:val="20"/>
        </w:rPr>
      </w:pPr>
      <w:r>
        <w:rPr>
          <w:sz w:val="20"/>
          <w:szCs w:val="20"/>
        </w:rPr>
        <w:tab/>
      </w:r>
      <w:r w:rsidR="0027359B" w:rsidRPr="007D66F8">
        <w:rPr>
          <w:sz w:val="20"/>
          <w:szCs w:val="20"/>
        </w:rPr>
        <w:t xml:space="preserve">We obtain county-level estimates of voter turnout and measures of Democratic vote share in elections to the House of Representatives from 1950 to 1972 from </w:t>
      </w:r>
      <w:r w:rsidR="00153E31">
        <w:rPr>
          <w:sz w:val="20"/>
          <w:szCs w:val="20"/>
        </w:rPr>
        <w:t xml:space="preserve">Jerome M. </w:t>
      </w:r>
      <w:proofErr w:type="spellStart"/>
      <w:r w:rsidR="0027359B" w:rsidRPr="007D66F8">
        <w:rPr>
          <w:sz w:val="20"/>
          <w:szCs w:val="20"/>
        </w:rPr>
        <w:t>Clubb</w:t>
      </w:r>
      <w:proofErr w:type="spellEnd"/>
      <w:r w:rsidR="0027359B" w:rsidRPr="007D66F8">
        <w:rPr>
          <w:sz w:val="20"/>
          <w:szCs w:val="20"/>
        </w:rPr>
        <w:t xml:space="preserve">, </w:t>
      </w:r>
      <w:r w:rsidR="00153E31">
        <w:rPr>
          <w:sz w:val="20"/>
          <w:szCs w:val="20"/>
        </w:rPr>
        <w:t xml:space="preserve">William H. </w:t>
      </w:r>
      <w:proofErr w:type="spellStart"/>
      <w:r w:rsidR="0027359B" w:rsidRPr="007D66F8">
        <w:rPr>
          <w:sz w:val="20"/>
          <w:szCs w:val="20"/>
        </w:rPr>
        <w:t>Flanigan</w:t>
      </w:r>
      <w:proofErr w:type="spellEnd"/>
      <w:r w:rsidR="00EE0367">
        <w:rPr>
          <w:sz w:val="20"/>
          <w:szCs w:val="20"/>
        </w:rPr>
        <w:t>,</w:t>
      </w:r>
      <w:r w:rsidR="0027359B" w:rsidRPr="007D66F8">
        <w:rPr>
          <w:sz w:val="20"/>
          <w:szCs w:val="20"/>
        </w:rPr>
        <w:t xml:space="preserve"> and </w:t>
      </w:r>
      <w:r w:rsidR="00153E31">
        <w:rPr>
          <w:sz w:val="20"/>
          <w:szCs w:val="20"/>
        </w:rPr>
        <w:t xml:space="preserve">Nancy H. </w:t>
      </w:r>
      <w:proofErr w:type="spellStart"/>
      <w:r w:rsidR="0027359B" w:rsidRPr="007D66F8">
        <w:rPr>
          <w:sz w:val="20"/>
          <w:szCs w:val="20"/>
        </w:rPr>
        <w:t>Zingale</w:t>
      </w:r>
      <w:proofErr w:type="spellEnd"/>
      <w:r w:rsidR="0027359B" w:rsidRPr="007D66F8">
        <w:rPr>
          <w:sz w:val="20"/>
          <w:szCs w:val="20"/>
        </w:rPr>
        <w:t xml:space="preserve"> (2006, ICPSR 8611). This data</w:t>
      </w:r>
      <w:r w:rsidR="00907F5A">
        <w:rPr>
          <w:sz w:val="20"/>
          <w:szCs w:val="20"/>
        </w:rPr>
        <w:t xml:space="preserve"> </w:t>
      </w:r>
      <w:r w:rsidR="0027359B" w:rsidRPr="007D66F8">
        <w:rPr>
          <w:sz w:val="20"/>
          <w:szCs w:val="20"/>
        </w:rPr>
        <w:t xml:space="preserve">set estimates the number of eligible voters using interpolation between decennial censuses and laws governing voter eligibility. As such, turnout can exceed </w:t>
      </w:r>
      <w:r w:rsidR="00C20D45">
        <w:rPr>
          <w:sz w:val="20"/>
          <w:szCs w:val="20"/>
        </w:rPr>
        <w:t>100</w:t>
      </w:r>
      <w:r w:rsidR="0027359B" w:rsidRPr="007D66F8">
        <w:rPr>
          <w:sz w:val="20"/>
          <w:szCs w:val="20"/>
        </w:rPr>
        <w:t xml:space="preserve"> percent when </w:t>
      </w:r>
      <w:r w:rsidR="0027359B" w:rsidRPr="00153E31">
        <w:rPr>
          <w:spacing w:val="6"/>
          <w:sz w:val="20"/>
          <w:szCs w:val="20"/>
        </w:rPr>
        <w:lastRenderedPageBreak/>
        <w:t>county vote totals exceed their estimated number of eligible voters; see their</w:t>
      </w:r>
      <w:r w:rsidR="0027359B" w:rsidRPr="007D66F8">
        <w:rPr>
          <w:sz w:val="20"/>
          <w:szCs w:val="20"/>
        </w:rPr>
        <w:t xml:space="preserve"> documentation for more details. Some counties are missing election data in this source in each election cycle; </w:t>
      </w:r>
      <w:r w:rsidR="0027359B" w:rsidRPr="00D36CC4">
        <w:rPr>
          <w:spacing w:val="6"/>
          <w:sz w:val="20"/>
          <w:szCs w:val="20"/>
        </w:rPr>
        <w:t>as such we use</w:t>
      </w:r>
      <w:r w:rsidR="00F55CA1">
        <w:rPr>
          <w:spacing w:val="6"/>
          <w:sz w:val="20"/>
          <w:szCs w:val="20"/>
        </w:rPr>
        <w:t xml:space="preserve"> a</w:t>
      </w:r>
      <w:r w:rsidR="0027359B" w:rsidRPr="00D36CC4">
        <w:rPr>
          <w:spacing w:val="6"/>
          <w:sz w:val="20"/>
          <w:szCs w:val="20"/>
        </w:rPr>
        <w:t xml:space="preserve"> balanced panel of 2,585 counties in our analysis of turnout and </w:t>
      </w:r>
      <w:r w:rsidR="0027359B" w:rsidRPr="007D66F8">
        <w:rPr>
          <w:sz w:val="20"/>
          <w:szCs w:val="20"/>
        </w:rPr>
        <w:t>Democratic vote share that are observed in each election from 1950 to 1972.</w:t>
      </w:r>
    </w:p>
    <w:p w:rsidR="0027359B" w:rsidRPr="007D66F8" w:rsidRDefault="00DD069D" w:rsidP="00DD069D">
      <w:pPr>
        <w:tabs>
          <w:tab w:val="left" w:pos="200"/>
        </w:tabs>
        <w:jc w:val="both"/>
        <w:rPr>
          <w:sz w:val="20"/>
          <w:szCs w:val="20"/>
        </w:rPr>
      </w:pPr>
      <w:r>
        <w:rPr>
          <w:sz w:val="20"/>
          <w:szCs w:val="20"/>
        </w:rPr>
        <w:tab/>
      </w:r>
      <w:r w:rsidR="0027359B" w:rsidRPr="007D66F8">
        <w:rPr>
          <w:sz w:val="20"/>
          <w:szCs w:val="20"/>
        </w:rPr>
        <w:t>Clubb, Flanigan</w:t>
      </w:r>
      <w:r w:rsidR="00EE0367">
        <w:rPr>
          <w:sz w:val="20"/>
          <w:szCs w:val="20"/>
        </w:rPr>
        <w:t>,</w:t>
      </w:r>
      <w:r w:rsidR="0027359B" w:rsidRPr="007D66F8">
        <w:rPr>
          <w:sz w:val="20"/>
          <w:szCs w:val="20"/>
        </w:rPr>
        <w:t xml:space="preserve"> and Zingale (2006) is also the basis of several additional political variables included in </w:t>
      </w:r>
      <w:r w:rsidR="00F5535C">
        <w:rPr>
          <w:sz w:val="20"/>
          <w:szCs w:val="20"/>
        </w:rPr>
        <w:t xml:space="preserve">Appendix Table </w:t>
      </w:r>
      <w:r w:rsidR="0027359B" w:rsidRPr="007D66F8">
        <w:rPr>
          <w:sz w:val="20"/>
          <w:szCs w:val="20"/>
        </w:rPr>
        <w:t>5 to replicate as closely as possible for the 1960s the variables used in Fishback, Kantor</w:t>
      </w:r>
      <w:r>
        <w:rPr>
          <w:sz w:val="20"/>
          <w:szCs w:val="20"/>
        </w:rPr>
        <w:t>,</w:t>
      </w:r>
      <w:r w:rsidR="0027359B" w:rsidRPr="007D66F8">
        <w:rPr>
          <w:sz w:val="20"/>
          <w:szCs w:val="20"/>
        </w:rPr>
        <w:t xml:space="preserve"> and Wallis</w:t>
      </w:r>
      <w:r w:rsidR="002108D7">
        <w:rPr>
          <w:sz w:val="20"/>
          <w:szCs w:val="20"/>
        </w:rPr>
        <w:t>’</w:t>
      </w:r>
      <w:r w:rsidR="0027359B" w:rsidRPr="007D66F8">
        <w:rPr>
          <w:sz w:val="20"/>
          <w:szCs w:val="20"/>
        </w:rPr>
        <w:t xml:space="preserve">s (2003) study of the New Deal. These additional variables are the Democratic presidential vote share over </w:t>
      </w:r>
      <w:r w:rsidR="003A73AF">
        <w:rPr>
          <w:sz w:val="20"/>
          <w:szCs w:val="20"/>
        </w:rPr>
        <w:t>nine</w:t>
      </w:r>
      <w:r w:rsidR="0027359B" w:rsidRPr="007D66F8">
        <w:rPr>
          <w:sz w:val="20"/>
          <w:szCs w:val="20"/>
        </w:rPr>
        <w:t xml:space="preserve"> election cycles, the volatility (measured by standard deviation) of Democratic share </w:t>
      </w:r>
      <w:r w:rsidR="0027359B" w:rsidRPr="003A73AF">
        <w:rPr>
          <w:spacing w:val="6"/>
          <w:sz w:val="20"/>
          <w:szCs w:val="20"/>
        </w:rPr>
        <w:t xml:space="preserve">over </w:t>
      </w:r>
      <w:r w:rsidR="003A73AF" w:rsidRPr="003A73AF">
        <w:rPr>
          <w:spacing w:val="6"/>
          <w:sz w:val="20"/>
          <w:szCs w:val="20"/>
        </w:rPr>
        <w:t>ten</w:t>
      </w:r>
      <w:r w:rsidR="0027359B" w:rsidRPr="003A73AF">
        <w:rPr>
          <w:spacing w:val="6"/>
          <w:sz w:val="20"/>
          <w:szCs w:val="20"/>
        </w:rPr>
        <w:t xml:space="preserve"> election cycles, and the swing in Democratic share since the previous</w:t>
      </w:r>
      <w:r w:rsidR="0027359B" w:rsidRPr="007D66F8">
        <w:rPr>
          <w:sz w:val="20"/>
          <w:szCs w:val="20"/>
        </w:rPr>
        <w:t xml:space="preserve"> election.</w:t>
      </w:r>
    </w:p>
    <w:p w:rsidR="0027359B" w:rsidRPr="00DD069D" w:rsidRDefault="0027359B" w:rsidP="007D66F8">
      <w:pPr>
        <w:pStyle w:val="Dataset"/>
        <w:numPr>
          <w:ilvl w:val="0"/>
          <w:numId w:val="0"/>
        </w:numPr>
        <w:ind w:left="360"/>
        <w:jc w:val="both"/>
        <w:rPr>
          <w:b w:val="0"/>
          <w:i/>
          <w:sz w:val="20"/>
          <w:szCs w:val="20"/>
        </w:rPr>
      </w:pPr>
    </w:p>
    <w:p w:rsidR="0027359B" w:rsidRPr="00DD069D" w:rsidRDefault="0027359B" w:rsidP="00DD069D">
      <w:pPr>
        <w:pStyle w:val="Dataset"/>
        <w:numPr>
          <w:ilvl w:val="0"/>
          <w:numId w:val="0"/>
        </w:numPr>
        <w:jc w:val="both"/>
        <w:rPr>
          <w:b w:val="0"/>
          <w:i/>
          <w:sz w:val="20"/>
          <w:szCs w:val="20"/>
        </w:rPr>
      </w:pPr>
      <w:r w:rsidRPr="00DD069D">
        <w:rPr>
          <w:b w:val="0"/>
          <w:i/>
          <w:sz w:val="20"/>
          <w:szCs w:val="20"/>
        </w:rPr>
        <w:t>County-</w:t>
      </w:r>
      <w:r w:rsidR="00DD069D" w:rsidRPr="00DD069D">
        <w:rPr>
          <w:b w:val="0"/>
          <w:i/>
          <w:sz w:val="20"/>
          <w:szCs w:val="20"/>
        </w:rPr>
        <w:t>Lev</w:t>
      </w:r>
      <w:r w:rsidRPr="00DD069D">
        <w:rPr>
          <w:b w:val="0"/>
          <w:i/>
          <w:sz w:val="20"/>
          <w:szCs w:val="20"/>
        </w:rPr>
        <w:t>el Information in Agriculture</w:t>
      </w:r>
    </w:p>
    <w:p w:rsidR="00DD069D" w:rsidRPr="007D66F8" w:rsidRDefault="00DD069D" w:rsidP="00DD069D">
      <w:pPr>
        <w:pStyle w:val="Dataset"/>
        <w:numPr>
          <w:ilvl w:val="0"/>
          <w:numId w:val="0"/>
        </w:numPr>
        <w:jc w:val="both"/>
        <w:rPr>
          <w:sz w:val="20"/>
          <w:szCs w:val="20"/>
        </w:rPr>
      </w:pPr>
    </w:p>
    <w:p w:rsidR="0027359B" w:rsidRPr="007D66F8" w:rsidRDefault="0052755F" w:rsidP="0052755F">
      <w:pPr>
        <w:pStyle w:val="Dataset"/>
        <w:numPr>
          <w:ilvl w:val="0"/>
          <w:numId w:val="0"/>
        </w:numPr>
        <w:tabs>
          <w:tab w:val="left" w:pos="200"/>
        </w:tabs>
        <w:jc w:val="both"/>
        <w:rPr>
          <w:b w:val="0"/>
          <w:sz w:val="20"/>
          <w:szCs w:val="20"/>
        </w:rPr>
      </w:pPr>
      <w:r>
        <w:rPr>
          <w:b w:val="0"/>
          <w:sz w:val="20"/>
          <w:szCs w:val="20"/>
        </w:rPr>
        <w:tab/>
      </w:r>
      <w:r w:rsidR="0027359B" w:rsidRPr="007D66F8">
        <w:rPr>
          <w:b w:val="0"/>
          <w:sz w:val="20"/>
          <w:szCs w:val="20"/>
        </w:rPr>
        <w:t xml:space="preserve">An indicator variable for the </w:t>
      </w:r>
      <w:r w:rsidR="009F1015" w:rsidRPr="007D66F8">
        <w:rPr>
          <w:b w:val="0"/>
          <w:sz w:val="20"/>
          <w:szCs w:val="20"/>
        </w:rPr>
        <w:t>census</w:t>
      </w:r>
      <w:r w:rsidR="0027359B" w:rsidRPr="007D66F8">
        <w:rPr>
          <w:b w:val="0"/>
          <w:sz w:val="20"/>
          <w:szCs w:val="20"/>
        </w:rPr>
        <w:t xml:space="preserve"> </w:t>
      </w:r>
      <w:r w:rsidR="002108D7">
        <w:rPr>
          <w:b w:val="0"/>
          <w:sz w:val="20"/>
          <w:szCs w:val="20"/>
        </w:rPr>
        <w:t>“</w:t>
      </w:r>
      <w:r w:rsidR="0027359B" w:rsidRPr="007D66F8">
        <w:rPr>
          <w:b w:val="0"/>
          <w:sz w:val="20"/>
          <w:szCs w:val="20"/>
        </w:rPr>
        <w:t>plantation county</w:t>
      </w:r>
      <w:r w:rsidR="002108D7">
        <w:rPr>
          <w:b w:val="0"/>
          <w:sz w:val="20"/>
          <w:szCs w:val="20"/>
        </w:rPr>
        <w:t>”</w:t>
      </w:r>
      <w:r w:rsidR="0027359B" w:rsidRPr="007D66F8">
        <w:rPr>
          <w:b w:val="0"/>
          <w:sz w:val="20"/>
          <w:szCs w:val="20"/>
        </w:rPr>
        <w:t xml:space="preserve"> designation is derived from a special report on 1910 cotton production in 337 counties characterized by plantation </w:t>
      </w:r>
      <w:r w:rsidR="0027359B" w:rsidRPr="009F1015">
        <w:rPr>
          <w:b w:val="0"/>
          <w:spacing w:val="6"/>
          <w:sz w:val="20"/>
          <w:szCs w:val="20"/>
        </w:rPr>
        <w:t>agriculture (U.S. Bureau of the Census 1916). The list of these counties was</w:t>
      </w:r>
      <w:r w:rsidR="0027359B" w:rsidRPr="007D66F8">
        <w:rPr>
          <w:b w:val="0"/>
          <w:sz w:val="20"/>
          <w:szCs w:val="20"/>
        </w:rPr>
        <w:t xml:space="preserve"> generously provided in machine-readable form by Paul Rhode.</w:t>
      </w:r>
    </w:p>
    <w:p w:rsidR="0027359B" w:rsidRPr="007D66F8" w:rsidRDefault="0052755F" w:rsidP="0052755F">
      <w:pPr>
        <w:pStyle w:val="Dataset"/>
        <w:numPr>
          <w:ilvl w:val="0"/>
          <w:numId w:val="0"/>
        </w:numPr>
        <w:tabs>
          <w:tab w:val="left" w:pos="200"/>
        </w:tabs>
        <w:jc w:val="both"/>
        <w:rPr>
          <w:b w:val="0"/>
          <w:sz w:val="20"/>
          <w:szCs w:val="20"/>
        </w:rPr>
      </w:pPr>
      <w:r>
        <w:rPr>
          <w:b w:val="0"/>
          <w:sz w:val="20"/>
          <w:szCs w:val="20"/>
        </w:rPr>
        <w:tab/>
      </w:r>
      <w:r w:rsidR="0027359B" w:rsidRPr="00F5535C">
        <w:rPr>
          <w:b w:val="0"/>
          <w:spacing w:val="6"/>
          <w:sz w:val="20"/>
          <w:szCs w:val="20"/>
        </w:rPr>
        <w:t xml:space="preserve">Sharecroppers as a share of farm operators are derived from counts of total </w:t>
      </w:r>
      <w:r w:rsidR="0027359B" w:rsidRPr="007D66F8">
        <w:rPr>
          <w:b w:val="0"/>
          <w:sz w:val="20"/>
          <w:szCs w:val="20"/>
        </w:rPr>
        <w:t xml:space="preserve">operators and croppers from the U.S. Censuses of Agriculture for 1930 and 1959. </w:t>
      </w:r>
      <w:r w:rsidR="006C18A1" w:rsidRPr="007D4E62">
        <w:rPr>
          <w:w w:val="97"/>
        </w:rPr>
        <w:br/>
      </w:r>
      <w:r w:rsidR="0027359B" w:rsidRPr="007D66F8">
        <w:rPr>
          <w:b w:val="0"/>
          <w:sz w:val="20"/>
          <w:szCs w:val="20"/>
        </w:rPr>
        <w:t>Data for 1930 and 1935 were kindly provided by Fishback, Haines</w:t>
      </w:r>
      <w:r w:rsidR="00642F54">
        <w:rPr>
          <w:b w:val="0"/>
          <w:sz w:val="20"/>
          <w:szCs w:val="20"/>
        </w:rPr>
        <w:t>,</w:t>
      </w:r>
      <w:r w:rsidR="0027359B" w:rsidRPr="007D66F8">
        <w:rPr>
          <w:b w:val="0"/>
          <w:sz w:val="20"/>
          <w:szCs w:val="20"/>
        </w:rPr>
        <w:t xml:space="preserve"> and Rhode. </w:t>
      </w:r>
      <w:r w:rsidR="00EE0367" w:rsidRPr="007D66F8">
        <w:rPr>
          <w:b w:val="0"/>
          <w:sz w:val="20"/>
          <w:szCs w:val="20"/>
        </w:rPr>
        <w:t>Total operators for 1959 were</w:t>
      </w:r>
      <w:r w:rsidR="0027359B" w:rsidRPr="007D66F8">
        <w:rPr>
          <w:b w:val="0"/>
          <w:sz w:val="20"/>
          <w:szCs w:val="20"/>
        </w:rPr>
        <w:t xml:space="preserve"> obtained from Haines (2010). Sharecropper counts for 1954 and 1959</w:t>
      </w:r>
      <w:r w:rsidR="0022538C">
        <w:rPr>
          <w:b w:val="0"/>
          <w:sz w:val="20"/>
          <w:szCs w:val="20"/>
        </w:rPr>
        <w:t xml:space="preserve"> Censuses of Agriculture were hand</w:t>
      </w:r>
      <w:r w:rsidR="005334DF">
        <w:rPr>
          <w:b w:val="0"/>
          <w:sz w:val="20"/>
          <w:szCs w:val="20"/>
        </w:rPr>
        <w:t>-entered</w:t>
      </w:r>
      <w:r w:rsidR="0022538C">
        <w:rPr>
          <w:b w:val="0"/>
          <w:sz w:val="20"/>
          <w:szCs w:val="20"/>
        </w:rPr>
        <w:t xml:space="preserve"> by</w:t>
      </w:r>
      <w:r w:rsidR="0027359B" w:rsidRPr="007D66F8">
        <w:rPr>
          <w:b w:val="0"/>
          <w:sz w:val="20"/>
          <w:szCs w:val="20"/>
        </w:rPr>
        <w:t xml:space="preserve"> Depew, Fishback</w:t>
      </w:r>
      <w:r w:rsidR="00393524">
        <w:rPr>
          <w:b w:val="0"/>
          <w:sz w:val="20"/>
          <w:szCs w:val="20"/>
        </w:rPr>
        <w:t>,</w:t>
      </w:r>
      <w:r w:rsidR="0027359B" w:rsidRPr="007D66F8">
        <w:rPr>
          <w:b w:val="0"/>
          <w:sz w:val="20"/>
          <w:szCs w:val="20"/>
        </w:rPr>
        <w:t xml:space="preserve"> and Rhode </w:t>
      </w:r>
      <w:r w:rsidR="005334DF">
        <w:rPr>
          <w:b w:val="0"/>
          <w:sz w:val="20"/>
          <w:szCs w:val="20"/>
        </w:rPr>
        <w:t>(</w:t>
      </w:r>
      <w:r w:rsidR="0027359B" w:rsidRPr="007D66F8">
        <w:rPr>
          <w:b w:val="0"/>
          <w:sz w:val="20"/>
          <w:szCs w:val="20"/>
        </w:rPr>
        <w:t xml:space="preserve">2012). </w:t>
      </w:r>
    </w:p>
    <w:p w:rsidR="0027359B" w:rsidRPr="007D66F8" w:rsidRDefault="0027359B" w:rsidP="007D66F8">
      <w:pPr>
        <w:jc w:val="both"/>
        <w:rPr>
          <w:sz w:val="20"/>
          <w:szCs w:val="20"/>
        </w:rPr>
      </w:pPr>
    </w:p>
    <w:p w:rsidR="0027359B" w:rsidRPr="0052755F" w:rsidRDefault="0027359B" w:rsidP="0052755F">
      <w:pPr>
        <w:pStyle w:val="Dataset"/>
        <w:numPr>
          <w:ilvl w:val="0"/>
          <w:numId w:val="0"/>
        </w:numPr>
        <w:jc w:val="both"/>
        <w:rPr>
          <w:b w:val="0"/>
          <w:i/>
          <w:sz w:val="20"/>
          <w:szCs w:val="20"/>
        </w:rPr>
      </w:pPr>
      <w:r w:rsidRPr="0052755F">
        <w:rPr>
          <w:b w:val="0"/>
          <w:i/>
          <w:sz w:val="20"/>
          <w:szCs w:val="20"/>
        </w:rPr>
        <w:t xml:space="preserve">Measures of Congressional Power and Committee Chairmanship </w:t>
      </w:r>
    </w:p>
    <w:p w:rsidR="0052755F" w:rsidRPr="007D66F8" w:rsidRDefault="0052755F" w:rsidP="0052755F">
      <w:pPr>
        <w:pStyle w:val="Dataset"/>
        <w:numPr>
          <w:ilvl w:val="0"/>
          <w:numId w:val="0"/>
        </w:numPr>
        <w:jc w:val="both"/>
        <w:rPr>
          <w:sz w:val="20"/>
          <w:szCs w:val="20"/>
        </w:rPr>
      </w:pPr>
    </w:p>
    <w:p w:rsidR="0027359B" w:rsidRPr="007D66F8" w:rsidRDefault="00F913FC" w:rsidP="00F913FC">
      <w:pPr>
        <w:tabs>
          <w:tab w:val="left" w:pos="200"/>
        </w:tabs>
        <w:jc w:val="both"/>
        <w:rPr>
          <w:sz w:val="20"/>
          <w:szCs w:val="20"/>
        </w:rPr>
      </w:pPr>
      <w:r>
        <w:rPr>
          <w:sz w:val="20"/>
          <w:szCs w:val="20"/>
        </w:rPr>
        <w:tab/>
      </w:r>
      <w:r w:rsidR="0027359B" w:rsidRPr="007D66F8">
        <w:rPr>
          <w:sz w:val="20"/>
          <w:szCs w:val="20"/>
        </w:rPr>
        <w:t xml:space="preserve">Party identification and committee membership and rank data for members of </w:t>
      </w:r>
      <w:r w:rsidR="0027359B" w:rsidRPr="00792AFD">
        <w:rPr>
          <w:spacing w:val="8"/>
          <w:sz w:val="20"/>
          <w:szCs w:val="20"/>
        </w:rPr>
        <w:t>Congress is observed at the level of the individual, with one observation per</w:t>
      </w:r>
      <w:r w:rsidR="0027359B" w:rsidRPr="007D66F8">
        <w:rPr>
          <w:sz w:val="20"/>
          <w:szCs w:val="20"/>
        </w:rPr>
        <w:t xml:space="preserve"> committee assignment, per congress (Nelson 2012). We matched these data to counties using a crosswalk constructed from the district number variable in </w:t>
      </w:r>
      <w:proofErr w:type="spellStart"/>
      <w:r w:rsidR="0027359B" w:rsidRPr="007D66F8">
        <w:rPr>
          <w:sz w:val="20"/>
          <w:szCs w:val="20"/>
        </w:rPr>
        <w:t>Clubb</w:t>
      </w:r>
      <w:proofErr w:type="spellEnd"/>
      <w:r w:rsidR="0027359B" w:rsidRPr="007D66F8">
        <w:rPr>
          <w:sz w:val="20"/>
          <w:szCs w:val="20"/>
        </w:rPr>
        <w:t xml:space="preserve">, </w:t>
      </w:r>
      <w:proofErr w:type="spellStart"/>
      <w:r w:rsidR="0027359B" w:rsidRPr="007D66F8">
        <w:rPr>
          <w:sz w:val="20"/>
          <w:szCs w:val="20"/>
        </w:rPr>
        <w:t>Flanigan</w:t>
      </w:r>
      <w:proofErr w:type="spellEnd"/>
      <w:r w:rsidR="00EE0367">
        <w:rPr>
          <w:sz w:val="20"/>
          <w:szCs w:val="20"/>
        </w:rPr>
        <w:t>,</w:t>
      </w:r>
      <w:r w:rsidR="0027359B" w:rsidRPr="007D66F8">
        <w:rPr>
          <w:sz w:val="20"/>
          <w:szCs w:val="20"/>
        </w:rPr>
        <w:t xml:space="preserve"> and </w:t>
      </w:r>
      <w:proofErr w:type="spellStart"/>
      <w:r w:rsidR="0027359B" w:rsidRPr="007D66F8">
        <w:rPr>
          <w:sz w:val="20"/>
          <w:szCs w:val="20"/>
        </w:rPr>
        <w:t>Zingale</w:t>
      </w:r>
      <w:proofErr w:type="spellEnd"/>
      <w:r w:rsidR="0027359B" w:rsidRPr="007D66F8">
        <w:rPr>
          <w:sz w:val="20"/>
          <w:szCs w:val="20"/>
        </w:rPr>
        <w:t xml:space="preserve"> (2006) and maps in the </w:t>
      </w:r>
      <w:r w:rsidR="0027359B" w:rsidRPr="007D66F8">
        <w:rPr>
          <w:i/>
          <w:sz w:val="20"/>
          <w:szCs w:val="20"/>
        </w:rPr>
        <w:t>Atlas of Congressional Districts</w:t>
      </w:r>
      <w:r w:rsidR="0027359B" w:rsidRPr="007D66F8">
        <w:rPr>
          <w:sz w:val="20"/>
          <w:szCs w:val="20"/>
        </w:rPr>
        <w:t xml:space="preserve"> (</w:t>
      </w:r>
      <w:r w:rsidR="00AD1EF9">
        <w:rPr>
          <w:sz w:val="20"/>
          <w:szCs w:val="20"/>
        </w:rPr>
        <w:t>U.S. Bureau of the Census</w:t>
      </w:r>
      <w:r w:rsidR="008B357C">
        <w:rPr>
          <w:sz w:val="20"/>
          <w:szCs w:val="20"/>
        </w:rPr>
        <w:t xml:space="preserve"> </w:t>
      </w:r>
      <w:r w:rsidR="0027359B" w:rsidRPr="007D66F8">
        <w:rPr>
          <w:sz w:val="20"/>
          <w:szCs w:val="20"/>
        </w:rPr>
        <w:t xml:space="preserve">1964, 1966, 1968). Following </w:t>
      </w:r>
      <w:r w:rsidR="00792AFD">
        <w:rPr>
          <w:sz w:val="20"/>
          <w:szCs w:val="20"/>
        </w:rPr>
        <w:t xml:space="preserve">Lee J. </w:t>
      </w:r>
      <w:r w:rsidR="0027359B" w:rsidRPr="007D66F8">
        <w:rPr>
          <w:sz w:val="20"/>
          <w:szCs w:val="20"/>
        </w:rPr>
        <w:t xml:space="preserve">Alston and </w:t>
      </w:r>
      <w:r w:rsidR="00792AFD">
        <w:rPr>
          <w:sz w:val="20"/>
          <w:szCs w:val="20"/>
        </w:rPr>
        <w:t xml:space="preserve">Joseph P. </w:t>
      </w:r>
      <w:proofErr w:type="spellStart"/>
      <w:r w:rsidR="0027359B" w:rsidRPr="007D66F8">
        <w:rPr>
          <w:sz w:val="20"/>
          <w:szCs w:val="20"/>
        </w:rPr>
        <w:t>Ferrie</w:t>
      </w:r>
      <w:proofErr w:type="spellEnd"/>
      <w:r w:rsidR="0027359B" w:rsidRPr="007D66F8">
        <w:rPr>
          <w:sz w:val="20"/>
          <w:szCs w:val="20"/>
        </w:rPr>
        <w:t xml:space="preserve"> (1999</w:t>
      </w:r>
      <w:r w:rsidR="00792AFD">
        <w:rPr>
          <w:sz w:val="20"/>
          <w:szCs w:val="20"/>
        </w:rPr>
        <w:t xml:space="preserve">, p. </w:t>
      </w:r>
      <w:r w:rsidR="0027359B" w:rsidRPr="007D66F8">
        <w:rPr>
          <w:sz w:val="20"/>
          <w:szCs w:val="20"/>
        </w:rPr>
        <w:t xml:space="preserve">45), we define </w:t>
      </w:r>
      <w:r w:rsidR="0027359B" w:rsidRPr="00792AFD">
        <w:rPr>
          <w:spacing w:val="6"/>
          <w:sz w:val="20"/>
          <w:szCs w:val="20"/>
        </w:rPr>
        <w:t xml:space="preserve">the powerful committees of the House of Representatives as Ways and Means, </w:t>
      </w:r>
      <w:r w:rsidR="0027359B" w:rsidRPr="007D66F8">
        <w:rPr>
          <w:sz w:val="20"/>
          <w:szCs w:val="20"/>
        </w:rPr>
        <w:t xml:space="preserve">Appropriations, Rules, Education/Labor, Judiciary, and Agriculture. </w:t>
      </w:r>
    </w:p>
    <w:p w:rsidR="0027359B" w:rsidRPr="007D66F8" w:rsidRDefault="00F913FC" w:rsidP="00F913FC">
      <w:pPr>
        <w:tabs>
          <w:tab w:val="left" w:pos="200"/>
        </w:tabs>
        <w:jc w:val="both"/>
        <w:rPr>
          <w:sz w:val="20"/>
          <w:szCs w:val="20"/>
        </w:rPr>
      </w:pPr>
      <w:r>
        <w:rPr>
          <w:sz w:val="20"/>
          <w:szCs w:val="20"/>
        </w:rPr>
        <w:tab/>
      </w:r>
      <w:r w:rsidR="0027359B" w:rsidRPr="007D66F8">
        <w:rPr>
          <w:sz w:val="20"/>
          <w:szCs w:val="20"/>
        </w:rPr>
        <w:t>House representatives in leadership positions</w:t>
      </w:r>
      <w:r w:rsidR="00F74E89">
        <w:rPr>
          <w:sz w:val="20"/>
          <w:szCs w:val="20"/>
        </w:rPr>
        <w:t>—</w:t>
      </w:r>
      <w:r w:rsidR="0027359B" w:rsidRPr="007D66F8">
        <w:rPr>
          <w:sz w:val="20"/>
          <w:szCs w:val="20"/>
        </w:rPr>
        <w:t>that is, Speaker of the House or the leader or whip of either party</w:t>
      </w:r>
      <w:r w:rsidR="00F74E89">
        <w:rPr>
          <w:sz w:val="20"/>
          <w:szCs w:val="20"/>
        </w:rPr>
        <w:t>—</w:t>
      </w:r>
      <w:r w:rsidR="0027359B" w:rsidRPr="007D66F8">
        <w:rPr>
          <w:sz w:val="20"/>
          <w:szCs w:val="20"/>
        </w:rPr>
        <w:t>who do not also serve on committees are missing from the data set. We add information about these people and their leadership roles to the data manually, using the printed edition of Nelson</w:t>
      </w:r>
      <w:r w:rsidR="002108D7">
        <w:rPr>
          <w:sz w:val="20"/>
          <w:szCs w:val="20"/>
        </w:rPr>
        <w:t>’</w:t>
      </w:r>
      <w:r w:rsidR="0027359B" w:rsidRPr="007D66F8">
        <w:rPr>
          <w:sz w:val="20"/>
          <w:szCs w:val="20"/>
        </w:rPr>
        <w:t xml:space="preserve">s data (1993). </w:t>
      </w:r>
    </w:p>
    <w:p w:rsidR="0027359B" w:rsidRPr="007D66F8" w:rsidRDefault="00F913FC" w:rsidP="00F913FC">
      <w:pPr>
        <w:tabs>
          <w:tab w:val="left" w:pos="200"/>
        </w:tabs>
        <w:jc w:val="both"/>
        <w:rPr>
          <w:sz w:val="20"/>
          <w:szCs w:val="20"/>
        </w:rPr>
      </w:pPr>
      <w:r>
        <w:rPr>
          <w:sz w:val="20"/>
          <w:szCs w:val="20"/>
        </w:rPr>
        <w:tab/>
      </w:r>
      <w:r w:rsidR="0027359B" w:rsidRPr="007D66F8">
        <w:rPr>
          <w:sz w:val="20"/>
          <w:szCs w:val="20"/>
        </w:rPr>
        <w:t xml:space="preserve">We use our crosswalk to turn these variables and their interactions at the level of the congress-representative-assignment level into variables at the county level. Some counties have more than one representative in the House. We create indicator variables equal to one if </w:t>
      </w:r>
      <w:r w:rsidR="0027359B" w:rsidRPr="007D66F8">
        <w:rPr>
          <w:i/>
          <w:sz w:val="20"/>
          <w:szCs w:val="20"/>
        </w:rPr>
        <w:t>any</w:t>
      </w:r>
      <w:r w:rsidR="0027359B" w:rsidRPr="007D66F8">
        <w:rPr>
          <w:sz w:val="20"/>
          <w:szCs w:val="20"/>
        </w:rPr>
        <w:t xml:space="preserve"> county representative is a member of a powerful committee or in a House leadership position; if </w:t>
      </w:r>
      <w:r w:rsidR="0027359B" w:rsidRPr="007D66F8">
        <w:rPr>
          <w:i/>
          <w:sz w:val="20"/>
          <w:szCs w:val="20"/>
        </w:rPr>
        <w:t>any</w:t>
      </w:r>
      <w:r w:rsidR="0027359B" w:rsidRPr="007D66F8">
        <w:rPr>
          <w:sz w:val="20"/>
          <w:szCs w:val="20"/>
        </w:rPr>
        <w:t xml:space="preserve"> representative is in chair or senior minority member of a powerful committee or in a House leadership position; if </w:t>
      </w:r>
      <w:r w:rsidR="0027359B" w:rsidRPr="007D66F8">
        <w:rPr>
          <w:i/>
          <w:sz w:val="20"/>
          <w:szCs w:val="20"/>
        </w:rPr>
        <w:t>any</w:t>
      </w:r>
      <w:r w:rsidR="0027359B" w:rsidRPr="007D66F8">
        <w:rPr>
          <w:sz w:val="20"/>
          <w:szCs w:val="20"/>
        </w:rPr>
        <w:t xml:space="preserve"> representative </w:t>
      </w:r>
      <w:r w:rsidR="00D47E92" w:rsidRPr="007D4E62">
        <w:rPr>
          <w:w w:val="97"/>
        </w:rPr>
        <w:br/>
      </w:r>
      <w:r w:rsidR="0027359B" w:rsidRPr="007D66F8">
        <w:rPr>
          <w:sz w:val="20"/>
          <w:szCs w:val="20"/>
        </w:rPr>
        <w:t xml:space="preserve">is both a Democrat </w:t>
      </w:r>
      <w:r w:rsidR="0027359B" w:rsidRPr="007D66F8">
        <w:rPr>
          <w:i/>
          <w:sz w:val="20"/>
          <w:szCs w:val="20"/>
        </w:rPr>
        <w:t>and</w:t>
      </w:r>
      <w:r w:rsidR="0027359B" w:rsidRPr="007D66F8">
        <w:rPr>
          <w:sz w:val="20"/>
          <w:szCs w:val="20"/>
        </w:rPr>
        <w:t xml:space="preserve"> a committee member or a leader; and if any representative </w:t>
      </w:r>
      <w:r w:rsidR="00D47E92" w:rsidRPr="007D4E62">
        <w:rPr>
          <w:w w:val="97"/>
        </w:rPr>
        <w:br/>
      </w:r>
      <w:r w:rsidR="0027359B" w:rsidRPr="00E33A25">
        <w:rPr>
          <w:spacing w:val="6"/>
          <w:sz w:val="20"/>
          <w:szCs w:val="20"/>
        </w:rPr>
        <w:t xml:space="preserve">is both a Democrat </w:t>
      </w:r>
      <w:r w:rsidR="0027359B" w:rsidRPr="00E33A25">
        <w:rPr>
          <w:i/>
          <w:spacing w:val="6"/>
          <w:sz w:val="20"/>
          <w:szCs w:val="20"/>
        </w:rPr>
        <w:t xml:space="preserve">and </w:t>
      </w:r>
      <w:r w:rsidR="0027359B" w:rsidRPr="00E33A25">
        <w:rPr>
          <w:spacing w:val="6"/>
          <w:sz w:val="20"/>
          <w:szCs w:val="20"/>
        </w:rPr>
        <w:t xml:space="preserve">a committee chair or member of the House leadership; </w:t>
      </w:r>
      <w:r w:rsidR="0027359B" w:rsidRPr="007D66F8">
        <w:rPr>
          <w:sz w:val="20"/>
          <w:szCs w:val="20"/>
        </w:rPr>
        <w:t xml:space="preserve">otherwise, each variable is equal to zero. </w:t>
      </w:r>
    </w:p>
    <w:p w:rsidR="0027359B" w:rsidRDefault="00F913FC" w:rsidP="00F913FC">
      <w:pPr>
        <w:tabs>
          <w:tab w:val="left" w:pos="200"/>
        </w:tabs>
        <w:jc w:val="both"/>
        <w:rPr>
          <w:sz w:val="20"/>
          <w:szCs w:val="20"/>
        </w:rPr>
      </w:pPr>
      <w:r>
        <w:rPr>
          <w:sz w:val="20"/>
          <w:szCs w:val="20"/>
        </w:rPr>
        <w:tab/>
      </w:r>
      <w:r w:rsidR="0027359B" w:rsidRPr="007D66F8">
        <w:rPr>
          <w:sz w:val="20"/>
          <w:szCs w:val="20"/>
        </w:rPr>
        <w:t>We also create a variable equal to the share of a county</w:t>
      </w:r>
      <w:r w:rsidR="002108D7">
        <w:rPr>
          <w:sz w:val="20"/>
          <w:szCs w:val="20"/>
        </w:rPr>
        <w:t>’</w:t>
      </w:r>
      <w:r w:rsidR="0027359B" w:rsidRPr="007D66F8">
        <w:rPr>
          <w:sz w:val="20"/>
          <w:szCs w:val="20"/>
        </w:rPr>
        <w:t xml:space="preserve">s representatives that were Democrats. When counties have more than one representative, the variable for a </w:t>
      </w:r>
      <w:r w:rsidR="0027359B" w:rsidRPr="007D66F8">
        <w:rPr>
          <w:sz w:val="20"/>
          <w:szCs w:val="20"/>
        </w:rPr>
        <w:lastRenderedPageBreak/>
        <w:t>Democratic representative is equal to</w:t>
      </w:r>
      <w:r w:rsidR="0026443F">
        <w:rPr>
          <w:sz w:val="20"/>
          <w:szCs w:val="20"/>
        </w:rPr>
        <w:t>:</w:t>
      </w:r>
      <w:r w:rsidR="0027359B" w:rsidRPr="007D66F8">
        <w:rPr>
          <w:sz w:val="20"/>
          <w:szCs w:val="20"/>
        </w:rPr>
        <w:t xml:space="preserve"> (Number of county Democratic representatives)</w:t>
      </w:r>
      <w:r w:rsidR="00FE31C6" w:rsidRPr="00FE31C6">
        <w:rPr>
          <w:w w:val="97"/>
        </w:rPr>
        <w:t xml:space="preserve"> </w:t>
      </w:r>
      <w:r w:rsidR="00FE31C6" w:rsidRPr="007D4E62">
        <w:rPr>
          <w:w w:val="97"/>
        </w:rPr>
        <w:br/>
      </w:r>
      <w:r w:rsidR="0027359B" w:rsidRPr="007D66F8">
        <w:rPr>
          <w:sz w:val="20"/>
          <w:szCs w:val="20"/>
        </w:rPr>
        <w:t>/ (Total number of county representatives). Since most counties have a single House representative, in the 88</w:t>
      </w:r>
      <w:r w:rsidR="0027359B" w:rsidRPr="00F913FC">
        <w:rPr>
          <w:sz w:val="20"/>
          <w:szCs w:val="20"/>
        </w:rPr>
        <w:t>th</w:t>
      </w:r>
      <w:r w:rsidR="0027359B" w:rsidRPr="007D66F8">
        <w:rPr>
          <w:sz w:val="20"/>
          <w:szCs w:val="20"/>
        </w:rPr>
        <w:t xml:space="preserve"> </w:t>
      </w:r>
      <w:r w:rsidR="00FE31C6" w:rsidRPr="007D66F8">
        <w:rPr>
          <w:sz w:val="20"/>
          <w:szCs w:val="20"/>
        </w:rPr>
        <w:t>Congress</w:t>
      </w:r>
      <w:r w:rsidR="0027359B" w:rsidRPr="007D66F8">
        <w:rPr>
          <w:sz w:val="20"/>
          <w:szCs w:val="20"/>
        </w:rPr>
        <w:t xml:space="preserve"> there are only 150 of 3,093 counties where this variable is not equal to zero or one.</w:t>
      </w:r>
      <w:r w:rsidR="0027359B" w:rsidRPr="007D66F8" w:rsidDel="002F719F">
        <w:rPr>
          <w:sz w:val="20"/>
          <w:szCs w:val="20"/>
        </w:rPr>
        <w:t xml:space="preserve"> </w:t>
      </w:r>
    </w:p>
    <w:p w:rsidR="00DC65B0" w:rsidRPr="007D66F8" w:rsidRDefault="00DC65B0" w:rsidP="00F913FC">
      <w:pPr>
        <w:tabs>
          <w:tab w:val="left" w:pos="200"/>
        </w:tabs>
        <w:jc w:val="both"/>
        <w:rPr>
          <w:sz w:val="20"/>
          <w:szCs w:val="20"/>
        </w:rPr>
      </w:pPr>
    </w:p>
    <w:p w:rsidR="0027359B" w:rsidRPr="00C5447E" w:rsidRDefault="0027359B" w:rsidP="00DE4E4A">
      <w:pPr>
        <w:pStyle w:val="Dataset"/>
        <w:numPr>
          <w:ilvl w:val="0"/>
          <w:numId w:val="0"/>
        </w:numPr>
        <w:jc w:val="both"/>
        <w:rPr>
          <w:b w:val="0"/>
          <w:i/>
          <w:sz w:val="20"/>
          <w:szCs w:val="20"/>
        </w:rPr>
      </w:pPr>
      <w:r w:rsidRPr="00C5447E">
        <w:rPr>
          <w:b w:val="0"/>
          <w:i/>
          <w:sz w:val="20"/>
          <w:szCs w:val="20"/>
        </w:rPr>
        <w:t>Information on CAP Grants</w:t>
      </w:r>
    </w:p>
    <w:p w:rsidR="00DE4E4A" w:rsidRPr="007D66F8" w:rsidRDefault="00DE4E4A" w:rsidP="00DE4E4A">
      <w:pPr>
        <w:pStyle w:val="Dataset"/>
        <w:numPr>
          <w:ilvl w:val="0"/>
          <w:numId w:val="0"/>
        </w:numPr>
        <w:jc w:val="both"/>
        <w:rPr>
          <w:sz w:val="20"/>
          <w:szCs w:val="20"/>
        </w:rPr>
      </w:pPr>
    </w:p>
    <w:p w:rsidR="0027359B" w:rsidRPr="007D66F8" w:rsidRDefault="00DA3B5D" w:rsidP="00DA3B5D">
      <w:pPr>
        <w:tabs>
          <w:tab w:val="left" w:pos="200"/>
        </w:tabs>
        <w:jc w:val="both"/>
        <w:rPr>
          <w:sz w:val="20"/>
          <w:szCs w:val="20"/>
        </w:rPr>
      </w:pPr>
      <w:r>
        <w:rPr>
          <w:sz w:val="20"/>
          <w:szCs w:val="20"/>
        </w:rPr>
        <w:tab/>
      </w:r>
      <w:r w:rsidR="0027359B" w:rsidRPr="007D66F8">
        <w:rPr>
          <w:sz w:val="20"/>
          <w:szCs w:val="20"/>
        </w:rPr>
        <w:t>See discussion on CAP grant data under state-level discussion.</w:t>
      </w:r>
      <w:r w:rsidR="002108D7">
        <w:rPr>
          <w:sz w:val="20"/>
          <w:szCs w:val="20"/>
        </w:rPr>
        <w:t xml:space="preserve"> </w:t>
      </w:r>
      <w:r w:rsidR="0027359B" w:rsidRPr="007D66F8">
        <w:rPr>
          <w:sz w:val="20"/>
          <w:szCs w:val="20"/>
        </w:rPr>
        <w:t>Note that the address of the provision of services may differ from the grantee</w:t>
      </w:r>
      <w:r w:rsidR="002108D7">
        <w:rPr>
          <w:sz w:val="20"/>
          <w:szCs w:val="20"/>
        </w:rPr>
        <w:t>’</w:t>
      </w:r>
      <w:r w:rsidR="0027359B" w:rsidRPr="007D66F8">
        <w:rPr>
          <w:sz w:val="20"/>
          <w:szCs w:val="20"/>
        </w:rPr>
        <w:t xml:space="preserve">s primary address, so we </w:t>
      </w:r>
      <w:r w:rsidR="00FC3FEC" w:rsidRPr="007D4E62">
        <w:rPr>
          <w:w w:val="97"/>
        </w:rPr>
        <w:br/>
      </w:r>
      <w:r w:rsidR="0027359B" w:rsidRPr="007D66F8">
        <w:rPr>
          <w:sz w:val="20"/>
          <w:szCs w:val="20"/>
        </w:rPr>
        <w:t>use information on the delivery of services to aggregate to the county level when available.</w:t>
      </w:r>
      <w:r w:rsidR="002108D7">
        <w:rPr>
          <w:rStyle w:val="FootnoteReference"/>
          <w:sz w:val="20"/>
          <w:szCs w:val="20"/>
        </w:rPr>
        <w:t xml:space="preserve"> </w:t>
      </w:r>
      <w:r w:rsidR="0027359B" w:rsidRPr="007D66F8">
        <w:rPr>
          <w:sz w:val="20"/>
          <w:szCs w:val="20"/>
        </w:rPr>
        <w:t xml:space="preserve">For 55 grant actions where service delivery county codes are missing, grant actions are assigned to a local area based on the location of the grantee organization. For 24 grant actions missing both grantee and grant-action county codes, geographic </w:t>
      </w:r>
      <w:r w:rsidR="0027359B" w:rsidRPr="005518D5">
        <w:rPr>
          <w:spacing w:val="6"/>
          <w:sz w:val="20"/>
          <w:szCs w:val="20"/>
        </w:rPr>
        <w:t>codes are assigned by inferring a project</w:t>
      </w:r>
      <w:r w:rsidR="002108D7" w:rsidRPr="005518D5">
        <w:rPr>
          <w:spacing w:val="6"/>
          <w:sz w:val="20"/>
          <w:szCs w:val="20"/>
        </w:rPr>
        <w:t>’</w:t>
      </w:r>
      <w:r w:rsidR="0027359B" w:rsidRPr="005518D5">
        <w:rPr>
          <w:spacing w:val="6"/>
          <w:sz w:val="20"/>
          <w:szCs w:val="20"/>
        </w:rPr>
        <w:t>s probable location from the project</w:t>
      </w:r>
      <w:r w:rsidR="0027359B" w:rsidRPr="007D66F8">
        <w:rPr>
          <w:sz w:val="20"/>
          <w:szCs w:val="20"/>
        </w:rPr>
        <w:t xml:space="preserve"> description string variable which contains this information.</w:t>
      </w:r>
      <w:r w:rsidR="002108D7">
        <w:rPr>
          <w:sz w:val="20"/>
          <w:szCs w:val="20"/>
        </w:rPr>
        <w:t xml:space="preserve"> </w:t>
      </w:r>
      <w:r w:rsidR="0027359B" w:rsidRPr="007D66F8">
        <w:rPr>
          <w:sz w:val="20"/>
          <w:szCs w:val="20"/>
        </w:rPr>
        <w:t>Then, federal CAP funding is aggregated to the county-FY level using these geographic codes and the dates of likely disbursement.</w:t>
      </w:r>
      <w:r w:rsidR="002108D7">
        <w:rPr>
          <w:sz w:val="20"/>
          <w:szCs w:val="20"/>
        </w:rPr>
        <w:t xml:space="preserve"> </w:t>
      </w:r>
    </w:p>
    <w:p w:rsidR="0027359B" w:rsidRPr="007D66F8" w:rsidRDefault="0027359B" w:rsidP="007D66F8">
      <w:pPr>
        <w:jc w:val="both"/>
        <w:rPr>
          <w:sz w:val="20"/>
          <w:szCs w:val="20"/>
        </w:rPr>
      </w:pPr>
    </w:p>
    <w:p w:rsidR="0027359B" w:rsidRPr="00C5447E" w:rsidRDefault="0027359B" w:rsidP="00DE4E4A">
      <w:pPr>
        <w:pStyle w:val="Dataset"/>
        <w:numPr>
          <w:ilvl w:val="0"/>
          <w:numId w:val="0"/>
        </w:numPr>
        <w:jc w:val="both"/>
        <w:rPr>
          <w:b w:val="0"/>
          <w:i/>
          <w:sz w:val="20"/>
          <w:szCs w:val="20"/>
        </w:rPr>
      </w:pPr>
      <w:r w:rsidRPr="00C5447E">
        <w:rPr>
          <w:b w:val="0"/>
          <w:i/>
          <w:sz w:val="20"/>
          <w:szCs w:val="20"/>
        </w:rPr>
        <w:t>New Deal Spending and Covariates</w:t>
      </w:r>
    </w:p>
    <w:p w:rsidR="00DE4E4A" w:rsidRPr="007D66F8" w:rsidRDefault="00DE4E4A" w:rsidP="00DE4E4A">
      <w:pPr>
        <w:pStyle w:val="Dataset"/>
        <w:numPr>
          <w:ilvl w:val="0"/>
          <w:numId w:val="0"/>
        </w:numPr>
        <w:jc w:val="both"/>
        <w:rPr>
          <w:sz w:val="20"/>
          <w:szCs w:val="20"/>
        </w:rPr>
      </w:pPr>
    </w:p>
    <w:p w:rsidR="0027359B" w:rsidRPr="007D66F8" w:rsidRDefault="00DA3B5D" w:rsidP="00DA3B5D">
      <w:pPr>
        <w:tabs>
          <w:tab w:val="left" w:pos="200"/>
        </w:tabs>
        <w:jc w:val="both"/>
        <w:rPr>
          <w:sz w:val="20"/>
          <w:szCs w:val="20"/>
        </w:rPr>
      </w:pPr>
      <w:r>
        <w:rPr>
          <w:sz w:val="20"/>
          <w:szCs w:val="20"/>
        </w:rPr>
        <w:tab/>
      </w:r>
      <w:r w:rsidR="00F74E89">
        <w:rPr>
          <w:sz w:val="20"/>
          <w:szCs w:val="20"/>
        </w:rPr>
        <w:t xml:space="preserve">Column 4 of Appendix Table </w:t>
      </w:r>
      <w:r w:rsidR="0027359B" w:rsidRPr="007D66F8">
        <w:rPr>
          <w:sz w:val="20"/>
          <w:szCs w:val="20"/>
        </w:rPr>
        <w:t xml:space="preserve">5 adds a vector of correlates of New Deal spending </w:t>
      </w:r>
      <w:r w:rsidR="00347759" w:rsidRPr="007D4E62">
        <w:rPr>
          <w:w w:val="97"/>
        </w:rPr>
        <w:br/>
      </w:r>
      <w:r w:rsidR="0027359B" w:rsidRPr="00347759">
        <w:rPr>
          <w:spacing w:val="6"/>
          <w:sz w:val="20"/>
          <w:szCs w:val="20"/>
        </w:rPr>
        <w:t>to a county-level analysis of War on Poverty grants. These variables include</w:t>
      </w:r>
      <w:r w:rsidR="0027359B" w:rsidRPr="007D66F8">
        <w:rPr>
          <w:sz w:val="20"/>
          <w:szCs w:val="20"/>
        </w:rPr>
        <w:t xml:space="preserve"> demographic, political, and structural measures of the American economy up to year 1932, and are described in detail in the Data Appendix to the working paper version </w:t>
      </w:r>
      <w:r w:rsidR="00347759" w:rsidRPr="007D4E62">
        <w:rPr>
          <w:w w:val="97"/>
        </w:rPr>
        <w:br/>
      </w:r>
      <w:r w:rsidR="0027359B" w:rsidRPr="00347759">
        <w:rPr>
          <w:spacing w:val="6"/>
          <w:sz w:val="20"/>
          <w:szCs w:val="20"/>
        </w:rPr>
        <w:t>of Fishback, Kantor</w:t>
      </w:r>
      <w:r w:rsidR="00F74E89" w:rsidRPr="00347759">
        <w:rPr>
          <w:spacing w:val="6"/>
          <w:sz w:val="20"/>
          <w:szCs w:val="20"/>
        </w:rPr>
        <w:t>,</w:t>
      </w:r>
      <w:r w:rsidR="0027359B" w:rsidRPr="00347759">
        <w:rPr>
          <w:spacing w:val="6"/>
          <w:sz w:val="20"/>
          <w:szCs w:val="20"/>
        </w:rPr>
        <w:t xml:space="preserve"> and Wallis (2003) (see NBER </w:t>
      </w:r>
      <w:r w:rsidR="00347759" w:rsidRPr="00347759">
        <w:rPr>
          <w:spacing w:val="6"/>
          <w:sz w:val="20"/>
          <w:szCs w:val="20"/>
        </w:rPr>
        <w:t xml:space="preserve">Working Paper </w:t>
      </w:r>
      <w:r w:rsidR="0027359B" w:rsidRPr="00347759">
        <w:rPr>
          <w:spacing w:val="6"/>
          <w:sz w:val="20"/>
          <w:szCs w:val="20"/>
        </w:rPr>
        <w:t>No. 8309).</w:t>
      </w:r>
      <w:r w:rsidR="0027359B" w:rsidRPr="007D66F8">
        <w:rPr>
          <w:sz w:val="20"/>
          <w:szCs w:val="20"/>
        </w:rPr>
        <w:t xml:space="preserve"> The county-level data were obtained from </w:t>
      </w:r>
      <w:r w:rsidR="0027359B" w:rsidRPr="00D9067B">
        <w:rPr>
          <w:sz w:val="20"/>
          <w:szCs w:val="20"/>
        </w:rPr>
        <w:t xml:space="preserve">Price </w:t>
      </w:r>
      <w:proofErr w:type="spellStart"/>
      <w:r w:rsidR="0027359B" w:rsidRPr="00D9067B">
        <w:rPr>
          <w:sz w:val="20"/>
          <w:szCs w:val="20"/>
        </w:rPr>
        <w:t>Fishback</w:t>
      </w:r>
      <w:r w:rsidR="002108D7" w:rsidRPr="00D9067B">
        <w:rPr>
          <w:sz w:val="20"/>
          <w:szCs w:val="20"/>
        </w:rPr>
        <w:t>’</w:t>
      </w:r>
      <w:r w:rsidR="0027359B" w:rsidRPr="00D9067B">
        <w:rPr>
          <w:sz w:val="20"/>
          <w:szCs w:val="20"/>
        </w:rPr>
        <w:t>s</w:t>
      </w:r>
      <w:proofErr w:type="spellEnd"/>
      <w:r w:rsidR="0027359B" w:rsidRPr="00D9067B">
        <w:rPr>
          <w:sz w:val="20"/>
          <w:szCs w:val="20"/>
        </w:rPr>
        <w:t xml:space="preserve"> web site</w:t>
      </w:r>
      <w:r w:rsidR="00D9067B" w:rsidRPr="00D9067B">
        <w:rPr>
          <w:sz w:val="20"/>
          <w:szCs w:val="20"/>
        </w:rPr>
        <w:t xml:space="preserve"> </w:t>
      </w:r>
      <w:r w:rsidR="00D9067B" w:rsidRPr="007D66F8">
        <w:rPr>
          <w:sz w:val="20"/>
          <w:szCs w:val="20"/>
        </w:rPr>
        <w:t>in June 2013</w:t>
      </w:r>
      <w:r w:rsidR="00D9067B">
        <w:rPr>
          <w:sz w:val="20"/>
          <w:szCs w:val="20"/>
        </w:rPr>
        <w:t xml:space="preserve">, available at </w:t>
      </w:r>
      <w:r w:rsidR="00D9067B" w:rsidRPr="00D9067B">
        <w:rPr>
          <w:sz w:val="20"/>
          <w:szCs w:val="20"/>
        </w:rPr>
        <w:t>http://www.u.arizona.edu/~fishback/Published_Research_Datasets.html</w:t>
      </w:r>
      <w:r w:rsidR="0027359B" w:rsidRPr="007D66F8">
        <w:rPr>
          <w:sz w:val="20"/>
          <w:szCs w:val="20"/>
        </w:rPr>
        <w:t>.</w:t>
      </w:r>
    </w:p>
    <w:p w:rsidR="002B0220" w:rsidRPr="001D5B0B" w:rsidRDefault="002B0220" w:rsidP="001D5B0B">
      <w:pPr>
        <w:pStyle w:val="Heading2"/>
        <w:spacing w:line="240" w:lineRule="auto"/>
        <w:rPr>
          <w:b w:val="0"/>
          <w:sz w:val="20"/>
          <w:szCs w:val="20"/>
        </w:rPr>
      </w:pPr>
    </w:p>
    <w:p w:rsidR="0027359B" w:rsidRDefault="001D5B0B" w:rsidP="001D5B0B">
      <w:pPr>
        <w:pStyle w:val="Heading2"/>
        <w:spacing w:line="240" w:lineRule="auto"/>
        <w:rPr>
          <w:b w:val="0"/>
          <w:sz w:val="20"/>
          <w:szCs w:val="20"/>
        </w:rPr>
      </w:pPr>
      <w:r w:rsidRPr="001D5B0B">
        <w:rPr>
          <w:b w:val="0"/>
          <w:sz w:val="20"/>
          <w:szCs w:val="20"/>
        </w:rPr>
        <w:t>MISCELLANEOUS DATA</w:t>
      </w:r>
    </w:p>
    <w:p w:rsidR="001D5B0B" w:rsidRPr="001D5B0B" w:rsidRDefault="001D5B0B" w:rsidP="001D5B0B"/>
    <w:p w:rsidR="0027359B" w:rsidRPr="003827B2" w:rsidRDefault="0027359B" w:rsidP="007D66F8">
      <w:pPr>
        <w:jc w:val="both"/>
        <w:rPr>
          <w:i/>
          <w:sz w:val="20"/>
          <w:szCs w:val="20"/>
        </w:rPr>
      </w:pPr>
      <w:r w:rsidRPr="003827B2">
        <w:rPr>
          <w:i/>
          <w:sz w:val="20"/>
          <w:szCs w:val="20"/>
        </w:rPr>
        <w:t>County Boundaries</w:t>
      </w:r>
    </w:p>
    <w:p w:rsidR="003827B2" w:rsidRPr="007D66F8" w:rsidRDefault="003827B2" w:rsidP="007D66F8">
      <w:pPr>
        <w:jc w:val="both"/>
        <w:rPr>
          <w:sz w:val="20"/>
          <w:szCs w:val="20"/>
        </w:rPr>
      </w:pPr>
    </w:p>
    <w:p w:rsidR="0027359B" w:rsidRPr="002B55DE" w:rsidRDefault="00F61D66" w:rsidP="00F61D66">
      <w:pPr>
        <w:tabs>
          <w:tab w:val="left" w:pos="200"/>
        </w:tabs>
        <w:jc w:val="both"/>
        <w:rPr>
          <w:sz w:val="20"/>
          <w:szCs w:val="20"/>
        </w:rPr>
      </w:pPr>
      <w:r w:rsidRPr="002B55DE">
        <w:rPr>
          <w:sz w:val="20"/>
          <w:szCs w:val="20"/>
        </w:rPr>
        <w:tab/>
      </w:r>
      <w:r w:rsidR="0027359B" w:rsidRPr="002B55DE">
        <w:rPr>
          <w:sz w:val="20"/>
          <w:szCs w:val="20"/>
        </w:rPr>
        <w:t>Figure 3 maps real 1965</w:t>
      </w:r>
      <w:r w:rsidR="009B79A0" w:rsidRPr="002B55DE">
        <w:rPr>
          <w:sz w:val="20"/>
          <w:szCs w:val="20"/>
        </w:rPr>
        <w:t>–196</w:t>
      </w:r>
      <w:r w:rsidR="0027359B" w:rsidRPr="002B55DE">
        <w:rPr>
          <w:sz w:val="20"/>
          <w:szCs w:val="20"/>
        </w:rPr>
        <w:t xml:space="preserve">8 per capita War on Poverty spending at the </w:t>
      </w:r>
      <w:r w:rsidR="002B55DE" w:rsidRPr="007D4E62">
        <w:rPr>
          <w:w w:val="97"/>
        </w:rPr>
        <w:br/>
      </w:r>
      <w:r w:rsidR="0027359B" w:rsidRPr="002B55DE">
        <w:rPr>
          <w:sz w:val="20"/>
          <w:szCs w:val="20"/>
        </w:rPr>
        <w:t>county level. County boundaries were obtained from the Newberry Library</w:t>
      </w:r>
      <w:r w:rsidR="002108D7" w:rsidRPr="002B55DE">
        <w:rPr>
          <w:sz w:val="20"/>
          <w:szCs w:val="20"/>
        </w:rPr>
        <w:t>’</w:t>
      </w:r>
      <w:r w:rsidR="0027359B" w:rsidRPr="002B55DE">
        <w:rPr>
          <w:sz w:val="20"/>
          <w:szCs w:val="20"/>
        </w:rPr>
        <w:t xml:space="preserve">s </w:t>
      </w:r>
      <w:r w:rsidR="002B55DE" w:rsidRPr="007D4E62">
        <w:rPr>
          <w:w w:val="97"/>
        </w:rPr>
        <w:br/>
      </w:r>
      <w:r w:rsidR="0027359B" w:rsidRPr="002B55DE">
        <w:rPr>
          <w:i/>
          <w:spacing w:val="8"/>
          <w:sz w:val="20"/>
          <w:szCs w:val="20"/>
        </w:rPr>
        <w:t>Atlas of Historical County Boundaries</w:t>
      </w:r>
      <w:r w:rsidR="0027359B" w:rsidRPr="002B55DE">
        <w:rPr>
          <w:spacing w:val="8"/>
          <w:sz w:val="20"/>
          <w:szCs w:val="20"/>
        </w:rPr>
        <w:t xml:space="preserve"> </w:t>
      </w:r>
      <w:r w:rsidR="00FF0DAC" w:rsidRPr="002B55DE">
        <w:rPr>
          <w:spacing w:val="8"/>
          <w:sz w:val="20"/>
          <w:szCs w:val="20"/>
        </w:rPr>
        <w:t>(</w:t>
      </w:r>
      <w:proofErr w:type="spellStart"/>
      <w:r w:rsidR="00FF0DAC" w:rsidRPr="002B55DE">
        <w:rPr>
          <w:spacing w:val="8"/>
          <w:sz w:val="20"/>
          <w:szCs w:val="20"/>
        </w:rPr>
        <w:t>Siczewicz</w:t>
      </w:r>
      <w:proofErr w:type="spellEnd"/>
      <w:r w:rsidR="00FF0DAC" w:rsidRPr="002B55DE">
        <w:rPr>
          <w:spacing w:val="8"/>
          <w:sz w:val="20"/>
          <w:szCs w:val="20"/>
        </w:rPr>
        <w:t xml:space="preserve"> 2011)</w:t>
      </w:r>
      <w:r w:rsidR="001B3769" w:rsidRPr="002B55DE">
        <w:rPr>
          <w:spacing w:val="8"/>
          <w:sz w:val="20"/>
          <w:szCs w:val="20"/>
        </w:rPr>
        <w:t xml:space="preserve"> available</w:t>
      </w:r>
      <w:r w:rsidR="002B55DE" w:rsidRPr="002B55DE">
        <w:rPr>
          <w:spacing w:val="8"/>
          <w:sz w:val="20"/>
          <w:szCs w:val="20"/>
        </w:rPr>
        <w:t xml:space="preserve"> </w:t>
      </w:r>
      <w:r w:rsidR="001B3769" w:rsidRPr="002B55DE">
        <w:rPr>
          <w:spacing w:val="8"/>
          <w:sz w:val="20"/>
          <w:szCs w:val="20"/>
        </w:rPr>
        <w:t>at</w:t>
      </w:r>
      <w:r w:rsidR="001B3769" w:rsidRPr="002B55DE">
        <w:rPr>
          <w:sz w:val="20"/>
          <w:szCs w:val="20"/>
        </w:rPr>
        <w:t xml:space="preserve"> http://publications.newberry.org/ahcbp/index.html</w:t>
      </w:r>
      <w:r w:rsidR="00FF0DAC" w:rsidRPr="002B55DE">
        <w:rPr>
          <w:sz w:val="20"/>
          <w:szCs w:val="20"/>
        </w:rPr>
        <w:t xml:space="preserve"> </w:t>
      </w:r>
      <w:r w:rsidR="0027359B" w:rsidRPr="002B55DE">
        <w:rPr>
          <w:sz w:val="20"/>
          <w:szCs w:val="20"/>
        </w:rPr>
        <w:t>and downloaded in August 2013. Shape files for counties as of December 31, 1959 were extracted from the full panel of U</w:t>
      </w:r>
      <w:r w:rsidR="00F313C3" w:rsidRPr="002B55DE">
        <w:rPr>
          <w:sz w:val="20"/>
          <w:szCs w:val="20"/>
        </w:rPr>
        <w:t>.</w:t>
      </w:r>
      <w:r w:rsidR="0027359B" w:rsidRPr="002B55DE">
        <w:rPr>
          <w:sz w:val="20"/>
          <w:szCs w:val="20"/>
        </w:rPr>
        <w:t>S</w:t>
      </w:r>
      <w:r w:rsidR="00F313C3" w:rsidRPr="002B55DE">
        <w:rPr>
          <w:sz w:val="20"/>
          <w:szCs w:val="20"/>
        </w:rPr>
        <w:t>.</w:t>
      </w:r>
      <w:r w:rsidR="0027359B" w:rsidRPr="002B55DE">
        <w:rPr>
          <w:sz w:val="20"/>
          <w:szCs w:val="20"/>
        </w:rPr>
        <w:t xml:space="preserve"> county shape data using ARCMap software. The map was created by merging our county-level data set with the extracted shape files using the </w:t>
      </w:r>
      <w:r w:rsidR="0027359B" w:rsidRPr="002B55DE">
        <w:rPr>
          <w:sz w:val="20"/>
          <w:szCs w:val="20"/>
          <w:u w:val="single"/>
        </w:rPr>
        <w:t>shp2dta</w:t>
      </w:r>
      <w:r w:rsidR="0027359B" w:rsidRPr="002B55DE">
        <w:rPr>
          <w:sz w:val="20"/>
          <w:szCs w:val="20"/>
        </w:rPr>
        <w:t xml:space="preserve"> and </w:t>
      </w:r>
      <w:proofErr w:type="spellStart"/>
      <w:r w:rsidR="0027359B" w:rsidRPr="002B55DE">
        <w:rPr>
          <w:sz w:val="20"/>
          <w:szCs w:val="20"/>
          <w:u w:val="single"/>
        </w:rPr>
        <w:t>spmap</w:t>
      </w:r>
      <w:proofErr w:type="spellEnd"/>
      <w:r w:rsidR="0027359B" w:rsidRPr="002B55DE">
        <w:rPr>
          <w:sz w:val="20"/>
          <w:szCs w:val="20"/>
        </w:rPr>
        <w:t xml:space="preserve"> </w:t>
      </w:r>
      <w:proofErr w:type="spellStart"/>
      <w:r w:rsidR="0027359B" w:rsidRPr="002B55DE">
        <w:rPr>
          <w:sz w:val="20"/>
          <w:szCs w:val="20"/>
        </w:rPr>
        <w:t>Stata</w:t>
      </w:r>
      <w:proofErr w:type="spellEnd"/>
      <w:r w:rsidR="0027359B" w:rsidRPr="002B55DE">
        <w:rPr>
          <w:sz w:val="20"/>
          <w:szCs w:val="20"/>
        </w:rPr>
        <w:t xml:space="preserve"> .ado extensions. As described above, our data</w:t>
      </w:r>
      <w:r w:rsidR="00252A33" w:rsidRPr="002B55DE">
        <w:rPr>
          <w:sz w:val="20"/>
          <w:szCs w:val="20"/>
        </w:rPr>
        <w:t xml:space="preserve"> </w:t>
      </w:r>
      <w:r w:rsidR="0027359B" w:rsidRPr="002B55DE">
        <w:rPr>
          <w:sz w:val="20"/>
          <w:szCs w:val="20"/>
        </w:rPr>
        <w:t xml:space="preserve">set is observed at the level of </w:t>
      </w:r>
      <w:r w:rsidR="002108D7" w:rsidRPr="002B55DE">
        <w:rPr>
          <w:sz w:val="20"/>
          <w:szCs w:val="20"/>
        </w:rPr>
        <w:t>“</w:t>
      </w:r>
      <w:proofErr w:type="spellStart"/>
      <w:r w:rsidR="003E78F8" w:rsidRPr="002B55DE">
        <w:rPr>
          <w:sz w:val="20"/>
          <w:szCs w:val="20"/>
        </w:rPr>
        <w:t>super</w:t>
      </w:r>
      <w:r w:rsidR="0027359B" w:rsidRPr="002B55DE">
        <w:rPr>
          <w:sz w:val="20"/>
          <w:szCs w:val="20"/>
        </w:rPr>
        <w:t>counties</w:t>
      </w:r>
      <w:proofErr w:type="spellEnd"/>
      <w:r w:rsidR="002108D7" w:rsidRPr="002B55DE">
        <w:rPr>
          <w:sz w:val="20"/>
          <w:szCs w:val="20"/>
        </w:rPr>
        <w:t>”</w:t>
      </w:r>
      <w:r w:rsidR="0027359B" w:rsidRPr="002B55DE">
        <w:rPr>
          <w:sz w:val="20"/>
          <w:szCs w:val="20"/>
        </w:rPr>
        <w:t>; when a super-county corresponded to more than o</w:t>
      </w:r>
      <w:r w:rsidR="003E78F8" w:rsidRPr="002B55DE">
        <w:rPr>
          <w:sz w:val="20"/>
          <w:szCs w:val="20"/>
        </w:rPr>
        <w:t xml:space="preserve">ne county shape, the same </w:t>
      </w:r>
      <w:proofErr w:type="spellStart"/>
      <w:r w:rsidR="003E78F8" w:rsidRPr="002B55DE">
        <w:rPr>
          <w:sz w:val="20"/>
          <w:szCs w:val="20"/>
        </w:rPr>
        <w:t>super</w:t>
      </w:r>
      <w:r w:rsidR="0027359B" w:rsidRPr="002B55DE">
        <w:rPr>
          <w:sz w:val="20"/>
          <w:szCs w:val="20"/>
        </w:rPr>
        <w:t>county</w:t>
      </w:r>
      <w:proofErr w:type="spellEnd"/>
      <w:r w:rsidR="0027359B" w:rsidRPr="002B55DE">
        <w:rPr>
          <w:sz w:val="20"/>
          <w:szCs w:val="20"/>
        </w:rPr>
        <w:t xml:space="preserve"> value is mapped to all component counties.</w:t>
      </w:r>
    </w:p>
    <w:p w:rsidR="0027359B" w:rsidRPr="007D66F8" w:rsidRDefault="0027359B" w:rsidP="007D66F8">
      <w:pPr>
        <w:jc w:val="both"/>
        <w:rPr>
          <w:sz w:val="20"/>
          <w:szCs w:val="20"/>
        </w:rPr>
      </w:pPr>
    </w:p>
    <w:p w:rsidR="0027359B" w:rsidRPr="003827B2" w:rsidRDefault="0027359B" w:rsidP="007D66F8">
      <w:pPr>
        <w:jc w:val="both"/>
        <w:rPr>
          <w:i/>
          <w:sz w:val="20"/>
          <w:szCs w:val="20"/>
        </w:rPr>
      </w:pPr>
      <w:r w:rsidRPr="003827B2">
        <w:rPr>
          <w:i/>
          <w:sz w:val="20"/>
          <w:szCs w:val="20"/>
        </w:rPr>
        <w:t>Roll Call Votes</w:t>
      </w:r>
    </w:p>
    <w:p w:rsidR="003827B2" w:rsidRPr="007D66F8" w:rsidRDefault="003827B2" w:rsidP="007D66F8">
      <w:pPr>
        <w:jc w:val="both"/>
        <w:rPr>
          <w:sz w:val="20"/>
          <w:szCs w:val="20"/>
        </w:rPr>
      </w:pPr>
    </w:p>
    <w:p w:rsidR="0027359B" w:rsidRPr="007D66F8" w:rsidRDefault="00F61D66" w:rsidP="00F61D66">
      <w:pPr>
        <w:tabs>
          <w:tab w:val="left" w:pos="200"/>
        </w:tabs>
        <w:jc w:val="both"/>
        <w:rPr>
          <w:sz w:val="20"/>
          <w:szCs w:val="20"/>
        </w:rPr>
      </w:pPr>
      <w:r>
        <w:rPr>
          <w:sz w:val="20"/>
          <w:szCs w:val="20"/>
        </w:rPr>
        <w:tab/>
      </w:r>
      <w:r w:rsidR="0027359B" w:rsidRPr="007D66F8">
        <w:rPr>
          <w:sz w:val="20"/>
          <w:szCs w:val="20"/>
        </w:rPr>
        <w:t>Roll Call votes in the House and Senate for passage of the Economic Opportunity Act are taken from ICPSR data</w:t>
      </w:r>
      <w:r w:rsidR="00025B59">
        <w:rPr>
          <w:sz w:val="20"/>
          <w:szCs w:val="20"/>
        </w:rPr>
        <w:t xml:space="preserve"> </w:t>
      </w:r>
      <w:r w:rsidR="0027359B" w:rsidRPr="007D66F8">
        <w:rPr>
          <w:sz w:val="20"/>
          <w:szCs w:val="20"/>
        </w:rPr>
        <w:t xml:space="preserve">set No. 4, </w:t>
      </w:r>
      <w:r w:rsidR="002108D7">
        <w:rPr>
          <w:sz w:val="20"/>
          <w:szCs w:val="20"/>
        </w:rPr>
        <w:t>“</w:t>
      </w:r>
      <w:r w:rsidR="0027359B" w:rsidRPr="007D66F8">
        <w:rPr>
          <w:sz w:val="20"/>
          <w:szCs w:val="20"/>
        </w:rPr>
        <w:t>United States Congressional Roll Call Voting Records, 1789</w:t>
      </w:r>
      <w:r w:rsidR="00F96191">
        <w:rPr>
          <w:sz w:val="20"/>
          <w:szCs w:val="22"/>
        </w:rPr>
        <w:t>–</w:t>
      </w:r>
      <w:r w:rsidR="0027359B" w:rsidRPr="007D66F8">
        <w:rPr>
          <w:sz w:val="20"/>
          <w:szCs w:val="20"/>
        </w:rPr>
        <w:t>1998.</w:t>
      </w:r>
      <w:r w:rsidR="002108D7">
        <w:rPr>
          <w:sz w:val="20"/>
          <w:szCs w:val="20"/>
        </w:rPr>
        <w:t>”</w:t>
      </w:r>
      <w:r w:rsidR="0027359B" w:rsidRPr="007D66F8">
        <w:rPr>
          <w:sz w:val="20"/>
          <w:szCs w:val="20"/>
        </w:rPr>
        <w:t xml:space="preserve"> Roll call votes are coded as a 1 for a YES and 0 for a </w:t>
      </w:r>
      <w:r w:rsidR="006763A2">
        <w:rPr>
          <w:sz w:val="20"/>
          <w:szCs w:val="20"/>
        </w:rPr>
        <w:t xml:space="preserve">NO </w:t>
      </w:r>
      <w:r w:rsidR="0027359B" w:rsidRPr="007D66F8">
        <w:rPr>
          <w:sz w:val="20"/>
          <w:szCs w:val="20"/>
        </w:rPr>
        <w:t>(including paired votes), and coded as missing for members not voting or voting present.</w:t>
      </w:r>
    </w:p>
    <w:p w:rsidR="0027359B" w:rsidRPr="00F61D66" w:rsidRDefault="0027359B" w:rsidP="007D66F8">
      <w:pPr>
        <w:jc w:val="both"/>
        <w:rPr>
          <w:i/>
          <w:sz w:val="20"/>
          <w:szCs w:val="20"/>
        </w:rPr>
      </w:pPr>
    </w:p>
    <w:p w:rsidR="00252A33" w:rsidRDefault="00252A33">
      <w:pPr>
        <w:rPr>
          <w:i/>
          <w:sz w:val="20"/>
          <w:szCs w:val="20"/>
        </w:rPr>
      </w:pPr>
      <w:r>
        <w:rPr>
          <w:i/>
          <w:sz w:val="20"/>
          <w:szCs w:val="20"/>
        </w:rPr>
        <w:br w:type="page"/>
      </w:r>
    </w:p>
    <w:p w:rsidR="0027359B" w:rsidRPr="00F61D66" w:rsidRDefault="0027359B" w:rsidP="007D66F8">
      <w:pPr>
        <w:jc w:val="both"/>
        <w:rPr>
          <w:i/>
          <w:sz w:val="20"/>
          <w:szCs w:val="20"/>
        </w:rPr>
      </w:pPr>
      <w:r w:rsidRPr="00F61D66">
        <w:rPr>
          <w:i/>
          <w:sz w:val="20"/>
          <w:szCs w:val="20"/>
        </w:rPr>
        <w:lastRenderedPageBreak/>
        <w:t>Congressional District Demographic Data</w:t>
      </w:r>
    </w:p>
    <w:p w:rsidR="001534AA" w:rsidRPr="007D66F8" w:rsidRDefault="001534AA" w:rsidP="007D66F8">
      <w:pPr>
        <w:jc w:val="both"/>
        <w:rPr>
          <w:sz w:val="20"/>
          <w:szCs w:val="20"/>
        </w:rPr>
      </w:pPr>
    </w:p>
    <w:p w:rsidR="0027359B" w:rsidRPr="00FD0905" w:rsidRDefault="00F61D66" w:rsidP="00F61D66">
      <w:pPr>
        <w:tabs>
          <w:tab w:val="left" w:pos="200"/>
        </w:tabs>
        <w:jc w:val="both"/>
        <w:rPr>
          <w:spacing w:val="-6"/>
          <w:sz w:val="20"/>
          <w:szCs w:val="20"/>
        </w:rPr>
      </w:pPr>
      <w:bookmarkStart w:id="0" w:name="_GoBack"/>
      <w:r w:rsidRPr="00FD0905">
        <w:rPr>
          <w:spacing w:val="-6"/>
          <w:sz w:val="20"/>
          <w:szCs w:val="20"/>
        </w:rPr>
        <w:tab/>
      </w:r>
      <w:r w:rsidR="0027359B" w:rsidRPr="00FD0905">
        <w:rPr>
          <w:spacing w:val="-6"/>
          <w:sz w:val="20"/>
          <w:szCs w:val="20"/>
        </w:rPr>
        <w:t xml:space="preserve">The roll call vote analysis in </w:t>
      </w:r>
      <w:r w:rsidR="00F96191" w:rsidRPr="00FD0905">
        <w:rPr>
          <w:spacing w:val="-6"/>
          <w:sz w:val="20"/>
          <w:szCs w:val="20"/>
        </w:rPr>
        <w:t xml:space="preserve">Appendix Table </w:t>
      </w:r>
      <w:r w:rsidR="0027359B" w:rsidRPr="00FD0905">
        <w:rPr>
          <w:spacing w:val="-6"/>
          <w:sz w:val="20"/>
          <w:szCs w:val="20"/>
        </w:rPr>
        <w:t xml:space="preserve">6 uses demographic and economic data from the </w:t>
      </w:r>
      <w:r w:rsidR="0027359B" w:rsidRPr="00FD0905">
        <w:rPr>
          <w:i/>
          <w:spacing w:val="-6"/>
          <w:sz w:val="20"/>
          <w:szCs w:val="20"/>
        </w:rPr>
        <w:t>Congressional District Data Book</w:t>
      </w:r>
      <w:r w:rsidR="0027359B" w:rsidRPr="00FD0905">
        <w:rPr>
          <w:spacing w:val="-6"/>
          <w:sz w:val="20"/>
          <w:szCs w:val="20"/>
        </w:rPr>
        <w:t xml:space="preserve"> for the 88th Congress obtained from E. Scott Adler</w:t>
      </w:r>
      <w:r w:rsidR="002108D7" w:rsidRPr="00FD0905">
        <w:rPr>
          <w:spacing w:val="-6"/>
          <w:sz w:val="20"/>
          <w:szCs w:val="20"/>
        </w:rPr>
        <w:t>’</w:t>
      </w:r>
      <w:r w:rsidR="0027359B" w:rsidRPr="00FD0905">
        <w:rPr>
          <w:spacing w:val="-6"/>
          <w:sz w:val="20"/>
          <w:szCs w:val="20"/>
        </w:rPr>
        <w:t>s homepage</w:t>
      </w:r>
      <w:r w:rsidR="00D568E4" w:rsidRPr="00FD0905">
        <w:rPr>
          <w:spacing w:val="-6"/>
          <w:sz w:val="20"/>
          <w:szCs w:val="20"/>
        </w:rPr>
        <w:t>, available at http://sobek.colorado.edu/~esadler/Congressional_District_Data.html</w:t>
      </w:r>
      <w:r w:rsidR="0027359B" w:rsidRPr="00FD0905">
        <w:rPr>
          <w:spacing w:val="-6"/>
          <w:sz w:val="20"/>
          <w:szCs w:val="20"/>
        </w:rPr>
        <w:t xml:space="preserve">. </w:t>
      </w:r>
    </w:p>
    <w:bookmarkEnd w:id="0"/>
    <w:p w:rsidR="0027359B" w:rsidRPr="007D66F8" w:rsidRDefault="0027359B" w:rsidP="007D66F8">
      <w:pPr>
        <w:jc w:val="both"/>
        <w:rPr>
          <w:sz w:val="20"/>
          <w:szCs w:val="20"/>
        </w:rPr>
      </w:pPr>
    </w:p>
    <w:p w:rsidR="0027359B" w:rsidRPr="009C21EC" w:rsidRDefault="0027359B" w:rsidP="007D66F8">
      <w:pPr>
        <w:jc w:val="both"/>
        <w:rPr>
          <w:i/>
          <w:sz w:val="20"/>
          <w:szCs w:val="20"/>
        </w:rPr>
      </w:pPr>
      <w:r w:rsidRPr="009C21EC">
        <w:rPr>
          <w:i/>
          <w:sz w:val="20"/>
          <w:szCs w:val="20"/>
        </w:rPr>
        <w:t>Congressional Tenure</w:t>
      </w:r>
    </w:p>
    <w:p w:rsidR="001534AA" w:rsidRPr="007D66F8" w:rsidRDefault="001534AA" w:rsidP="007D66F8">
      <w:pPr>
        <w:jc w:val="both"/>
        <w:rPr>
          <w:sz w:val="20"/>
          <w:szCs w:val="20"/>
        </w:rPr>
      </w:pPr>
    </w:p>
    <w:p w:rsidR="0027359B" w:rsidRPr="007D66F8" w:rsidRDefault="009C21EC" w:rsidP="009C21EC">
      <w:pPr>
        <w:tabs>
          <w:tab w:val="left" w:pos="200"/>
        </w:tabs>
        <w:jc w:val="both"/>
        <w:rPr>
          <w:sz w:val="20"/>
          <w:szCs w:val="20"/>
        </w:rPr>
      </w:pPr>
      <w:r>
        <w:rPr>
          <w:sz w:val="20"/>
          <w:szCs w:val="20"/>
        </w:rPr>
        <w:tab/>
      </w:r>
      <w:r w:rsidR="0027359B" w:rsidRPr="007D66F8">
        <w:rPr>
          <w:sz w:val="20"/>
          <w:szCs w:val="20"/>
        </w:rPr>
        <w:t xml:space="preserve">The comparative analysis with New Deal spending uses ICPSR and </w:t>
      </w:r>
      <w:r w:rsidR="00B54834" w:rsidRPr="00B54834">
        <w:rPr>
          <w:sz w:val="20"/>
          <w:szCs w:val="20"/>
        </w:rPr>
        <w:t xml:space="preserve">Carroll </w:t>
      </w:r>
      <w:proofErr w:type="spellStart"/>
      <w:r w:rsidR="0027359B" w:rsidRPr="00B54834">
        <w:rPr>
          <w:sz w:val="20"/>
          <w:szCs w:val="20"/>
        </w:rPr>
        <w:t>McKibb</w:t>
      </w:r>
      <w:r w:rsidR="00AD3258">
        <w:rPr>
          <w:sz w:val="20"/>
          <w:szCs w:val="20"/>
        </w:rPr>
        <w:t>i</w:t>
      </w:r>
      <w:r w:rsidR="0027359B" w:rsidRPr="00B54834">
        <w:rPr>
          <w:sz w:val="20"/>
          <w:szCs w:val="20"/>
        </w:rPr>
        <w:t>n</w:t>
      </w:r>
      <w:r w:rsidR="00B54834" w:rsidRPr="00B54834">
        <w:rPr>
          <w:sz w:val="20"/>
          <w:szCs w:val="20"/>
        </w:rPr>
        <w:t>’s</w:t>
      </w:r>
      <w:proofErr w:type="spellEnd"/>
      <w:r w:rsidR="0027359B" w:rsidRPr="00B54834">
        <w:rPr>
          <w:sz w:val="20"/>
          <w:szCs w:val="20"/>
        </w:rPr>
        <w:t xml:space="preserve"> (1997) </w:t>
      </w:r>
      <w:r w:rsidR="0027359B" w:rsidRPr="007D66F8">
        <w:rPr>
          <w:sz w:val="20"/>
          <w:szCs w:val="20"/>
        </w:rPr>
        <w:t>data on individual congresspersons to construct a measure of tenure. We define tenure as the total number of Congresses served by a Representative of Senator in their respective chamber at the time of the vote for passage of the Economic Opportunity Act. Partial terms (</w:t>
      </w:r>
      <w:r w:rsidR="0027359B" w:rsidRPr="007D66F8">
        <w:rPr>
          <w:i/>
          <w:sz w:val="20"/>
          <w:szCs w:val="20"/>
        </w:rPr>
        <w:t>e.g.</w:t>
      </w:r>
      <w:r>
        <w:rPr>
          <w:sz w:val="20"/>
          <w:szCs w:val="20"/>
        </w:rPr>
        <w:t>,</w:t>
      </w:r>
      <w:r w:rsidR="0027359B" w:rsidRPr="007D66F8">
        <w:rPr>
          <w:sz w:val="20"/>
          <w:szCs w:val="20"/>
        </w:rPr>
        <w:t xml:space="preserve"> those who took office in a special election) are counted a</w:t>
      </w:r>
      <w:r w:rsidR="00A71E2E">
        <w:rPr>
          <w:sz w:val="20"/>
          <w:szCs w:val="20"/>
        </w:rPr>
        <w:t>s equivalent to full terms. Non</w:t>
      </w:r>
      <w:r w:rsidR="0027359B" w:rsidRPr="007D66F8">
        <w:rPr>
          <w:sz w:val="20"/>
          <w:szCs w:val="20"/>
        </w:rPr>
        <w:t xml:space="preserve">consecutive terms are included, but service in the other chamber of Congress or in other political office is not. </w:t>
      </w:r>
    </w:p>
    <w:p w:rsidR="0027359B" w:rsidRPr="00BF2E38" w:rsidRDefault="0027359B" w:rsidP="0027359B">
      <w:pPr>
        <w:rPr>
          <w:sz w:val="22"/>
          <w:szCs w:val="22"/>
        </w:rPr>
      </w:pPr>
    </w:p>
    <w:p w:rsidR="006E0ACD" w:rsidRDefault="006E0ACD">
      <w:pPr>
        <w:rPr>
          <w:b/>
          <w:sz w:val="18"/>
          <w:szCs w:val="18"/>
        </w:rPr>
      </w:pPr>
      <w:r>
        <w:rPr>
          <w:b/>
          <w:sz w:val="18"/>
          <w:szCs w:val="18"/>
        </w:rPr>
        <w:br w:type="page"/>
      </w:r>
    </w:p>
    <w:p w:rsidR="00151FA3" w:rsidRPr="00151FA3" w:rsidRDefault="0027359B" w:rsidP="0027359B">
      <w:pPr>
        <w:jc w:val="center"/>
        <w:rPr>
          <w:smallCaps/>
          <w:sz w:val="18"/>
          <w:szCs w:val="18"/>
        </w:rPr>
      </w:pPr>
      <w:r w:rsidRPr="00151FA3">
        <w:rPr>
          <w:smallCaps/>
          <w:sz w:val="18"/>
          <w:szCs w:val="18"/>
        </w:rPr>
        <w:lastRenderedPageBreak/>
        <w:t>Appendix Table 1</w:t>
      </w:r>
    </w:p>
    <w:p w:rsidR="0027359B" w:rsidRPr="00151FA3" w:rsidRDefault="00151FA3" w:rsidP="0027359B">
      <w:pPr>
        <w:jc w:val="center"/>
        <w:rPr>
          <w:sz w:val="18"/>
          <w:szCs w:val="18"/>
        </w:rPr>
      </w:pPr>
      <w:r w:rsidRPr="00151FA3">
        <w:rPr>
          <w:sz w:val="18"/>
          <w:szCs w:val="18"/>
        </w:rPr>
        <w:t>SUMMARY STATISTICS FOR COUNTY DATA</w:t>
      </w:r>
      <w:r>
        <w:rPr>
          <w:sz w:val="18"/>
          <w:szCs w:val="18"/>
        </w:rPr>
        <w:t xml:space="preserve"> </w:t>
      </w:r>
      <w:r w:rsidRPr="00151FA3">
        <w:rPr>
          <w:sz w:val="18"/>
          <w:szCs w:val="18"/>
        </w:rPr>
        <w:t>SET</w:t>
      </w:r>
    </w:p>
    <w:tbl>
      <w:tblPr>
        <w:tblW w:w="10111" w:type="dxa"/>
        <w:jc w:val="center"/>
        <w:tblLook w:val="04A0" w:firstRow="1" w:lastRow="0" w:firstColumn="1" w:lastColumn="0" w:noHBand="0" w:noVBand="1"/>
      </w:tblPr>
      <w:tblGrid>
        <w:gridCol w:w="4819"/>
        <w:gridCol w:w="1404"/>
        <w:gridCol w:w="1296"/>
        <w:gridCol w:w="1296"/>
        <w:gridCol w:w="1296"/>
      </w:tblGrid>
      <w:tr w:rsidR="0027359B" w:rsidRPr="007D66F8" w:rsidTr="00586294">
        <w:trPr>
          <w:trHeight w:val="300"/>
          <w:jc w:val="center"/>
        </w:trPr>
        <w:tc>
          <w:tcPr>
            <w:tcW w:w="4819" w:type="dxa"/>
            <w:tcBorders>
              <w:top w:val="double" w:sz="4" w:space="0" w:color="auto"/>
              <w:left w:val="nil"/>
              <w:bottom w:val="nil"/>
              <w:right w:val="nil"/>
            </w:tcBorders>
            <w:shd w:val="clear" w:color="auto" w:fill="auto"/>
            <w:vAlign w:val="center"/>
            <w:hideMark/>
          </w:tcPr>
          <w:p w:rsidR="0027359B" w:rsidRPr="007D66F8" w:rsidRDefault="0027359B" w:rsidP="001B3769">
            <w:pPr>
              <w:ind w:left="378" w:hanging="378"/>
              <w:rPr>
                <w:color w:val="000000"/>
                <w:sz w:val="18"/>
                <w:szCs w:val="18"/>
              </w:rPr>
            </w:pPr>
          </w:p>
        </w:tc>
        <w:tc>
          <w:tcPr>
            <w:tcW w:w="1404" w:type="dxa"/>
            <w:tcBorders>
              <w:top w:val="double" w:sz="4" w:space="0" w:color="auto"/>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p>
        </w:tc>
        <w:tc>
          <w:tcPr>
            <w:tcW w:w="1296" w:type="dxa"/>
            <w:tcBorders>
              <w:top w:val="double" w:sz="4" w:space="0" w:color="auto"/>
              <w:left w:val="nil"/>
              <w:bottom w:val="nil"/>
              <w:right w:val="nil"/>
            </w:tcBorders>
            <w:shd w:val="clear" w:color="auto" w:fill="auto"/>
            <w:noWrap/>
            <w:vAlign w:val="bottom"/>
            <w:hideMark/>
          </w:tcPr>
          <w:p w:rsidR="0027359B" w:rsidRPr="007D66F8" w:rsidRDefault="002108D7" w:rsidP="000D784D">
            <w:pPr>
              <w:pStyle w:val="Notes"/>
              <w:rPr>
                <w:sz w:val="18"/>
                <w:szCs w:val="18"/>
              </w:rPr>
            </w:pPr>
            <w:r>
              <w:rPr>
                <w:sz w:val="18"/>
                <w:szCs w:val="18"/>
              </w:rPr>
              <w:t xml:space="preserve"> </w:t>
            </w:r>
            <w:r w:rsidR="0027359B" w:rsidRPr="007D66F8">
              <w:rPr>
                <w:sz w:val="18"/>
                <w:szCs w:val="18"/>
              </w:rPr>
              <w:t>Mean</w:t>
            </w:r>
          </w:p>
        </w:tc>
        <w:tc>
          <w:tcPr>
            <w:tcW w:w="1296" w:type="dxa"/>
            <w:tcBorders>
              <w:top w:val="double" w:sz="4" w:space="0" w:color="auto"/>
              <w:left w:val="nil"/>
              <w:bottom w:val="nil"/>
              <w:right w:val="nil"/>
            </w:tcBorders>
            <w:shd w:val="clear" w:color="auto" w:fill="auto"/>
            <w:noWrap/>
            <w:vAlign w:val="bottom"/>
            <w:hideMark/>
          </w:tcPr>
          <w:p w:rsidR="0027359B" w:rsidRPr="007D66F8" w:rsidRDefault="0027359B" w:rsidP="000D784D">
            <w:pPr>
              <w:pStyle w:val="Notes"/>
              <w:rPr>
                <w:sz w:val="18"/>
                <w:szCs w:val="18"/>
              </w:rPr>
            </w:pPr>
            <w:r w:rsidRPr="007D66F8">
              <w:rPr>
                <w:sz w:val="18"/>
                <w:szCs w:val="18"/>
              </w:rPr>
              <w:t>Median</w:t>
            </w:r>
          </w:p>
        </w:tc>
        <w:tc>
          <w:tcPr>
            <w:tcW w:w="1296" w:type="dxa"/>
            <w:tcBorders>
              <w:top w:val="double" w:sz="4" w:space="0" w:color="auto"/>
              <w:left w:val="nil"/>
              <w:bottom w:val="nil"/>
              <w:right w:val="nil"/>
            </w:tcBorders>
            <w:shd w:val="clear" w:color="auto" w:fill="auto"/>
            <w:noWrap/>
            <w:vAlign w:val="bottom"/>
            <w:hideMark/>
          </w:tcPr>
          <w:p w:rsidR="0027359B" w:rsidRPr="007D66F8" w:rsidRDefault="002108D7" w:rsidP="00676D13">
            <w:pPr>
              <w:pStyle w:val="Notes"/>
              <w:rPr>
                <w:sz w:val="18"/>
                <w:szCs w:val="18"/>
              </w:rPr>
            </w:pPr>
            <w:r>
              <w:rPr>
                <w:sz w:val="18"/>
                <w:szCs w:val="18"/>
              </w:rPr>
              <w:t xml:space="preserve">  </w:t>
            </w:r>
            <w:r w:rsidR="00676D13">
              <w:rPr>
                <w:sz w:val="18"/>
                <w:szCs w:val="18"/>
              </w:rPr>
              <w:t xml:space="preserve"> </w:t>
            </w:r>
            <w:r w:rsidR="0027359B" w:rsidRPr="007D66F8">
              <w:rPr>
                <w:sz w:val="18"/>
                <w:szCs w:val="18"/>
              </w:rPr>
              <w:t>SD</w:t>
            </w:r>
          </w:p>
        </w:tc>
      </w:tr>
      <w:tr w:rsidR="0027359B" w:rsidRPr="007D66F8" w:rsidTr="00192B59">
        <w:trPr>
          <w:trHeight w:val="300"/>
          <w:jc w:val="center"/>
        </w:trPr>
        <w:tc>
          <w:tcPr>
            <w:tcW w:w="4819" w:type="dxa"/>
            <w:vMerge w:val="restart"/>
            <w:tcBorders>
              <w:top w:val="single" w:sz="4" w:space="0" w:color="auto"/>
              <w:left w:val="nil"/>
              <w:bottom w:val="single" w:sz="4" w:space="0" w:color="000000"/>
              <w:right w:val="nil"/>
            </w:tcBorders>
            <w:shd w:val="clear" w:color="auto" w:fill="auto"/>
            <w:vAlign w:val="center"/>
            <w:hideMark/>
          </w:tcPr>
          <w:p w:rsidR="009D65DE" w:rsidRDefault="009D65DE" w:rsidP="001B3769">
            <w:pPr>
              <w:ind w:left="378" w:hanging="378"/>
              <w:rPr>
                <w:iCs/>
                <w:color w:val="000000"/>
                <w:sz w:val="18"/>
                <w:szCs w:val="18"/>
              </w:rPr>
            </w:pPr>
            <w:r>
              <w:rPr>
                <w:iCs/>
                <w:color w:val="000000"/>
                <w:sz w:val="18"/>
                <w:szCs w:val="18"/>
              </w:rPr>
              <w:t>Federal CAP funds</w:t>
            </w:r>
            <w:r w:rsidR="0027359B" w:rsidRPr="007D66F8">
              <w:rPr>
                <w:iCs/>
                <w:color w:val="000000"/>
                <w:sz w:val="18"/>
                <w:szCs w:val="18"/>
              </w:rPr>
              <w:t xml:space="preserve"> (Cumulative in thousands 1968$, </w:t>
            </w:r>
          </w:p>
          <w:p w:rsidR="0027359B" w:rsidRPr="007D66F8" w:rsidRDefault="0027359B" w:rsidP="009D65DE">
            <w:pPr>
              <w:ind w:left="180"/>
              <w:rPr>
                <w:iCs/>
                <w:color w:val="000000"/>
                <w:sz w:val="18"/>
                <w:szCs w:val="18"/>
              </w:rPr>
            </w:pPr>
            <w:r w:rsidRPr="007D66F8">
              <w:rPr>
                <w:iCs/>
                <w:color w:val="000000"/>
                <w:sz w:val="18"/>
                <w:szCs w:val="18"/>
              </w:rPr>
              <w:t>others current thousands $)</w:t>
            </w:r>
          </w:p>
        </w:tc>
        <w:tc>
          <w:tcPr>
            <w:tcW w:w="1404" w:type="dxa"/>
            <w:tcBorders>
              <w:top w:val="single" w:sz="4" w:space="0" w:color="auto"/>
              <w:left w:val="nil"/>
              <w:bottom w:val="nil"/>
              <w:right w:val="nil"/>
            </w:tcBorders>
            <w:shd w:val="clear" w:color="auto" w:fill="auto"/>
            <w:noWrap/>
            <w:vAlign w:val="center"/>
            <w:hideMark/>
          </w:tcPr>
          <w:p w:rsidR="0027359B" w:rsidRPr="007D66F8" w:rsidRDefault="0027359B" w:rsidP="00797AD2">
            <w:pPr>
              <w:pStyle w:val="Notes"/>
              <w:jc w:val="center"/>
              <w:rPr>
                <w:sz w:val="18"/>
                <w:szCs w:val="18"/>
              </w:rPr>
            </w:pPr>
            <w:r w:rsidRPr="007D66F8">
              <w:rPr>
                <w:sz w:val="18"/>
                <w:szCs w:val="18"/>
              </w:rPr>
              <w:t>1965</w:t>
            </w:r>
            <w:r w:rsidR="00797AD2">
              <w:rPr>
                <w:sz w:val="18"/>
                <w:szCs w:val="18"/>
              </w:rPr>
              <w:t>–19</w:t>
            </w:r>
            <w:r w:rsidRPr="007D66F8">
              <w:rPr>
                <w:sz w:val="18"/>
                <w:szCs w:val="18"/>
              </w:rPr>
              <w:t>68</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783</w:t>
            </w:r>
            <w:r w:rsidR="00C92EFA">
              <w:rPr>
                <w:sz w:val="18"/>
                <w:szCs w:val="18"/>
              </w:rPr>
              <w:t>,</w:t>
            </w:r>
            <w:r w:rsidRPr="007D66F8">
              <w:rPr>
                <w:sz w:val="18"/>
                <w:szCs w:val="18"/>
              </w:rPr>
              <w:t>576</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10</w:t>
            </w:r>
            <w:r w:rsidR="00C92EFA">
              <w:rPr>
                <w:sz w:val="18"/>
                <w:szCs w:val="18"/>
              </w:rPr>
              <w:t>,</w:t>
            </w:r>
            <w:r w:rsidRPr="007D66F8">
              <w:rPr>
                <w:sz w:val="18"/>
                <w:szCs w:val="18"/>
              </w:rPr>
              <w:t>528</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4</w:t>
            </w:r>
            <w:r w:rsidR="00C92EFA">
              <w:rPr>
                <w:sz w:val="18"/>
                <w:szCs w:val="18"/>
              </w:rPr>
              <w:t>,</w:t>
            </w:r>
            <w:r w:rsidRPr="007D66F8">
              <w:rPr>
                <w:sz w:val="18"/>
                <w:szCs w:val="18"/>
              </w:rPr>
              <w:t>633</w:t>
            </w:r>
            <w:r w:rsidR="00C92EFA">
              <w:rPr>
                <w:sz w:val="18"/>
                <w:szCs w:val="18"/>
              </w:rPr>
              <w:t>,</w:t>
            </w:r>
            <w:r w:rsidRPr="007D66F8">
              <w:rPr>
                <w:sz w:val="18"/>
                <w:szCs w:val="18"/>
              </w:rPr>
              <w:t>000</w:t>
            </w:r>
          </w:p>
        </w:tc>
      </w:tr>
      <w:tr w:rsidR="0027359B" w:rsidRPr="007D66F8" w:rsidTr="00192B59">
        <w:trPr>
          <w:trHeight w:val="300"/>
          <w:jc w:val="center"/>
        </w:trPr>
        <w:tc>
          <w:tcPr>
            <w:tcW w:w="4819" w:type="dxa"/>
            <w:vMerge/>
            <w:tcBorders>
              <w:top w:val="single" w:sz="4" w:space="0" w:color="auto"/>
              <w:left w:val="nil"/>
              <w:bottom w:val="single" w:sz="4" w:space="0" w:color="000000"/>
              <w:right w:val="nil"/>
            </w:tcBorders>
            <w:vAlign w:val="center"/>
            <w:hideMark/>
          </w:tcPr>
          <w:p w:rsidR="0027359B" w:rsidRPr="007D66F8" w:rsidRDefault="0027359B" w:rsidP="001B3769">
            <w:pPr>
              <w:ind w:left="378" w:hanging="378"/>
              <w:rPr>
                <w:iCs/>
                <w:color w:val="000000"/>
                <w:sz w:val="18"/>
                <w:szCs w:val="18"/>
              </w:rPr>
            </w:pP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1965</w:t>
            </w:r>
          </w:p>
        </w:tc>
        <w:tc>
          <w:tcPr>
            <w:tcW w:w="1296" w:type="dxa"/>
            <w:tcBorders>
              <w:top w:val="nil"/>
              <w:left w:val="nil"/>
              <w:bottom w:val="nil"/>
              <w:right w:val="nil"/>
            </w:tcBorders>
            <w:shd w:val="clear" w:color="auto" w:fill="auto"/>
            <w:noWrap/>
            <w:vAlign w:val="center"/>
          </w:tcPr>
          <w:p w:rsidR="0027359B" w:rsidRPr="007D66F8" w:rsidRDefault="008B2D5A" w:rsidP="00CE4E04">
            <w:pPr>
              <w:pStyle w:val="Notes"/>
              <w:tabs>
                <w:tab w:val="decimal" w:pos="270"/>
              </w:tabs>
              <w:jc w:val="left"/>
              <w:rPr>
                <w:sz w:val="18"/>
                <w:szCs w:val="18"/>
              </w:rPr>
            </w:pPr>
            <w:r>
              <w:rPr>
                <w:sz w:val="18"/>
                <w:szCs w:val="18"/>
              </w:rPr>
              <w:t xml:space="preserve">  </w:t>
            </w:r>
            <w:r w:rsidR="0027359B" w:rsidRPr="007D66F8">
              <w:rPr>
                <w:sz w:val="18"/>
                <w:szCs w:val="18"/>
              </w:rPr>
              <w:t>46</w:t>
            </w:r>
            <w:r w:rsidR="00C92EFA">
              <w:rPr>
                <w:sz w:val="18"/>
                <w:szCs w:val="18"/>
              </w:rPr>
              <w:t>,</w:t>
            </w:r>
            <w:r w:rsidR="0027359B" w:rsidRPr="007D66F8">
              <w:rPr>
                <w:sz w:val="18"/>
                <w:szCs w:val="18"/>
              </w:rPr>
              <w:t>111</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nil"/>
              <w:right w:val="nil"/>
            </w:tcBorders>
            <w:shd w:val="clear" w:color="auto" w:fill="auto"/>
            <w:noWrap/>
            <w:vAlign w:val="center"/>
          </w:tcPr>
          <w:p w:rsidR="0027359B" w:rsidRPr="007D66F8" w:rsidRDefault="00310630" w:rsidP="00CE4E04">
            <w:pPr>
              <w:pStyle w:val="Notes"/>
              <w:tabs>
                <w:tab w:val="decimal" w:pos="270"/>
              </w:tabs>
              <w:jc w:val="left"/>
              <w:rPr>
                <w:sz w:val="18"/>
                <w:szCs w:val="18"/>
              </w:rPr>
            </w:pPr>
            <w:r>
              <w:rPr>
                <w:sz w:val="18"/>
                <w:szCs w:val="18"/>
              </w:rPr>
              <w:t xml:space="preserve">   </w:t>
            </w:r>
            <w:r w:rsidR="0027359B" w:rsidRPr="007D66F8">
              <w:rPr>
                <w:sz w:val="18"/>
                <w:szCs w:val="18"/>
              </w:rPr>
              <w:t>413</w:t>
            </w:r>
            <w:r w:rsidR="00C92EFA">
              <w:rPr>
                <w:sz w:val="18"/>
                <w:szCs w:val="18"/>
              </w:rPr>
              <w:t>,</w:t>
            </w:r>
            <w:r w:rsidR="0027359B" w:rsidRPr="007D66F8">
              <w:rPr>
                <w:sz w:val="18"/>
                <w:szCs w:val="18"/>
              </w:rPr>
              <w:t>798</w:t>
            </w:r>
          </w:p>
        </w:tc>
      </w:tr>
      <w:tr w:rsidR="0027359B" w:rsidRPr="007D66F8" w:rsidTr="00192B59">
        <w:trPr>
          <w:trHeight w:val="300"/>
          <w:jc w:val="center"/>
        </w:trPr>
        <w:tc>
          <w:tcPr>
            <w:tcW w:w="4819" w:type="dxa"/>
            <w:vMerge/>
            <w:tcBorders>
              <w:top w:val="single" w:sz="4" w:space="0" w:color="auto"/>
              <w:left w:val="nil"/>
              <w:bottom w:val="single" w:sz="4" w:space="0" w:color="000000"/>
              <w:right w:val="nil"/>
            </w:tcBorders>
            <w:vAlign w:val="center"/>
            <w:hideMark/>
          </w:tcPr>
          <w:p w:rsidR="0027359B" w:rsidRPr="007D66F8" w:rsidRDefault="0027359B" w:rsidP="001B3769">
            <w:pPr>
              <w:ind w:left="378" w:hanging="378"/>
              <w:rPr>
                <w:iCs/>
                <w:color w:val="000000"/>
                <w:sz w:val="18"/>
                <w:szCs w:val="18"/>
              </w:rPr>
            </w:pP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1966</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188</w:t>
            </w:r>
            <w:r w:rsidR="00C92EFA">
              <w:rPr>
                <w:sz w:val="18"/>
                <w:szCs w:val="18"/>
              </w:rPr>
              <w:t>,</w:t>
            </w:r>
            <w:r w:rsidRPr="007D66F8">
              <w:rPr>
                <w:sz w:val="18"/>
                <w:szCs w:val="18"/>
              </w:rPr>
              <w:t>728</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w:t>
            </w:r>
            <w:r w:rsidR="00C92EFA">
              <w:rPr>
                <w:sz w:val="18"/>
                <w:szCs w:val="18"/>
              </w:rPr>
              <w:t>,</w:t>
            </w:r>
            <w:r w:rsidRPr="007D66F8">
              <w:rPr>
                <w:sz w:val="18"/>
                <w:szCs w:val="18"/>
              </w:rPr>
              <w:t>101</w:t>
            </w:r>
            <w:r w:rsidR="00C92EFA">
              <w:rPr>
                <w:sz w:val="18"/>
                <w:szCs w:val="18"/>
              </w:rPr>
              <w:t>,</w:t>
            </w:r>
            <w:r w:rsidRPr="007D66F8">
              <w:rPr>
                <w:sz w:val="18"/>
                <w:szCs w:val="18"/>
              </w:rPr>
              <w:t>000</w:t>
            </w:r>
          </w:p>
        </w:tc>
      </w:tr>
      <w:tr w:rsidR="0027359B" w:rsidRPr="007D66F8" w:rsidTr="00192B59">
        <w:trPr>
          <w:trHeight w:val="300"/>
          <w:jc w:val="center"/>
        </w:trPr>
        <w:tc>
          <w:tcPr>
            <w:tcW w:w="4819" w:type="dxa"/>
            <w:vMerge/>
            <w:tcBorders>
              <w:top w:val="single" w:sz="4" w:space="0" w:color="auto"/>
              <w:left w:val="nil"/>
              <w:bottom w:val="single" w:sz="4" w:space="0" w:color="000000"/>
              <w:right w:val="nil"/>
            </w:tcBorders>
            <w:vAlign w:val="center"/>
            <w:hideMark/>
          </w:tcPr>
          <w:p w:rsidR="0027359B" w:rsidRPr="007D66F8" w:rsidRDefault="0027359B" w:rsidP="001B3769">
            <w:pPr>
              <w:ind w:left="378" w:hanging="378"/>
              <w:rPr>
                <w:iCs/>
                <w:color w:val="000000"/>
                <w:sz w:val="18"/>
                <w:szCs w:val="18"/>
              </w:rPr>
            </w:pP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1967</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253</w:t>
            </w:r>
            <w:r w:rsidR="00C92EFA">
              <w:rPr>
                <w:sz w:val="18"/>
                <w:szCs w:val="18"/>
              </w:rPr>
              <w:t>,</w:t>
            </w:r>
            <w:r w:rsidRPr="007D66F8">
              <w:rPr>
                <w:sz w:val="18"/>
                <w:szCs w:val="18"/>
              </w:rPr>
              <w:t>857</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w:t>
            </w:r>
            <w:r w:rsidR="00C92EFA">
              <w:rPr>
                <w:sz w:val="18"/>
                <w:szCs w:val="18"/>
              </w:rPr>
              <w:t>,</w:t>
            </w:r>
            <w:r w:rsidRPr="007D66F8">
              <w:rPr>
                <w:sz w:val="18"/>
                <w:szCs w:val="18"/>
              </w:rPr>
              <w:t>568</w:t>
            </w:r>
            <w:r w:rsidR="00C92EFA">
              <w:rPr>
                <w:sz w:val="18"/>
                <w:szCs w:val="18"/>
              </w:rPr>
              <w:t>,</w:t>
            </w:r>
            <w:r w:rsidRPr="007D66F8">
              <w:rPr>
                <w:sz w:val="18"/>
                <w:szCs w:val="18"/>
              </w:rPr>
              <w:t>000</w:t>
            </w:r>
          </w:p>
        </w:tc>
      </w:tr>
      <w:tr w:rsidR="0027359B" w:rsidRPr="007D66F8" w:rsidTr="00192B59">
        <w:trPr>
          <w:trHeight w:val="300"/>
          <w:jc w:val="center"/>
        </w:trPr>
        <w:tc>
          <w:tcPr>
            <w:tcW w:w="4819" w:type="dxa"/>
            <w:vMerge/>
            <w:tcBorders>
              <w:top w:val="single" w:sz="4" w:space="0" w:color="auto"/>
              <w:left w:val="nil"/>
              <w:bottom w:val="single" w:sz="4" w:space="0" w:color="000000"/>
              <w:right w:val="nil"/>
            </w:tcBorders>
            <w:vAlign w:val="center"/>
            <w:hideMark/>
          </w:tcPr>
          <w:p w:rsidR="0027359B" w:rsidRPr="007D66F8" w:rsidRDefault="0027359B" w:rsidP="001B3769">
            <w:pPr>
              <w:ind w:left="378" w:hanging="378"/>
              <w:rPr>
                <w:iCs/>
                <w:color w:val="000000"/>
                <w:sz w:val="18"/>
                <w:szCs w:val="18"/>
              </w:rPr>
            </w:pPr>
          </w:p>
        </w:tc>
        <w:tc>
          <w:tcPr>
            <w:tcW w:w="1404" w:type="dxa"/>
            <w:tcBorders>
              <w:top w:val="nil"/>
              <w:left w:val="nil"/>
              <w:bottom w:val="single" w:sz="4" w:space="0" w:color="auto"/>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1968</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265</w:t>
            </w:r>
            <w:r w:rsidR="00C92EFA">
              <w:rPr>
                <w:sz w:val="18"/>
                <w:szCs w:val="18"/>
              </w:rPr>
              <w:t>,</w:t>
            </w:r>
            <w:r w:rsidRPr="007D66F8">
              <w:rPr>
                <w:sz w:val="18"/>
                <w:szCs w:val="18"/>
              </w:rPr>
              <w:t>428</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w:t>
            </w:r>
            <w:r w:rsidR="00C92EFA">
              <w:rPr>
                <w:sz w:val="18"/>
                <w:szCs w:val="18"/>
              </w:rPr>
              <w:t>,</w:t>
            </w:r>
            <w:r w:rsidRPr="007D66F8">
              <w:rPr>
                <w:sz w:val="18"/>
                <w:szCs w:val="18"/>
              </w:rPr>
              <w:t>445</w:t>
            </w:r>
            <w:r w:rsidR="00C92EFA">
              <w:rPr>
                <w:sz w:val="18"/>
                <w:szCs w:val="18"/>
              </w:rPr>
              <w:t>,</w:t>
            </w:r>
            <w:r w:rsidRPr="007D66F8">
              <w:rPr>
                <w:sz w:val="18"/>
                <w:szCs w:val="18"/>
              </w:rPr>
              <w:t>000</w:t>
            </w:r>
          </w:p>
        </w:tc>
      </w:tr>
      <w:tr w:rsidR="0027359B" w:rsidRPr="007D66F8" w:rsidTr="00192B59">
        <w:trPr>
          <w:trHeight w:val="300"/>
          <w:jc w:val="center"/>
        </w:trPr>
        <w:tc>
          <w:tcPr>
            <w:tcW w:w="4819" w:type="dxa"/>
            <w:tcBorders>
              <w:top w:val="single" w:sz="4" w:space="0" w:color="auto"/>
              <w:left w:val="nil"/>
              <w:right w:val="nil"/>
            </w:tcBorders>
            <w:vAlign w:val="center"/>
          </w:tcPr>
          <w:p w:rsidR="0027359B" w:rsidRPr="007D66F8" w:rsidRDefault="0027359B" w:rsidP="001B3769">
            <w:pPr>
              <w:ind w:left="378" w:hanging="378"/>
              <w:rPr>
                <w:iCs/>
                <w:color w:val="000000"/>
                <w:sz w:val="18"/>
                <w:szCs w:val="18"/>
              </w:rPr>
            </w:pPr>
            <w:r w:rsidRPr="007D66F8">
              <w:rPr>
                <w:iCs/>
                <w:color w:val="000000"/>
                <w:sz w:val="18"/>
                <w:szCs w:val="18"/>
              </w:rPr>
              <w:t>Local government direct general expenditures per capita</w:t>
            </w:r>
          </w:p>
        </w:tc>
        <w:tc>
          <w:tcPr>
            <w:tcW w:w="1404" w:type="dxa"/>
            <w:tcBorders>
              <w:top w:val="single" w:sz="4" w:space="0" w:color="auto"/>
              <w:left w:val="nil"/>
              <w:right w:val="nil"/>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1962</w:t>
            </w:r>
          </w:p>
        </w:tc>
        <w:tc>
          <w:tcPr>
            <w:tcW w:w="1296" w:type="dxa"/>
            <w:tcBorders>
              <w:top w:val="single" w:sz="4" w:space="0" w:color="auto"/>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183.1</w:t>
            </w:r>
          </w:p>
        </w:tc>
        <w:tc>
          <w:tcPr>
            <w:tcW w:w="1296" w:type="dxa"/>
            <w:tcBorders>
              <w:top w:val="single" w:sz="4" w:space="0" w:color="auto"/>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171.1</w:t>
            </w:r>
          </w:p>
        </w:tc>
        <w:tc>
          <w:tcPr>
            <w:tcW w:w="1296" w:type="dxa"/>
            <w:tcBorders>
              <w:top w:val="single" w:sz="4" w:space="0" w:color="auto"/>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77.78</w:t>
            </w:r>
          </w:p>
        </w:tc>
      </w:tr>
      <w:tr w:rsidR="0027359B" w:rsidRPr="007D66F8" w:rsidTr="00192B59">
        <w:trPr>
          <w:trHeight w:val="300"/>
          <w:jc w:val="center"/>
        </w:trPr>
        <w:tc>
          <w:tcPr>
            <w:tcW w:w="4819" w:type="dxa"/>
            <w:tcBorders>
              <w:top w:val="nil"/>
              <w:left w:val="nil"/>
              <w:right w:val="nil"/>
            </w:tcBorders>
            <w:vAlign w:val="center"/>
          </w:tcPr>
          <w:p w:rsidR="0027359B" w:rsidRPr="007D66F8" w:rsidRDefault="0027359B" w:rsidP="001B3769">
            <w:pPr>
              <w:ind w:left="378" w:hanging="378"/>
              <w:rPr>
                <w:iCs/>
                <w:color w:val="000000"/>
                <w:sz w:val="18"/>
                <w:szCs w:val="18"/>
              </w:rPr>
            </w:pPr>
            <w:r w:rsidRPr="007D66F8">
              <w:rPr>
                <w:iCs/>
                <w:color w:val="000000"/>
                <w:sz w:val="18"/>
                <w:szCs w:val="18"/>
              </w:rPr>
              <w:t>Local government public welfare expenditures per capita</w:t>
            </w:r>
          </w:p>
        </w:tc>
        <w:tc>
          <w:tcPr>
            <w:tcW w:w="1404" w:type="dxa"/>
            <w:tcBorders>
              <w:top w:val="nil"/>
              <w:left w:val="nil"/>
              <w:right w:val="nil"/>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1962</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9.743</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3.001</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15.48</w:t>
            </w:r>
          </w:p>
        </w:tc>
      </w:tr>
      <w:tr w:rsidR="0027359B" w:rsidRPr="007D66F8" w:rsidTr="00192B59">
        <w:trPr>
          <w:trHeight w:val="300"/>
          <w:jc w:val="center"/>
        </w:trPr>
        <w:tc>
          <w:tcPr>
            <w:tcW w:w="4819" w:type="dxa"/>
            <w:tcBorders>
              <w:left w:val="nil"/>
              <w:bottom w:val="single" w:sz="4" w:space="0" w:color="auto"/>
              <w:right w:val="nil"/>
            </w:tcBorders>
            <w:vAlign w:val="center"/>
          </w:tcPr>
          <w:p w:rsidR="0027359B" w:rsidRPr="007D66F8" w:rsidRDefault="0027359B" w:rsidP="001B3769">
            <w:pPr>
              <w:ind w:left="378" w:hanging="378"/>
              <w:rPr>
                <w:iCs/>
                <w:color w:val="000000"/>
                <w:sz w:val="18"/>
                <w:szCs w:val="18"/>
              </w:rPr>
            </w:pPr>
            <w:r w:rsidRPr="007D66F8">
              <w:rPr>
                <w:iCs/>
                <w:color w:val="000000"/>
                <w:sz w:val="18"/>
                <w:szCs w:val="18"/>
              </w:rPr>
              <w:t>Local government tax revenue per capita</w:t>
            </w:r>
          </w:p>
        </w:tc>
        <w:tc>
          <w:tcPr>
            <w:tcW w:w="1404" w:type="dxa"/>
            <w:tcBorders>
              <w:left w:val="nil"/>
              <w:bottom w:val="single" w:sz="4" w:space="0" w:color="auto"/>
              <w:right w:val="nil"/>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1962</w:t>
            </w:r>
          </w:p>
        </w:tc>
        <w:tc>
          <w:tcPr>
            <w:tcW w:w="1296" w:type="dxa"/>
            <w:tcBorders>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87.23</w:t>
            </w:r>
          </w:p>
        </w:tc>
        <w:tc>
          <w:tcPr>
            <w:tcW w:w="1296" w:type="dxa"/>
            <w:tcBorders>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79.62</w:t>
            </w:r>
          </w:p>
        </w:tc>
        <w:tc>
          <w:tcPr>
            <w:tcW w:w="1296" w:type="dxa"/>
            <w:tcBorders>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55.48</w:t>
            </w:r>
          </w:p>
        </w:tc>
      </w:tr>
      <w:tr w:rsidR="0027359B" w:rsidRPr="007D66F8" w:rsidTr="00192B59">
        <w:trPr>
          <w:trHeight w:val="300"/>
          <w:jc w:val="center"/>
        </w:trPr>
        <w:tc>
          <w:tcPr>
            <w:tcW w:w="4819" w:type="dxa"/>
            <w:tcBorders>
              <w:top w:val="single" w:sz="4" w:space="0" w:color="auto"/>
              <w:left w:val="nil"/>
              <w:bottom w:val="nil"/>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Share of Population ≤ 5 years old</w:t>
            </w:r>
          </w:p>
        </w:tc>
        <w:tc>
          <w:tcPr>
            <w:tcW w:w="1404" w:type="dxa"/>
            <w:tcBorders>
              <w:top w:val="single" w:sz="4" w:space="0" w:color="auto"/>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1960</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0.111</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0.111</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0.018</w:t>
            </w:r>
          </w:p>
        </w:tc>
      </w:tr>
      <w:tr w:rsidR="0027359B" w:rsidRPr="007D66F8" w:rsidTr="00192B59">
        <w:trPr>
          <w:trHeight w:val="144"/>
          <w:jc w:val="center"/>
        </w:trPr>
        <w:tc>
          <w:tcPr>
            <w:tcW w:w="4819" w:type="dxa"/>
            <w:tcBorders>
              <w:top w:val="nil"/>
              <w:left w:val="nil"/>
              <w:bottom w:val="nil"/>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Share of Population &gt; 64 years old</w:t>
            </w:r>
          </w:p>
        </w:tc>
        <w:tc>
          <w:tcPr>
            <w:tcW w:w="1404" w:type="dxa"/>
            <w:tcBorders>
              <w:top w:val="nil"/>
              <w:left w:val="nil"/>
              <w:bottom w:val="nil"/>
              <w:right w:val="nil"/>
            </w:tcBorders>
            <w:shd w:val="clear" w:color="auto" w:fill="auto"/>
            <w:noWrap/>
            <w:hideMark/>
          </w:tcPr>
          <w:p w:rsidR="0027359B" w:rsidRPr="007D66F8" w:rsidRDefault="0027359B" w:rsidP="001B3769">
            <w:pPr>
              <w:pStyle w:val="Notes"/>
              <w:jc w:val="center"/>
              <w:rPr>
                <w:sz w:val="18"/>
                <w:szCs w:val="18"/>
              </w:rPr>
            </w:pPr>
            <w:r w:rsidRPr="007D66F8">
              <w:rPr>
                <w:sz w:val="18"/>
                <w:szCs w:val="18"/>
              </w:rPr>
              <w:t>1960</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0.106</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0.104</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0.033</w:t>
            </w:r>
          </w:p>
        </w:tc>
      </w:tr>
      <w:tr w:rsidR="0027359B" w:rsidRPr="007D66F8" w:rsidTr="00192B59">
        <w:trPr>
          <w:trHeight w:val="117"/>
          <w:jc w:val="center"/>
        </w:trPr>
        <w:tc>
          <w:tcPr>
            <w:tcW w:w="4819" w:type="dxa"/>
            <w:tcBorders>
              <w:top w:val="nil"/>
              <w:left w:val="nil"/>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Share of Nonwhite population</w:t>
            </w:r>
          </w:p>
        </w:tc>
        <w:tc>
          <w:tcPr>
            <w:tcW w:w="1404" w:type="dxa"/>
            <w:tcBorders>
              <w:top w:val="nil"/>
              <w:left w:val="nil"/>
              <w:right w:val="nil"/>
            </w:tcBorders>
            <w:shd w:val="clear" w:color="auto" w:fill="auto"/>
            <w:noWrap/>
            <w:hideMark/>
          </w:tcPr>
          <w:p w:rsidR="0027359B" w:rsidRPr="007D66F8" w:rsidRDefault="0027359B" w:rsidP="001B3769">
            <w:pPr>
              <w:pStyle w:val="Notes"/>
              <w:jc w:val="center"/>
              <w:rPr>
                <w:sz w:val="18"/>
                <w:szCs w:val="18"/>
              </w:rPr>
            </w:pPr>
            <w:r w:rsidRPr="007D66F8">
              <w:rPr>
                <w:sz w:val="18"/>
                <w:szCs w:val="18"/>
              </w:rPr>
              <w:t>1960</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0.107</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0.024</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0.165</w:t>
            </w:r>
          </w:p>
        </w:tc>
      </w:tr>
      <w:tr w:rsidR="0027359B" w:rsidRPr="007D66F8" w:rsidTr="00192B59">
        <w:trPr>
          <w:trHeight w:val="117"/>
          <w:jc w:val="center"/>
        </w:trPr>
        <w:tc>
          <w:tcPr>
            <w:tcW w:w="4819" w:type="dxa"/>
            <w:tcBorders>
              <w:top w:val="nil"/>
              <w:left w:val="nil"/>
              <w:righ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Share of Population living in urban areas</w:t>
            </w:r>
          </w:p>
        </w:tc>
        <w:tc>
          <w:tcPr>
            <w:tcW w:w="1404" w:type="dxa"/>
            <w:tcBorders>
              <w:top w:val="nil"/>
              <w:left w:val="nil"/>
              <w:right w:val="nil"/>
            </w:tcBorders>
            <w:shd w:val="clear" w:color="auto" w:fill="auto"/>
            <w:noWrap/>
          </w:tcPr>
          <w:p w:rsidR="0027359B" w:rsidRPr="007D66F8" w:rsidRDefault="0027359B" w:rsidP="001B3769">
            <w:pPr>
              <w:pStyle w:val="Notes"/>
              <w:jc w:val="center"/>
              <w:rPr>
                <w:sz w:val="18"/>
                <w:szCs w:val="18"/>
              </w:rPr>
            </w:pPr>
            <w:r w:rsidRPr="007D66F8">
              <w:rPr>
                <w:sz w:val="18"/>
                <w:szCs w:val="18"/>
              </w:rPr>
              <w:t>1960</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0.321</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0.311</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0.284</w:t>
            </w:r>
          </w:p>
        </w:tc>
      </w:tr>
      <w:tr w:rsidR="0027359B" w:rsidRPr="007D66F8" w:rsidTr="00192B59">
        <w:trPr>
          <w:trHeight w:val="117"/>
          <w:jc w:val="center"/>
        </w:trPr>
        <w:tc>
          <w:tcPr>
            <w:tcW w:w="4819" w:type="dxa"/>
            <w:tcBorders>
              <w:top w:val="nil"/>
              <w:left w:val="nil"/>
              <w:righ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Share of Population living in rural farm areas</w:t>
            </w:r>
          </w:p>
        </w:tc>
        <w:tc>
          <w:tcPr>
            <w:tcW w:w="1404" w:type="dxa"/>
            <w:tcBorders>
              <w:top w:val="nil"/>
              <w:left w:val="nil"/>
              <w:right w:val="nil"/>
            </w:tcBorders>
            <w:shd w:val="clear" w:color="auto" w:fill="auto"/>
            <w:noWrap/>
          </w:tcPr>
          <w:p w:rsidR="0027359B" w:rsidRPr="007D66F8" w:rsidRDefault="0027359B" w:rsidP="001B3769">
            <w:pPr>
              <w:pStyle w:val="Notes"/>
              <w:jc w:val="center"/>
              <w:rPr>
                <w:sz w:val="18"/>
                <w:szCs w:val="18"/>
              </w:rPr>
            </w:pPr>
            <w:r w:rsidRPr="007D66F8">
              <w:rPr>
                <w:sz w:val="18"/>
                <w:szCs w:val="18"/>
              </w:rPr>
              <w:t>1960</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0.226</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0.204</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0.162</w:t>
            </w:r>
          </w:p>
        </w:tc>
      </w:tr>
      <w:tr w:rsidR="0027359B" w:rsidRPr="007D66F8" w:rsidTr="00192B59">
        <w:trPr>
          <w:trHeight w:val="117"/>
          <w:jc w:val="center"/>
        </w:trPr>
        <w:tc>
          <w:tcPr>
            <w:tcW w:w="4819" w:type="dxa"/>
            <w:tcBorders>
              <w:top w:val="nil"/>
              <w:left w:val="nil"/>
              <w:righ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Share of Population with income &lt;$3K/year</w:t>
            </w:r>
          </w:p>
        </w:tc>
        <w:tc>
          <w:tcPr>
            <w:tcW w:w="1404" w:type="dxa"/>
            <w:tcBorders>
              <w:top w:val="nil"/>
              <w:left w:val="nil"/>
              <w:right w:val="nil"/>
            </w:tcBorders>
            <w:shd w:val="clear" w:color="auto" w:fill="auto"/>
            <w:noWrap/>
          </w:tcPr>
          <w:p w:rsidR="0027359B" w:rsidRPr="007D66F8" w:rsidRDefault="0027359B" w:rsidP="001B3769">
            <w:pPr>
              <w:pStyle w:val="Notes"/>
              <w:jc w:val="center"/>
              <w:rPr>
                <w:sz w:val="18"/>
                <w:szCs w:val="18"/>
              </w:rPr>
            </w:pPr>
            <w:r w:rsidRPr="007D66F8">
              <w:rPr>
                <w:sz w:val="18"/>
                <w:szCs w:val="18"/>
              </w:rPr>
              <w:t>1960</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0.079</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0.068</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0.051</w:t>
            </w:r>
          </w:p>
        </w:tc>
      </w:tr>
      <w:tr w:rsidR="0027359B" w:rsidRPr="007D66F8" w:rsidTr="00192B59">
        <w:trPr>
          <w:trHeight w:val="117"/>
          <w:jc w:val="center"/>
        </w:trPr>
        <w:tc>
          <w:tcPr>
            <w:tcW w:w="4819" w:type="dxa"/>
            <w:tcBorders>
              <w:top w:val="nil"/>
              <w:left w:val="nil"/>
              <w:bottom w:val="single" w:sz="4" w:space="0" w:color="auto"/>
              <w:righ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Share of Population with income ≥ $10K / year</w:t>
            </w:r>
          </w:p>
        </w:tc>
        <w:tc>
          <w:tcPr>
            <w:tcW w:w="1404" w:type="dxa"/>
            <w:tcBorders>
              <w:top w:val="nil"/>
              <w:left w:val="nil"/>
              <w:bottom w:val="single" w:sz="4" w:space="0" w:color="auto"/>
              <w:right w:val="nil"/>
            </w:tcBorders>
            <w:shd w:val="clear" w:color="auto" w:fill="auto"/>
            <w:noWrap/>
          </w:tcPr>
          <w:p w:rsidR="0027359B" w:rsidRPr="007D66F8" w:rsidRDefault="0027359B" w:rsidP="001B3769">
            <w:pPr>
              <w:pStyle w:val="Notes"/>
              <w:jc w:val="center"/>
              <w:rPr>
                <w:sz w:val="18"/>
                <w:szCs w:val="18"/>
              </w:rPr>
            </w:pPr>
            <w:r w:rsidRPr="007D66F8">
              <w:rPr>
                <w:sz w:val="18"/>
                <w:szCs w:val="18"/>
              </w:rPr>
              <w:t>1960</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0.355</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0.335</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0.162</w:t>
            </w:r>
          </w:p>
        </w:tc>
      </w:tr>
      <w:tr w:rsidR="0027359B" w:rsidRPr="007D66F8" w:rsidTr="00192B59">
        <w:trPr>
          <w:trHeight w:val="117"/>
          <w:jc w:val="center"/>
        </w:trPr>
        <w:tc>
          <w:tcPr>
            <w:tcW w:w="4819" w:type="dxa"/>
            <w:tcBorders>
              <w:top w:val="single" w:sz="4" w:space="0" w:color="auto"/>
              <w:left w:val="nil"/>
            </w:tcBorders>
            <w:shd w:val="clear" w:color="auto" w:fill="auto"/>
            <w:tcMar>
              <w:top w:w="40" w:type="dxa"/>
            </w:tcMar>
            <w:vAlign w:val="center"/>
          </w:tcPr>
          <w:p w:rsidR="0027359B" w:rsidRPr="007D66F8" w:rsidRDefault="0027359B" w:rsidP="001B3769">
            <w:pPr>
              <w:ind w:left="378" w:hanging="378"/>
              <w:rPr>
                <w:iCs/>
                <w:color w:val="000000"/>
                <w:sz w:val="18"/>
                <w:szCs w:val="18"/>
              </w:rPr>
            </w:pPr>
            <w:r w:rsidRPr="007D66F8">
              <w:rPr>
                <w:iCs/>
                <w:color w:val="000000"/>
                <w:sz w:val="18"/>
                <w:szCs w:val="18"/>
              </w:rPr>
              <w:t>Vietnam deaths 1960</w:t>
            </w:r>
            <w:r w:rsidR="00797AD2">
              <w:rPr>
                <w:sz w:val="18"/>
                <w:szCs w:val="18"/>
              </w:rPr>
              <w:t>–19</w:t>
            </w:r>
            <w:r w:rsidRPr="007D66F8">
              <w:rPr>
                <w:iCs/>
                <w:color w:val="000000"/>
                <w:sz w:val="18"/>
                <w:szCs w:val="18"/>
              </w:rPr>
              <w:t xml:space="preserve">65 per </w:t>
            </w:r>
            <w:r w:rsidR="005B7757" w:rsidRPr="007D66F8">
              <w:rPr>
                <w:iCs/>
                <w:color w:val="000000"/>
                <w:sz w:val="18"/>
                <w:szCs w:val="18"/>
              </w:rPr>
              <w:t>men</w:t>
            </w:r>
            <w:r w:rsidRPr="007D66F8">
              <w:rPr>
                <w:iCs/>
                <w:color w:val="000000"/>
                <w:sz w:val="18"/>
                <w:szCs w:val="18"/>
              </w:rPr>
              <w:t xml:space="preserve"> aged 11</w:t>
            </w:r>
            <w:r w:rsidR="00474342">
              <w:rPr>
                <w:sz w:val="18"/>
                <w:szCs w:val="18"/>
              </w:rPr>
              <w:t>–</w:t>
            </w:r>
            <w:r w:rsidRPr="007D66F8">
              <w:rPr>
                <w:iCs/>
                <w:color w:val="000000"/>
                <w:sz w:val="18"/>
                <w:szCs w:val="18"/>
              </w:rPr>
              <w:t>20 in 1960 x 100</w:t>
            </w:r>
          </w:p>
        </w:tc>
        <w:tc>
          <w:tcPr>
            <w:tcW w:w="1404" w:type="dxa"/>
            <w:tcBorders>
              <w:top w:val="single" w:sz="4" w:space="0" w:color="auto"/>
            </w:tcBorders>
            <w:shd w:val="clear" w:color="auto" w:fill="auto"/>
            <w:noWrap/>
            <w:vAlign w:val="center"/>
          </w:tcPr>
          <w:p w:rsidR="0027359B" w:rsidRPr="007D66F8" w:rsidRDefault="0027359B" w:rsidP="001B3769">
            <w:pPr>
              <w:pStyle w:val="Notes"/>
              <w:jc w:val="center"/>
              <w:rPr>
                <w:sz w:val="18"/>
                <w:szCs w:val="18"/>
              </w:rPr>
            </w:pPr>
          </w:p>
        </w:tc>
        <w:tc>
          <w:tcPr>
            <w:tcW w:w="1296" w:type="dxa"/>
            <w:tcBorders>
              <w:top w:val="single" w:sz="4" w:space="0" w:color="auto"/>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0.129</w:t>
            </w:r>
          </w:p>
        </w:tc>
        <w:tc>
          <w:tcPr>
            <w:tcW w:w="1296" w:type="dxa"/>
            <w:tcBorders>
              <w:top w:val="single" w:sz="4" w:space="0" w:color="auto"/>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0.117</w:t>
            </w:r>
          </w:p>
        </w:tc>
        <w:tc>
          <w:tcPr>
            <w:tcW w:w="1296" w:type="dxa"/>
            <w:tcBorders>
              <w:top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0.12</w:t>
            </w:r>
          </w:p>
        </w:tc>
      </w:tr>
      <w:tr w:rsidR="0027359B" w:rsidRPr="007D66F8" w:rsidTr="00192B59">
        <w:trPr>
          <w:trHeight w:val="117"/>
          <w:jc w:val="center"/>
        </w:trPr>
        <w:tc>
          <w:tcPr>
            <w:tcW w:w="4819" w:type="dxa"/>
            <w:tcBorders>
              <w:lef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Vietnam deaths 1960</w:t>
            </w:r>
            <w:r w:rsidR="00797AD2">
              <w:rPr>
                <w:sz w:val="18"/>
                <w:szCs w:val="18"/>
              </w:rPr>
              <w:t>–19</w:t>
            </w:r>
            <w:r w:rsidRPr="007D66F8">
              <w:rPr>
                <w:iCs/>
                <w:color w:val="000000"/>
                <w:sz w:val="18"/>
                <w:szCs w:val="18"/>
              </w:rPr>
              <w:t xml:space="preserve">68 per </w:t>
            </w:r>
            <w:r w:rsidR="005B7757" w:rsidRPr="007D66F8">
              <w:rPr>
                <w:iCs/>
                <w:color w:val="000000"/>
                <w:sz w:val="18"/>
                <w:szCs w:val="18"/>
              </w:rPr>
              <w:t>men a</w:t>
            </w:r>
            <w:r w:rsidRPr="007D66F8">
              <w:rPr>
                <w:iCs/>
                <w:color w:val="000000"/>
                <w:sz w:val="18"/>
                <w:szCs w:val="18"/>
              </w:rPr>
              <w:t>ged 10</w:t>
            </w:r>
            <w:r w:rsidR="00474342">
              <w:rPr>
                <w:sz w:val="18"/>
                <w:szCs w:val="18"/>
              </w:rPr>
              <w:t>–</w:t>
            </w:r>
            <w:r w:rsidRPr="007D66F8">
              <w:rPr>
                <w:iCs/>
                <w:color w:val="000000"/>
                <w:sz w:val="18"/>
                <w:szCs w:val="18"/>
              </w:rPr>
              <w:t>20 in 1960 x 100</w:t>
            </w:r>
          </w:p>
        </w:tc>
        <w:tc>
          <w:tcPr>
            <w:tcW w:w="1404" w:type="dxa"/>
            <w:shd w:val="clear" w:color="auto" w:fill="auto"/>
            <w:noWrap/>
            <w:vAlign w:val="center"/>
          </w:tcPr>
          <w:p w:rsidR="0027359B" w:rsidRPr="007D66F8" w:rsidRDefault="0027359B" w:rsidP="001B3769">
            <w:pPr>
              <w:pStyle w:val="Notes"/>
              <w:jc w:val="center"/>
              <w:rPr>
                <w:sz w:val="18"/>
                <w:szCs w:val="18"/>
              </w:rPr>
            </w:pPr>
          </w:p>
        </w:tc>
        <w:tc>
          <w:tcPr>
            <w:tcW w:w="1296" w:type="dxa"/>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0.21</w:t>
            </w:r>
          </w:p>
        </w:tc>
        <w:tc>
          <w:tcPr>
            <w:tcW w:w="1296" w:type="dxa"/>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0.202</w:t>
            </w:r>
          </w:p>
        </w:tc>
        <w:tc>
          <w:tcPr>
            <w:tcW w:w="1296" w:type="dxa"/>
            <w:tcBorders>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0.149</w:t>
            </w:r>
          </w:p>
        </w:tc>
      </w:tr>
      <w:tr w:rsidR="0027359B" w:rsidRPr="007D66F8" w:rsidTr="00192B59">
        <w:trPr>
          <w:trHeight w:val="117"/>
          <w:jc w:val="center"/>
        </w:trPr>
        <w:tc>
          <w:tcPr>
            <w:tcW w:w="4819" w:type="dxa"/>
            <w:tcBorders>
              <w:lef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Vietnam deaths 1960</w:t>
            </w:r>
            <w:r w:rsidR="00797AD2">
              <w:rPr>
                <w:sz w:val="18"/>
                <w:szCs w:val="18"/>
              </w:rPr>
              <w:t>–19</w:t>
            </w:r>
            <w:r w:rsidRPr="007D66F8">
              <w:rPr>
                <w:iCs/>
                <w:color w:val="000000"/>
                <w:sz w:val="18"/>
                <w:szCs w:val="18"/>
              </w:rPr>
              <w:t xml:space="preserve">69 per </w:t>
            </w:r>
            <w:r w:rsidR="005B7757" w:rsidRPr="007D66F8">
              <w:rPr>
                <w:iCs/>
                <w:color w:val="000000"/>
                <w:sz w:val="18"/>
                <w:szCs w:val="18"/>
              </w:rPr>
              <w:t xml:space="preserve">men </w:t>
            </w:r>
            <w:r w:rsidRPr="007D66F8">
              <w:rPr>
                <w:iCs/>
                <w:color w:val="000000"/>
                <w:sz w:val="18"/>
                <w:szCs w:val="18"/>
              </w:rPr>
              <w:t>aged 9</w:t>
            </w:r>
            <w:r w:rsidR="00474342">
              <w:rPr>
                <w:sz w:val="18"/>
                <w:szCs w:val="18"/>
              </w:rPr>
              <w:t>–</w:t>
            </w:r>
            <w:r w:rsidRPr="007D66F8">
              <w:rPr>
                <w:iCs/>
                <w:color w:val="000000"/>
                <w:sz w:val="18"/>
                <w:szCs w:val="18"/>
              </w:rPr>
              <w:t>20 in 1960 x 100</w:t>
            </w:r>
          </w:p>
        </w:tc>
        <w:tc>
          <w:tcPr>
            <w:tcW w:w="1404" w:type="dxa"/>
            <w:shd w:val="clear" w:color="auto" w:fill="auto"/>
            <w:noWrap/>
            <w:vAlign w:val="center"/>
          </w:tcPr>
          <w:p w:rsidR="0027359B" w:rsidRPr="007D66F8" w:rsidRDefault="0027359B" w:rsidP="001B3769">
            <w:pPr>
              <w:pStyle w:val="Notes"/>
              <w:jc w:val="center"/>
              <w:rPr>
                <w:sz w:val="18"/>
                <w:szCs w:val="18"/>
              </w:rPr>
            </w:pPr>
          </w:p>
        </w:tc>
        <w:tc>
          <w:tcPr>
            <w:tcW w:w="1296" w:type="dxa"/>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0.256</w:t>
            </w:r>
          </w:p>
        </w:tc>
        <w:tc>
          <w:tcPr>
            <w:tcW w:w="1296" w:type="dxa"/>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0.243</w:t>
            </w:r>
          </w:p>
        </w:tc>
        <w:tc>
          <w:tcPr>
            <w:tcW w:w="1296" w:type="dxa"/>
            <w:tcBorders>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0.161</w:t>
            </w:r>
          </w:p>
        </w:tc>
      </w:tr>
      <w:tr w:rsidR="0027359B" w:rsidRPr="007D66F8" w:rsidTr="00192B59">
        <w:trPr>
          <w:trHeight w:val="300"/>
          <w:jc w:val="center"/>
        </w:trPr>
        <w:tc>
          <w:tcPr>
            <w:tcW w:w="4819" w:type="dxa"/>
            <w:tcBorders>
              <w:left w:val="nil"/>
              <w:bottom w:val="single" w:sz="4" w:space="0" w:color="auto"/>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Vietnam deaths 1960</w:t>
            </w:r>
            <w:r w:rsidR="00797AD2">
              <w:rPr>
                <w:sz w:val="18"/>
                <w:szCs w:val="18"/>
              </w:rPr>
              <w:t>–19</w:t>
            </w:r>
            <w:r w:rsidRPr="007D66F8">
              <w:rPr>
                <w:iCs/>
                <w:color w:val="000000"/>
                <w:sz w:val="18"/>
                <w:szCs w:val="18"/>
              </w:rPr>
              <w:t xml:space="preserve">70 per </w:t>
            </w:r>
            <w:r w:rsidR="005B7757" w:rsidRPr="007D66F8">
              <w:rPr>
                <w:iCs/>
                <w:color w:val="000000"/>
                <w:sz w:val="18"/>
                <w:szCs w:val="18"/>
              </w:rPr>
              <w:t xml:space="preserve">men </w:t>
            </w:r>
            <w:r w:rsidRPr="007D66F8">
              <w:rPr>
                <w:iCs/>
                <w:color w:val="000000"/>
                <w:sz w:val="18"/>
                <w:szCs w:val="18"/>
              </w:rPr>
              <w:t>aged 8</w:t>
            </w:r>
            <w:r w:rsidR="00474342">
              <w:rPr>
                <w:sz w:val="18"/>
                <w:szCs w:val="18"/>
              </w:rPr>
              <w:t>–</w:t>
            </w:r>
            <w:r w:rsidRPr="007D66F8">
              <w:rPr>
                <w:iCs/>
                <w:color w:val="000000"/>
                <w:sz w:val="18"/>
                <w:szCs w:val="18"/>
              </w:rPr>
              <w:t>20 in 1960 x 100</w:t>
            </w:r>
          </w:p>
        </w:tc>
        <w:tc>
          <w:tcPr>
            <w:tcW w:w="1404" w:type="dxa"/>
            <w:tcBorders>
              <w:bottom w:val="single" w:sz="4" w:space="0" w:color="auto"/>
            </w:tcBorders>
            <w:shd w:val="clear" w:color="auto" w:fill="auto"/>
            <w:noWrap/>
            <w:vAlign w:val="center"/>
            <w:hideMark/>
          </w:tcPr>
          <w:p w:rsidR="0027359B" w:rsidRPr="007D66F8" w:rsidRDefault="0027359B" w:rsidP="001B3769">
            <w:pPr>
              <w:pStyle w:val="Notes"/>
              <w:jc w:val="center"/>
              <w:rPr>
                <w:sz w:val="18"/>
                <w:szCs w:val="18"/>
              </w:rPr>
            </w:pPr>
          </w:p>
        </w:tc>
        <w:tc>
          <w:tcPr>
            <w:tcW w:w="1296" w:type="dxa"/>
            <w:tcBorders>
              <w:bottom w:val="single" w:sz="4" w:space="0" w:color="auto"/>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0.267</w:t>
            </w:r>
          </w:p>
        </w:tc>
        <w:tc>
          <w:tcPr>
            <w:tcW w:w="1296" w:type="dxa"/>
            <w:tcBorders>
              <w:bottom w:val="single" w:sz="4" w:space="0" w:color="auto"/>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0.257</w:t>
            </w:r>
          </w:p>
        </w:tc>
        <w:tc>
          <w:tcPr>
            <w:tcW w:w="1296" w:type="dxa"/>
            <w:tcBorders>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0.16</w:t>
            </w:r>
          </w:p>
        </w:tc>
      </w:tr>
      <w:tr w:rsidR="0027359B" w:rsidRPr="007D66F8" w:rsidTr="00192B59">
        <w:trPr>
          <w:trHeight w:val="341"/>
          <w:jc w:val="center"/>
        </w:trPr>
        <w:tc>
          <w:tcPr>
            <w:tcW w:w="4819" w:type="dxa"/>
            <w:vMerge w:val="restart"/>
            <w:tcBorders>
              <w:top w:val="single" w:sz="4" w:space="0" w:color="auto"/>
              <w:left w:val="nil"/>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Collins-Margo Riot Intensity</w:t>
            </w:r>
            <w:r w:rsidR="006E3338" w:rsidRPr="007D66F8">
              <w:rPr>
                <w:iCs/>
                <w:color w:val="000000"/>
                <w:sz w:val="18"/>
                <w:szCs w:val="18"/>
              </w:rPr>
              <w:t xml:space="preserve"> Index</w:t>
            </w:r>
          </w:p>
        </w:tc>
        <w:tc>
          <w:tcPr>
            <w:tcW w:w="1404" w:type="dxa"/>
            <w:tcBorders>
              <w:top w:val="single" w:sz="4" w:space="0" w:color="auto"/>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1964</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0.90</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29</w:t>
            </w:r>
            <w:r w:rsidR="00CE4E04">
              <w:rPr>
                <w:sz w:val="18"/>
                <w:szCs w:val="18"/>
              </w:rPr>
              <w:t>.0</w:t>
            </w:r>
          </w:p>
        </w:tc>
      </w:tr>
      <w:tr w:rsidR="0027359B" w:rsidRPr="007D66F8" w:rsidTr="00192B59">
        <w:trPr>
          <w:trHeight w:val="300"/>
          <w:jc w:val="center"/>
        </w:trPr>
        <w:tc>
          <w:tcPr>
            <w:tcW w:w="4819" w:type="dxa"/>
            <w:vMerge/>
            <w:tcBorders>
              <w:left w:val="nil"/>
              <w:right w:val="nil"/>
            </w:tcBorders>
            <w:vAlign w:val="center"/>
            <w:hideMark/>
          </w:tcPr>
          <w:p w:rsidR="0027359B" w:rsidRPr="007D66F8" w:rsidRDefault="0027359B" w:rsidP="001B3769">
            <w:pPr>
              <w:ind w:left="378" w:hanging="378"/>
              <w:rPr>
                <w:iCs/>
                <w:color w:val="000000"/>
                <w:sz w:val="18"/>
                <w:szCs w:val="18"/>
              </w:rPr>
            </w:pP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1965</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1.63</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87.5</w:t>
            </w:r>
          </w:p>
        </w:tc>
      </w:tr>
      <w:tr w:rsidR="0027359B" w:rsidRPr="007D66F8" w:rsidTr="00192B59">
        <w:trPr>
          <w:trHeight w:val="300"/>
          <w:jc w:val="center"/>
        </w:trPr>
        <w:tc>
          <w:tcPr>
            <w:tcW w:w="4819" w:type="dxa"/>
            <w:vMerge/>
            <w:tcBorders>
              <w:left w:val="nil"/>
              <w:right w:val="nil"/>
            </w:tcBorders>
            <w:vAlign w:val="center"/>
            <w:hideMark/>
          </w:tcPr>
          <w:p w:rsidR="0027359B" w:rsidRPr="007D66F8" w:rsidRDefault="0027359B" w:rsidP="001B3769">
            <w:pPr>
              <w:ind w:left="378" w:hanging="378"/>
              <w:rPr>
                <w:iCs/>
                <w:color w:val="000000"/>
                <w:sz w:val="18"/>
                <w:szCs w:val="18"/>
              </w:rPr>
            </w:pP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1966</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1.09</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25.7</w:t>
            </w:r>
          </w:p>
        </w:tc>
      </w:tr>
      <w:tr w:rsidR="0027359B" w:rsidRPr="007D66F8" w:rsidTr="00192B59">
        <w:trPr>
          <w:trHeight w:val="300"/>
          <w:jc w:val="center"/>
        </w:trPr>
        <w:tc>
          <w:tcPr>
            <w:tcW w:w="4819" w:type="dxa"/>
            <w:vMerge/>
            <w:tcBorders>
              <w:left w:val="nil"/>
              <w:right w:val="nil"/>
            </w:tcBorders>
            <w:vAlign w:val="center"/>
            <w:hideMark/>
          </w:tcPr>
          <w:p w:rsidR="0027359B" w:rsidRPr="007D66F8" w:rsidRDefault="0027359B" w:rsidP="001B3769">
            <w:pPr>
              <w:ind w:left="378" w:hanging="378"/>
              <w:rPr>
                <w:iCs/>
                <w:color w:val="000000"/>
                <w:sz w:val="18"/>
                <w:szCs w:val="18"/>
              </w:rPr>
            </w:pP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1967</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4.48</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93.1</w:t>
            </w:r>
          </w:p>
        </w:tc>
      </w:tr>
      <w:tr w:rsidR="0027359B" w:rsidRPr="007D66F8" w:rsidTr="00192B59">
        <w:trPr>
          <w:trHeight w:val="300"/>
          <w:jc w:val="center"/>
        </w:trPr>
        <w:tc>
          <w:tcPr>
            <w:tcW w:w="4819" w:type="dxa"/>
            <w:vMerge/>
            <w:tcBorders>
              <w:left w:val="nil"/>
              <w:bottom w:val="single" w:sz="4" w:space="0" w:color="000000"/>
              <w:right w:val="nil"/>
            </w:tcBorders>
            <w:vAlign w:val="center"/>
            <w:hideMark/>
          </w:tcPr>
          <w:p w:rsidR="0027359B" w:rsidRPr="007D66F8" w:rsidRDefault="0027359B" w:rsidP="001B3769">
            <w:pPr>
              <w:ind w:left="378" w:hanging="378"/>
              <w:rPr>
                <w:iCs/>
                <w:color w:val="000000"/>
                <w:sz w:val="18"/>
                <w:szCs w:val="18"/>
              </w:rPr>
            </w:pPr>
          </w:p>
        </w:tc>
        <w:tc>
          <w:tcPr>
            <w:tcW w:w="1404" w:type="dxa"/>
            <w:tcBorders>
              <w:top w:val="nil"/>
              <w:left w:val="nil"/>
              <w:bottom w:val="single" w:sz="4" w:space="0" w:color="auto"/>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1968</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5.62</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64.8</w:t>
            </w:r>
          </w:p>
        </w:tc>
      </w:tr>
      <w:tr w:rsidR="0027359B" w:rsidRPr="007D66F8" w:rsidTr="00192B59">
        <w:trPr>
          <w:trHeight w:val="300"/>
          <w:jc w:val="center"/>
        </w:trPr>
        <w:tc>
          <w:tcPr>
            <w:tcW w:w="4819" w:type="dxa"/>
            <w:tcBorders>
              <w:top w:val="nil"/>
              <w:left w:val="nil"/>
              <w:bottom w:val="nil"/>
              <w:right w:val="nil"/>
            </w:tcBorders>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 xml:space="preserve">Democratic vote share for </w:t>
            </w:r>
            <w:r w:rsidR="005B7757" w:rsidRPr="007D66F8">
              <w:rPr>
                <w:iCs/>
                <w:color w:val="000000"/>
                <w:sz w:val="18"/>
                <w:szCs w:val="18"/>
              </w:rPr>
              <w:t>president</w:t>
            </w: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1964</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0.0534</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0.0765</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0.151</w:t>
            </w:r>
          </w:p>
        </w:tc>
      </w:tr>
      <w:tr w:rsidR="0027359B" w:rsidRPr="007D66F8" w:rsidTr="00192B59">
        <w:trPr>
          <w:trHeight w:val="288"/>
          <w:jc w:val="center"/>
        </w:trPr>
        <w:tc>
          <w:tcPr>
            <w:tcW w:w="4819" w:type="dxa"/>
            <w:tcBorders>
              <w:top w:val="nil"/>
              <w:left w:val="nil"/>
              <w:bottom w:val="nil"/>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Democrats win electoral votes</w:t>
            </w: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1964 (0/1)</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0.731</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1</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0.443</w:t>
            </w:r>
          </w:p>
        </w:tc>
      </w:tr>
      <w:tr w:rsidR="0027359B" w:rsidRPr="007D66F8" w:rsidTr="00192B59">
        <w:trPr>
          <w:trHeight w:val="261"/>
          <w:jc w:val="center"/>
        </w:trPr>
        <w:tc>
          <w:tcPr>
            <w:tcW w:w="4819" w:type="dxa"/>
            <w:tcBorders>
              <w:top w:val="nil"/>
              <w:left w:val="nil"/>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Presidential vote margin within 10 pct. points</w:t>
            </w:r>
          </w:p>
        </w:tc>
        <w:tc>
          <w:tcPr>
            <w:tcW w:w="1404" w:type="dxa"/>
            <w:tcBorders>
              <w:top w:val="nil"/>
              <w:left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1964 (0/1)</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0.233</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0.423</w:t>
            </w:r>
          </w:p>
        </w:tc>
      </w:tr>
      <w:tr w:rsidR="0027359B" w:rsidRPr="007D66F8" w:rsidTr="00192B59">
        <w:trPr>
          <w:trHeight w:val="252"/>
          <w:jc w:val="center"/>
        </w:trPr>
        <w:tc>
          <w:tcPr>
            <w:tcW w:w="4819" w:type="dxa"/>
            <w:tcBorders>
              <w:top w:val="nil"/>
              <w:left w:val="nil"/>
              <w:bottom w:val="single" w:sz="4" w:space="0" w:color="auto"/>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Dem win * close election</w:t>
            </w:r>
          </w:p>
        </w:tc>
        <w:tc>
          <w:tcPr>
            <w:tcW w:w="1404" w:type="dxa"/>
            <w:tcBorders>
              <w:top w:val="nil"/>
              <w:left w:val="nil"/>
              <w:bottom w:val="single" w:sz="4" w:space="0" w:color="auto"/>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1964 (0/1)</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0.138</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0.344</w:t>
            </w:r>
          </w:p>
        </w:tc>
      </w:tr>
      <w:tr w:rsidR="0027359B" w:rsidRPr="007D66F8" w:rsidTr="00192B59">
        <w:trPr>
          <w:trHeight w:val="300"/>
          <w:jc w:val="center"/>
        </w:trPr>
        <w:tc>
          <w:tcPr>
            <w:tcW w:w="4819" w:type="dxa"/>
            <w:tcBorders>
              <w:top w:val="nil"/>
              <w:left w:val="nil"/>
              <w:bottom w:val="nil"/>
              <w:right w:val="nil"/>
            </w:tcBorders>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 xml:space="preserve">Democratic vote share for </w:t>
            </w:r>
            <w:r w:rsidR="005B7757" w:rsidRPr="007D66F8">
              <w:rPr>
                <w:iCs/>
                <w:color w:val="000000"/>
                <w:sz w:val="18"/>
                <w:szCs w:val="18"/>
              </w:rPr>
              <w:t>president</w:t>
            </w: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1960</w:t>
            </w:r>
          </w:p>
        </w:tc>
        <w:tc>
          <w:tcPr>
            <w:tcW w:w="1296" w:type="dxa"/>
            <w:tcBorders>
              <w:top w:val="nil"/>
              <w:left w:val="nil"/>
              <w:bottom w:val="nil"/>
              <w:right w:val="nil"/>
            </w:tcBorders>
            <w:shd w:val="clear" w:color="auto" w:fill="auto"/>
            <w:noWrap/>
            <w:vAlign w:val="center"/>
          </w:tcPr>
          <w:p w:rsidR="0027359B" w:rsidRPr="007D66F8" w:rsidRDefault="00797AD2" w:rsidP="00CE4E04">
            <w:pPr>
              <w:pStyle w:val="Notes"/>
              <w:tabs>
                <w:tab w:val="decimal" w:pos="270"/>
              </w:tabs>
              <w:jc w:val="left"/>
              <w:rPr>
                <w:sz w:val="18"/>
                <w:szCs w:val="18"/>
              </w:rPr>
            </w:pPr>
            <w:r>
              <w:rPr>
                <w:sz w:val="18"/>
                <w:szCs w:val="18"/>
              </w:rPr>
              <w:t>–</w:t>
            </w:r>
            <w:r w:rsidR="0027359B" w:rsidRPr="007D66F8">
              <w:rPr>
                <w:sz w:val="18"/>
                <w:szCs w:val="18"/>
              </w:rPr>
              <w:t>0.0208</w:t>
            </w:r>
          </w:p>
        </w:tc>
        <w:tc>
          <w:tcPr>
            <w:tcW w:w="1296" w:type="dxa"/>
            <w:tcBorders>
              <w:top w:val="nil"/>
              <w:left w:val="nil"/>
              <w:bottom w:val="nil"/>
              <w:right w:val="nil"/>
            </w:tcBorders>
            <w:shd w:val="clear" w:color="auto" w:fill="auto"/>
            <w:noWrap/>
            <w:vAlign w:val="center"/>
          </w:tcPr>
          <w:p w:rsidR="0027359B" w:rsidRPr="007D66F8" w:rsidRDefault="00797AD2" w:rsidP="00CE4E04">
            <w:pPr>
              <w:pStyle w:val="Notes"/>
              <w:tabs>
                <w:tab w:val="decimal" w:pos="270"/>
              </w:tabs>
              <w:jc w:val="left"/>
              <w:rPr>
                <w:sz w:val="18"/>
                <w:szCs w:val="18"/>
              </w:rPr>
            </w:pPr>
            <w:r>
              <w:rPr>
                <w:sz w:val="18"/>
                <w:szCs w:val="18"/>
              </w:rPr>
              <w:t>–</w:t>
            </w:r>
            <w:r w:rsidR="0027359B" w:rsidRPr="007D66F8">
              <w:rPr>
                <w:sz w:val="18"/>
                <w:szCs w:val="18"/>
              </w:rPr>
              <w:t>0.0388</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0.134</w:t>
            </w:r>
          </w:p>
        </w:tc>
      </w:tr>
      <w:tr w:rsidR="0027359B" w:rsidRPr="007D66F8" w:rsidTr="00192B59">
        <w:trPr>
          <w:trHeight w:val="288"/>
          <w:jc w:val="center"/>
        </w:trPr>
        <w:tc>
          <w:tcPr>
            <w:tcW w:w="4819" w:type="dxa"/>
            <w:tcBorders>
              <w:top w:val="nil"/>
              <w:left w:val="nil"/>
              <w:bottom w:val="nil"/>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Democrats win electoral votes</w:t>
            </w:r>
          </w:p>
        </w:tc>
        <w:tc>
          <w:tcPr>
            <w:tcW w:w="1404" w:type="dxa"/>
            <w:tcBorders>
              <w:top w:val="nil"/>
              <w:left w:val="nil"/>
              <w:bottom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1960 (0/1)</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0.38</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0.486</w:t>
            </w:r>
          </w:p>
        </w:tc>
      </w:tr>
      <w:tr w:rsidR="0027359B" w:rsidRPr="007D66F8" w:rsidTr="00192B59">
        <w:trPr>
          <w:trHeight w:val="261"/>
          <w:jc w:val="center"/>
        </w:trPr>
        <w:tc>
          <w:tcPr>
            <w:tcW w:w="4819" w:type="dxa"/>
            <w:tcBorders>
              <w:top w:val="nil"/>
              <w:left w:val="nil"/>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Presidential vote margin within 10 pct. points</w:t>
            </w:r>
          </w:p>
        </w:tc>
        <w:tc>
          <w:tcPr>
            <w:tcW w:w="1404" w:type="dxa"/>
            <w:tcBorders>
              <w:top w:val="nil"/>
              <w:left w:val="nil"/>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1960 (0/1)</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0.275</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0.446</w:t>
            </w:r>
          </w:p>
        </w:tc>
      </w:tr>
      <w:tr w:rsidR="0027359B" w:rsidRPr="007D66F8" w:rsidTr="00192B59">
        <w:trPr>
          <w:trHeight w:val="252"/>
          <w:jc w:val="center"/>
        </w:trPr>
        <w:tc>
          <w:tcPr>
            <w:tcW w:w="4819" w:type="dxa"/>
            <w:tcBorders>
              <w:top w:val="nil"/>
              <w:left w:val="nil"/>
              <w:bottom w:val="single" w:sz="4" w:space="0" w:color="auto"/>
              <w:right w:val="nil"/>
            </w:tcBorders>
            <w:shd w:val="clear" w:color="auto" w:fill="auto"/>
            <w:vAlign w:val="center"/>
            <w:hideMark/>
          </w:tcPr>
          <w:p w:rsidR="0027359B" w:rsidRPr="007D66F8" w:rsidRDefault="0027359B" w:rsidP="001B3769">
            <w:pPr>
              <w:ind w:left="378" w:hanging="378"/>
              <w:rPr>
                <w:iCs/>
                <w:color w:val="000000"/>
                <w:sz w:val="18"/>
                <w:szCs w:val="18"/>
              </w:rPr>
            </w:pPr>
            <w:r w:rsidRPr="007D66F8">
              <w:rPr>
                <w:iCs/>
                <w:color w:val="000000"/>
                <w:sz w:val="18"/>
                <w:szCs w:val="18"/>
              </w:rPr>
              <w:t>Dem win * close election</w:t>
            </w:r>
          </w:p>
        </w:tc>
        <w:tc>
          <w:tcPr>
            <w:tcW w:w="1404" w:type="dxa"/>
            <w:tcBorders>
              <w:top w:val="nil"/>
              <w:left w:val="nil"/>
              <w:bottom w:val="single" w:sz="4" w:space="0" w:color="auto"/>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1960 (0/1)</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0.118</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0.322</w:t>
            </w:r>
          </w:p>
        </w:tc>
      </w:tr>
      <w:tr w:rsidR="0027359B" w:rsidRPr="007D66F8" w:rsidTr="00192B59">
        <w:trPr>
          <w:trHeight w:val="252"/>
          <w:jc w:val="center"/>
        </w:trPr>
        <w:tc>
          <w:tcPr>
            <w:tcW w:w="4819" w:type="dxa"/>
            <w:tcBorders>
              <w:top w:val="single" w:sz="4" w:space="0" w:color="auto"/>
              <w:left w:val="nil"/>
            </w:tcBorders>
            <w:shd w:val="clear" w:color="auto" w:fill="auto"/>
            <w:vAlign w:val="center"/>
          </w:tcPr>
          <w:p w:rsidR="0027359B" w:rsidRPr="007D66F8" w:rsidRDefault="0027359B" w:rsidP="001B3769">
            <w:pPr>
              <w:rPr>
                <w:iCs/>
                <w:color w:val="000000"/>
                <w:sz w:val="18"/>
                <w:szCs w:val="18"/>
              </w:rPr>
            </w:pPr>
            <w:r w:rsidRPr="007D66F8">
              <w:rPr>
                <w:iCs/>
                <w:color w:val="000000"/>
                <w:sz w:val="18"/>
                <w:szCs w:val="18"/>
              </w:rPr>
              <w:t>Croppers as share of farm operators</w:t>
            </w:r>
          </w:p>
        </w:tc>
        <w:tc>
          <w:tcPr>
            <w:tcW w:w="1404" w:type="dxa"/>
            <w:tcBorders>
              <w:top w:val="single" w:sz="4" w:space="0" w:color="auto"/>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1930</w:t>
            </w:r>
          </w:p>
        </w:tc>
        <w:tc>
          <w:tcPr>
            <w:tcW w:w="1296" w:type="dxa"/>
            <w:tcBorders>
              <w:top w:val="single" w:sz="4" w:space="0" w:color="auto"/>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0.0837</w:t>
            </w:r>
          </w:p>
        </w:tc>
        <w:tc>
          <w:tcPr>
            <w:tcW w:w="1296" w:type="dxa"/>
            <w:tcBorders>
              <w:top w:val="single" w:sz="4" w:space="0" w:color="auto"/>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0.14</w:t>
            </w:r>
          </w:p>
        </w:tc>
      </w:tr>
      <w:tr w:rsidR="0027359B" w:rsidRPr="007D66F8" w:rsidTr="00192B59">
        <w:trPr>
          <w:trHeight w:val="252"/>
          <w:jc w:val="center"/>
        </w:trPr>
        <w:tc>
          <w:tcPr>
            <w:tcW w:w="4819" w:type="dxa"/>
            <w:tcBorders>
              <w:left w:val="nil"/>
            </w:tcBorders>
            <w:shd w:val="clear" w:color="auto" w:fill="auto"/>
            <w:vAlign w:val="center"/>
          </w:tcPr>
          <w:p w:rsidR="0027359B" w:rsidRPr="007D66F8" w:rsidRDefault="0027359B" w:rsidP="001B3769">
            <w:pPr>
              <w:rPr>
                <w:iCs/>
                <w:color w:val="000000"/>
                <w:sz w:val="18"/>
                <w:szCs w:val="18"/>
              </w:rPr>
            </w:pPr>
            <w:r w:rsidRPr="007D66F8">
              <w:rPr>
                <w:iCs/>
                <w:color w:val="000000"/>
                <w:sz w:val="18"/>
                <w:szCs w:val="18"/>
              </w:rPr>
              <w:t>Percent Change in cropper share of operators</w:t>
            </w:r>
          </w:p>
        </w:tc>
        <w:tc>
          <w:tcPr>
            <w:tcW w:w="1404" w:type="dxa"/>
            <w:shd w:val="clear" w:color="auto" w:fill="auto"/>
            <w:noWrap/>
            <w:vAlign w:val="center"/>
          </w:tcPr>
          <w:p w:rsidR="0027359B" w:rsidRPr="007D66F8" w:rsidRDefault="0027359B" w:rsidP="001B3769">
            <w:pPr>
              <w:pStyle w:val="Notes"/>
              <w:jc w:val="center"/>
              <w:rPr>
                <w:sz w:val="18"/>
                <w:szCs w:val="18"/>
              </w:rPr>
            </w:pPr>
            <w:r w:rsidRPr="007D66F8">
              <w:rPr>
                <w:sz w:val="18"/>
                <w:szCs w:val="18"/>
              </w:rPr>
              <w:t>1930</w:t>
            </w:r>
            <w:r w:rsidR="00797AD2">
              <w:rPr>
                <w:sz w:val="18"/>
                <w:szCs w:val="18"/>
              </w:rPr>
              <w:t>–</w:t>
            </w:r>
            <w:r w:rsidRPr="007D66F8">
              <w:rPr>
                <w:sz w:val="18"/>
                <w:szCs w:val="18"/>
              </w:rPr>
              <w:t xml:space="preserve">1959 </w:t>
            </w:r>
          </w:p>
        </w:tc>
        <w:tc>
          <w:tcPr>
            <w:tcW w:w="1296" w:type="dxa"/>
            <w:shd w:val="clear" w:color="auto" w:fill="auto"/>
            <w:noWrap/>
            <w:vAlign w:val="center"/>
          </w:tcPr>
          <w:p w:rsidR="0027359B" w:rsidRPr="007D66F8" w:rsidRDefault="00797AD2" w:rsidP="00CE4E04">
            <w:pPr>
              <w:pStyle w:val="Notes"/>
              <w:tabs>
                <w:tab w:val="decimal" w:pos="270"/>
              </w:tabs>
              <w:jc w:val="left"/>
              <w:rPr>
                <w:sz w:val="18"/>
                <w:szCs w:val="18"/>
              </w:rPr>
            </w:pPr>
            <w:r>
              <w:rPr>
                <w:sz w:val="18"/>
                <w:szCs w:val="18"/>
              </w:rPr>
              <w:t>–</w:t>
            </w:r>
            <w:r w:rsidR="0027359B" w:rsidRPr="007D66F8">
              <w:rPr>
                <w:sz w:val="18"/>
                <w:szCs w:val="18"/>
              </w:rPr>
              <w:t>33.64</w:t>
            </w:r>
          </w:p>
        </w:tc>
        <w:tc>
          <w:tcPr>
            <w:tcW w:w="1296" w:type="dxa"/>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42.56</w:t>
            </w:r>
          </w:p>
        </w:tc>
      </w:tr>
      <w:tr w:rsidR="0027359B" w:rsidRPr="007D66F8" w:rsidTr="00192B59">
        <w:trPr>
          <w:trHeight w:val="252"/>
          <w:jc w:val="center"/>
        </w:trPr>
        <w:tc>
          <w:tcPr>
            <w:tcW w:w="4819" w:type="dxa"/>
            <w:tcBorders>
              <w:left w:val="nil"/>
              <w:bottom w:val="single" w:sz="4" w:space="0" w:color="auto"/>
            </w:tcBorders>
            <w:shd w:val="clear" w:color="auto" w:fill="auto"/>
            <w:vAlign w:val="center"/>
          </w:tcPr>
          <w:p w:rsidR="0027359B" w:rsidRPr="007D66F8" w:rsidRDefault="0027359B" w:rsidP="001B3769">
            <w:pPr>
              <w:rPr>
                <w:iCs/>
                <w:color w:val="000000"/>
                <w:sz w:val="18"/>
                <w:szCs w:val="18"/>
              </w:rPr>
            </w:pPr>
            <w:r w:rsidRPr="007D66F8">
              <w:rPr>
                <w:iCs/>
                <w:color w:val="000000"/>
                <w:sz w:val="18"/>
                <w:szCs w:val="18"/>
              </w:rPr>
              <w:t>Census plantation county designation</w:t>
            </w:r>
          </w:p>
        </w:tc>
        <w:tc>
          <w:tcPr>
            <w:tcW w:w="1404" w:type="dxa"/>
            <w:tcBorders>
              <w:bottom w:val="single" w:sz="4" w:space="0" w:color="auto"/>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1910 (0/1)</w:t>
            </w:r>
          </w:p>
        </w:tc>
        <w:tc>
          <w:tcPr>
            <w:tcW w:w="1296" w:type="dxa"/>
            <w:tcBorders>
              <w:bottom w:val="single" w:sz="4" w:space="0" w:color="auto"/>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0.109</w:t>
            </w:r>
          </w:p>
        </w:tc>
        <w:tc>
          <w:tcPr>
            <w:tcW w:w="1296" w:type="dxa"/>
            <w:tcBorders>
              <w:bottom w:val="single" w:sz="4" w:space="0" w:color="auto"/>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0.312</w:t>
            </w:r>
          </w:p>
        </w:tc>
      </w:tr>
      <w:tr w:rsidR="0027359B" w:rsidRPr="007D66F8" w:rsidTr="00192B59">
        <w:trPr>
          <w:trHeight w:val="252"/>
          <w:jc w:val="center"/>
        </w:trPr>
        <w:tc>
          <w:tcPr>
            <w:tcW w:w="4819" w:type="dxa"/>
            <w:tcBorders>
              <w:top w:val="single" w:sz="4" w:space="0" w:color="auto"/>
              <w:left w:val="nil"/>
              <w:bottom w:val="nil"/>
              <w:righ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Northeast</w:t>
            </w:r>
          </w:p>
        </w:tc>
        <w:tc>
          <w:tcPr>
            <w:tcW w:w="1404" w:type="dxa"/>
            <w:tcBorders>
              <w:top w:val="single" w:sz="4" w:space="0" w:color="auto"/>
              <w:left w:val="nil"/>
              <w:bottom w:val="nil"/>
              <w:right w:val="nil"/>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(0/1)</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0.0689</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single" w:sz="4" w:space="0" w:color="auto"/>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0.253</w:t>
            </w:r>
          </w:p>
        </w:tc>
      </w:tr>
      <w:tr w:rsidR="0027359B" w:rsidRPr="007D66F8" w:rsidTr="00192B59">
        <w:trPr>
          <w:trHeight w:val="252"/>
          <w:jc w:val="center"/>
        </w:trPr>
        <w:tc>
          <w:tcPr>
            <w:tcW w:w="4819" w:type="dxa"/>
            <w:tcBorders>
              <w:top w:val="nil"/>
              <w:left w:val="nil"/>
              <w:bottom w:val="nil"/>
              <w:righ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Midwest</w:t>
            </w:r>
          </w:p>
        </w:tc>
        <w:tc>
          <w:tcPr>
            <w:tcW w:w="1404" w:type="dxa"/>
            <w:tcBorders>
              <w:top w:val="nil"/>
              <w:left w:val="nil"/>
              <w:bottom w:val="nil"/>
              <w:right w:val="nil"/>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(0/1)</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0.341</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0.474</w:t>
            </w:r>
          </w:p>
        </w:tc>
      </w:tr>
      <w:tr w:rsidR="0027359B" w:rsidRPr="007D66F8" w:rsidTr="00192B59">
        <w:trPr>
          <w:trHeight w:val="252"/>
          <w:jc w:val="center"/>
        </w:trPr>
        <w:tc>
          <w:tcPr>
            <w:tcW w:w="4819" w:type="dxa"/>
            <w:tcBorders>
              <w:top w:val="nil"/>
              <w:left w:val="nil"/>
              <w:bottom w:val="nil"/>
              <w:righ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South</w:t>
            </w:r>
          </w:p>
        </w:tc>
        <w:tc>
          <w:tcPr>
            <w:tcW w:w="1404" w:type="dxa"/>
            <w:tcBorders>
              <w:top w:val="nil"/>
              <w:left w:val="nil"/>
              <w:bottom w:val="nil"/>
              <w:right w:val="nil"/>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(0/1)</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0.457</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nil"/>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0.498</w:t>
            </w:r>
          </w:p>
        </w:tc>
      </w:tr>
      <w:tr w:rsidR="0027359B" w:rsidRPr="007D66F8" w:rsidTr="00192B59">
        <w:trPr>
          <w:trHeight w:val="252"/>
          <w:jc w:val="center"/>
        </w:trPr>
        <w:tc>
          <w:tcPr>
            <w:tcW w:w="4819" w:type="dxa"/>
            <w:tcBorders>
              <w:top w:val="nil"/>
              <w:left w:val="nil"/>
              <w:bottom w:val="single" w:sz="4" w:space="0" w:color="auto"/>
              <w:right w:val="nil"/>
            </w:tcBorders>
            <w:shd w:val="clear" w:color="auto" w:fill="auto"/>
            <w:vAlign w:val="center"/>
          </w:tcPr>
          <w:p w:rsidR="0027359B" w:rsidRPr="007D66F8" w:rsidRDefault="0027359B" w:rsidP="001B3769">
            <w:pPr>
              <w:ind w:left="378" w:hanging="378"/>
              <w:rPr>
                <w:iCs/>
                <w:color w:val="000000"/>
                <w:sz w:val="18"/>
                <w:szCs w:val="18"/>
              </w:rPr>
            </w:pPr>
            <w:r w:rsidRPr="007D66F8">
              <w:rPr>
                <w:iCs/>
                <w:color w:val="000000"/>
                <w:sz w:val="18"/>
                <w:szCs w:val="18"/>
              </w:rPr>
              <w:t>West</w:t>
            </w:r>
          </w:p>
        </w:tc>
        <w:tc>
          <w:tcPr>
            <w:tcW w:w="1404" w:type="dxa"/>
            <w:tcBorders>
              <w:top w:val="nil"/>
              <w:left w:val="nil"/>
              <w:bottom w:val="single" w:sz="4" w:space="0" w:color="auto"/>
              <w:right w:val="nil"/>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(0/1)</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0.133</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w:t>
            </w:r>
          </w:p>
        </w:tc>
        <w:tc>
          <w:tcPr>
            <w:tcW w:w="1296" w:type="dxa"/>
            <w:tcBorders>
              <w:top w:val="nil"/>
              <w:left w:val="nil"/>
              <w:bottom w:val="single" w:sz="4" w:space="0" w:color="auto"/>
              <w:right w:val="nil"/>
            </w:tcBorders>
            <w:shd w:val="clear" w:color="auto" w:fill="auto"/>
            <w:noWrap/>
            <w:vAlign w:val="center"/>
          </w:tcPr>
          <w:p w:rsidR="0027359B" w:rsidRPr="007D66F8" w:rsidRDefault="0027359B" w:rsidP="00CE4E04">
            <w:pPr>
              <w:pStyle w:val="Notes"/>
              <w:tabs>
                <w:tab w:val="decimal" w:pos="270"/>
              </w:tabs>
              <w:jc w:val="left"/>
              <w:rPr>
                <w:sz w:val="18"/>
                <w:szCs w:val="18"/>
              </w:rPr>
            </w:pPr>
            <w:r w:rsidRPr="007D66F8">
              <w:rPr>
                <w:sz w:val="18"/>
                <w:szCs w:val="18"/>
              </w:rPr>
              <w:t>0.34</w:t>
            </w:r>
          </w:p>
        </w:tc>
      </w:tr>
    </w:tbl>
    <w:p w:rsidR="009D65DE" w:rsidRDefault="009D65DE" w:rsidP="0027359B">
      <w:pPr>
        <w:pStyle w:val="Notes"/>
        <w:rPr>
          <w:sz w:val="18"/>
          <w:szCs w:val="18"/>
        </w:rPr>
      </w:pPr>
    </w:p>
    <w:p w:rsidR="009D65DE" w:rsidRDefault="009D65DE">
      <w:pPr>
        <w:rPr>
          <w:sz w:val="18"/>
          <w:szCs w:val="18"/>
        </w:rPr>
      </w:pPr>
      <w:r>
        <w:rPr>
          <w:sz w:val="18"/>
          <w:szCs w:val="18"/>
        </w:rPr>
        <w:br w:type="page"/>
      </w:r>
    </w:p>
    <w:p w:rsidR="00D018D8" w:rsidRPr="00151FA3" w:rsidRDefault="00D018D8" w:rsidP="00D018D8">
      <w:pPr>
        <w:jc w:val="center"/>
        <w:rPr>
          <w:smallCaps/>
          <w:sz w:val="18"/>
          <w:szCs w:val="18"/>
        </w:rPr>
      </w:pPr>
      <w:r w:rsidRPr="00151FA3">
        <w:rPr>
          <w:smallCaps/>
          <w:sz w:val="18"/>
          <w:szCs w:val="18"/>
        </w:rPr>
        <w:lastRenderedPageBreak/>
        <w:t>Appendix Table 1</w:t>
      </w:r>
      <w:r>
        <w:rPr>
          <w:smallCaps/>
          <w:sz w:val="18"/>
          <w:szCs w:val="18"/>
        </w:rPr>
        <w:t xml:space="preserve"> — </w:t>
      </w:r>
      <w:r w:rsidRPr="00D018D8">
        <w:rPr>
          <w:sz w:val="18"/>
          <w:szCs w:val="18"/>
        </w:rPr>
        <w:t>continued</w:t>
      </w:r>
    </w:p>
    <w:tbl>
      <w:tblPr>
        <w:tblW w:w="9612" w:type="dxa"/>
        <w:jc w:val="center"/>
        <w:tblLook w:val="04A0" w:firstRow="1" w:lastRow="0" w:firstColumn="1" w:lastColumn="0" w:noHBand="0" w:noVBand="1"/>
      </w:tblPr>
      <w:tblGrid>
        <w:gridCol w:w="4320"/>
        <w:gridCol w:w="1404"/>
        <w:gridCol w:w="1296"/>
        <w:gridCol w:w="1296"/>
        <w:gridCol w:w="1296"/>
      </w:tblGrid>
      <w:tr w:rsidR="0027359B" w:rsidRPr="007D66F8" w:rsidTr="007215D4">
        <w:trPr>
          <w:trHeight w:val="300"/>
          <w:jc w:val="center"/>
        </w:trPr>
        <w:tc>
          <w:tcPr>
            <w:tcW w:w="4320" w:type="dxa"/>
            <w:tcBorders>
              <w:top w:val="double" w:sz="4" w:space="0" w:color="auto"/>
              <w:left w:val="nil"/>
              <w:bottom w:val="single" w:sz="4" w:space="0" w:color="auto"/>
              <w:right w:val="nil"/>
            </w:tcBorders>
            <w:shd w:val="clear" w:color="auto" w:fill="auto"/>
            <w:vAlign w:val="center"/>
            <w:hideMark/>
          </w:tcPr>
          <w:p w:rsidR="0027359B" w:rsidRPr="007D66F8" w:rsidRDefault="0027359B" w:rsidP="001B3769">
            <w:pPr>
              <w:ind w:left="378" w:hanging="378"/>
              <w:rPr>
                <w:color w:val="000000"/>
                <w:sz w:val="18"/>
                <w:szCs w:val="18"/>
              </w:rPr>
            </w:pPr>
          </w:p>
        </w:tc>
        <w:tc>
          <w:tcPr>
            <w:tcW w:w="1404" w:type="dxa"/>
            <w:tcBorders>
              <w:top w:val="double" w:sz="4" w:space="0" w:color="auto"/>
              <w:left w:val="nil"/>
              <w:bottom w:val="single" w:sz="4" w:space="0" w:color="auto"/>
              <w:right w:val="nil"/>
            </w:tcBorders>
            <w:shd w:val="clear" w:color="auto" w:fill="auto"/>
            <w:noWrap/>
            <w:vAlign w:val="center"/>
            <w:hideMark/>
          </w:tcPr>
          <w:p w:rsidR="0027359B" w:rsidRPr="007D66F8" w:rsidRDefault="0027359B" w:rsidP="001B3769">
            <w:pPr>
              <w:pStyle w:val="Notes"/>
              <w:jc w:val="center"/>
              <w:rPr>
                <w:sz w:val="18"/>
                <w:szCs w:val="18"/>
              </w:rPr>
            </w:pPr>
          </w:p>
        </w:tc>
        <w:tc>
          <w:tcPr>
            <w:tcW w:w="1296" w:type="dxa"/>
            <w:tcBorders>
              <w:top w:val="double" w:sz="4" w:space="0" w:color="auto"/>
              <w:left w:val="nil"/>
              <w:bottom w:val="single" w:sz="4" w:space="0" w:color="auto"/>
              <w:right w:val="nil"/>
            </w:tcBorders>
            <w:shd w:val="clear" w:color="auto" w:fill="auto"/>
            <w:noWrap/>
            <w:vAlign w:val="bottom"/>
            <w:hideMark/>
          </w:tcPr>
          <w:p w:rsidR="0027359B" w:rsidRPr="007D66F8" w:rsidRDefault="002108D7" w:rsidP="00AB3E29">
            <w:pPr>
              <w:pStyle w:val="Notes"/>
              <w:rPr>
                <w:sz w:val="18"/>
                <w:szCs w:val="18"/>
              </w:rPr>
            </w:pPr>
            <w:r>
              <w:rPr>
                <w:sz w:val="18"/>
                <w:szCs w:val="18"/>
              </w:rPr>
              <w:t xml:space="preserve">  </w:t>
            </w:r>
            <w:r w:rsidR="0027359B" w:rsidRPr="007D66F8">
              <w:rPr>
                <w:sz w:val="18"/>
                <w:szCs w:val="18"/>
              </w:rPr>
              <w:t>Mean</w:t>
            </w:r>
          </w:p>
        </w:tc>
        <w:tc>
          <w:tcPr>
            <w:tcW w:w="1296" w:type="dxa"/>
            <w:tcBorders>
              <w:top w:val="double" w:sz="4" w:space="0" w:color="auto"/>
              <w:left w:val="nil"/>
              <w:bottom w:val="single" w:sz="4" w:space="0" w:color="auto"/>
              <w:right w:val="nil"/>
            </w:tcBorders>
            <w:shd w:val="clear" w:color="auto" w:fill="auto"/>
            <w:noWrap/>
            <w:vAlign w:val="bottom"/>
            <w:hideMark/>
          </w:tcPr>
          <w:p w:rsidR="0027359B" w:rsidRPr="007D66F8" w:rsidRDefault="0027359B" w:rsidP="00AB3E29">
            <w:pPr>
              <w:pStyle w:val="Notes"/>
              <w:rPr>
                <w:sz w:val="18"/>
                <w:szCs w:val="18"/>
              </w:rPr>
            </w:pPr>
            <w:r w:rsidRPr="007D66F8">
              <w:rPr>
                <w:sz w:val="18"/>
                <w:szCs w:val="18"/>
              </w:rPr>
              <w:t>Median</w:t>
            </w:r>
          </w:p>
        </w:tc>
        <w:tc>
          <w:tcPr>
            <w:tcW w:w="1296" w:type="dxa"/>
            <w:tcBorders>
              <w:top w:val="double" w:sz="4" w:space="0" w:color="auto"/>
              <w:left w:val="nil"/>
              <w:bottom w:val="single" w:sz="4" w:space="0" w:color="auto"/>
              <w:right w:val="nil"/>
            </w:tcBorders>
            <w:shd w:val="clear" w:color="auto" w:fill="auto"/>
            <w:noWrap/>
            <w:vAlign w:val="bottom"/>
            <w:hideMark/>
          </w:tcPr>
          <w:p w:rsidR="0027359B" w:rsidRPr="007D66F8" w:rsidRDefault="002108D7" w:rsidP="00AB3E29">
            <w:pPr>
              <w:pStyle w:val="Notes"/>
              <w:rPr>
                <w:sz w:val="18"/>
                <w:szCs w:val="18"/>
              </w:rPr>
            </w:pPr>
            <w:r>
              <w:rPr>
                <w:sz w:val="18"/>
                <w:szCs w:val="18"/>
              </w:rPr>
              <w:t xml:space="preserve">  </w:t>
            </w:r>
            <w:r w:rsidR="00AB3E29">
              <w:rPr>
                <w:sz w:val="18"/>
                <w:szCs w:val="18"/>
              </w:rPr>
              <w:t xml:space="preserve"> </w:t>
            </w:r>
            <w:r w:rsidR="00A54C49">
              <w:rPr>
                <w:sz w:val="18"/>
                <w:szCs w:val="18"/>
              </w:rPr>
              <w:t xml:space="preserve">  </w:t>
            </w:r>
            <w:r w:rsidR="0027359B" w:rsidRPr="007D66F8">
              <w:rPr>
                <w:sz w:val="18"/>
                <w:szCs w:val="18"/>
              </w:rPr>
              <w:t>SD</w:t>
            </w:r>
          </w:p>
        </w:tc>
      </w:tr>
      <w:tr w:rsidR="0027359B" w:rsidRPr="007D66F8" w:rsidTr="001B3769">
        <w:trPr>
          <w:trHeight w:val="300"/>
          <w:jc w:val="center"/>
        </w:trPr>
        <w:tc>
          <w:tcPr>
            <w:tcW w:w="4320" w:type="dxa"/>
            <w:tcBorders>
              <w:top w:val="single" w:sz="4" w:space="0" w:color="auto"/>
              <w:left w:val="nil"/>
            </w:tcBorders>
          </w:tcPr>
          <w:p w:rsidR="0027359B" w:rsidRPr="007D66F8" w:rsidRDefault="0027359B" w:rsidP="001B3769">
            <w:pPr>
              <w:ind w:left="378" w:hanging="378"/>
              <w:rPr>
                <w:iCs/>
                <w:color w:val="000000"/>
                <w:sz w:val="18"/>
                <w:szCs w:val="18"/>
              </w:rPr>
            </w:pPr>
            <w:r w:rsidRPr="007D66F8">
              <w:rPr>
                <w:sz w:val="18"/>
                <w:szCs w:val="18"/>
              </w:rPr>
              <w:t xml:space="preserve">Democratic </w:t>
            </w:r>
            <w:r w:rsidR="00777D1D" w:rsidRPr="007D66F8">
              <w:rPr>
                <w:sz w:val="18"/>
                <w:szCs w:val="18"/>
              </w:rPr>
              <w:t xml:space="preserve">share </w:t>
            </w:r>
            <w:r w:rsidRPr="007D66F8">
              <w:rPr>
                <w:sz w:val="18"/>
                <w:szCs w:val="18"/>
              </w:rPr>
              <w:t>of U</w:t>
            </w:r>
            <w:r w:rsidR="00E13C2F">
              <w:rPr>
                <w:sz w:val="18"/>
                <w:szCs w:val="18"/>
              </w:rPr>
              <w:t>.</w:t>
            </w:r>
            <w:r w:rsidRPr="007D66F8">
              <w:rPr>
                <w:sz w:val="18"/>
                <w:szCs w:val="18"/>
              </w:rPr>
              <w:t>S</w:t>
            </w:r>
            <w:r w:rsidR="00E13C2F">
              <w:rPr>
                <w:sz w:val="18"/>
                <w:szCs w:val="18"/>
              </w:rPr>
              <w:t>.</w:t>
            </w:r>
            <w:r w:rsidRPr="007D66F8">
              <w:rPr>
                <w:sz w:val="18"/>
                <w:szCs w:val="18"/>
              </w:rPr>
              <w:t xml:space="preserve"> House Reps., 88th Congress</w:t>
            </w:r>
          </w:p>
        </w:tc>
        <w:tc>
          <w:tcPr>
            <w:tcW w:w="1404" w:type="dxa"/>
            <w:tcBorders>
              <w:top w:val="single" w:sz="4" w:space="0" w:color="auto"/>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1964</w:t>
            </w:r>
          </w:p>
        </w:tc>
        <w:tc>
          <w:tcPr>
            <w:tcW w:w="1296" w:type="dxa"/>
            <w:tcBorders>
              <w:top w:val="single" w:sz="4" w:space="0" w:color="auto"/>
            </w:tcBorders>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0.589</w:t>
            </w:r>
          </w:p>
        </w:tc>
        <w:tc>
          <w:tcPr>
            <w:tcW w:w="1296" w:type="dxa"/>
            <w:tcBorders>
              <w:top w:val="single" w:sz="4" w:space="0" w:color="auto"/>
            </w:tcBorders>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1</w:t>
            </w:r>
          </w:p>
        </w:tc>
        <w:tc>
          <w:tcPr>
            <w:tcW w:w="1296" w:type="dxa"/>
            <w:tcBorders>
              <w:top w:val="single" w:sz="4" w:space="0" w:color="auto"/>
              <w:right w:val="nil"/>
            </w:tcBorders>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0.48</w:t>
            </w:r>
          </w:p>
        </w:tc>
      </w:tr>
      <w:tr w:rsidR="0027359B" w:rsidRPr="007D66F8" w:rsidTr="001B3769">
        <w:trPr>
          <w:trHeight w:val="300"/>
          <w:jc w:val="center"/>
        </w:trPr>
        <w:tc>
          <w:tcPr>
            <w:tcW w:w="4320" w:type="dxa"/>
            <w:tcBorders>
              <w:left w:val="nil"/>
            </w:tcBorders>
          </w:tcPr>
          <w:p w:rsidR="0027359B" w:rsidRPr="007D66F8" w:rsidRDefault="0027359B" w:rsidP="001B3769">
            <w:pPr>
              <w:ind w:left="378" w:hanging="378"/>
              <w:rPr>
                <w:iCs/>
                <w:color w:val="000000"/>
                <w:sz w:val="18"/>
                <w:szCs w:val="18"/>
              </w:rPr>
            </w:pPr>
            <w:r w:rsidRPr="007D66F8">
              <w:rPr>
                <w:sz w:val="18"/>
                <w:szCs w:val="18"/>
              </w:rPr>
              <w:t>House Reps. include major committee member/leadership, 88th Congress</w:t>
            </w:r>
          </w:p>
        </w:tc>
        <w:tc>
          <w:tcPr>
            <w:tcW w:w="1404" w:type="dxa"/>
            <w:shd w:val="clear" w:color="auto" w:fill="auto"/>
            <w:noWrap/>
            <w:vAlign w:val="center"/>
          </w:tcPr>
          <w:p w:rsidR="0027359B" w:rsidRPr="007D66F8" w:rsidRDefault="0027359B" w:rsidP="001B3769">
            <w:pPr>
              <w:pStyle w:val="Notes"/>
              <w:jc w:val="center"/>
              <w:rPr>
                <w:sz w:val="18"/>
                <w:szCs w:val="18"/>
              </w:rPr>
            </w:pPr>
            <w:r w:rsidRPr="007D66F8">
              <w:rPr>
                <w:sz w:val="18"/>
                <w:szCs w:val="18"/>
              </w:rPr>
              <w:t>1964</w:t>
            </w:r>
          </w:p>
        </w:tc>
        <w:tc>
          <w:tcPr>
            <w:tcW w:w="1296" w:type="dxa"/>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0.455</w:t>
            </w:r>
          </w:p>
        </w:tc>
        <w:tc>
          <w:tcPr>
            <w:tcW w:w="1296" w:type="dxa"/>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w:t>
            </w:r>
          </w:p>
        </w:tc>
        <w:tc>
          <w:tcPr>
            <w:tcW w:w="1296" w:type="dxa"/>
            <w:tcBorders>
              <w:right w:val="nil"/>
            </w:tcBorders>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0.498</w:t>
            </w:r>
          </w:p>
        </w:tc>
      </w:tr>
      <w:tr w:rsidR="0027359B" w:rsidRPr="007D66F8" w:rsidTr="001B3769">
        <w:trPr>
          <w:trHeight w:val="300"/>
          <w:jc w:val="center"/>
        </w:trPr>
        <w:tc>
          <w:tcPr>
            <w:tcW w:w="4320" w:type="dxa"/>
            <w:tcBorders>
              <w:left w:val="nil"/>
            </w:tcBorders>
          </w:tcPr>
          <w:p w:rsidR="0027359B" w:rsidRPr="007D66F8" w:rsidRDefault="0027359B" w:rsidP="001B3769">
            <w:pPr>
              <w:ind w:left="378" w:hanging="378"/>
              <w:rPr>
                <w:iCs/>
                <w:color w:val="000000"/>
                <w:sz w:val="18"/>
                <w:szCs w:val="18"/>
              </w:rPr>
            </w:pPr>
            <w:r w:rsidRPr="007D66F8">
              <w:rPr>
                <w:sz w:val="18"/>
                <w:szCs w:val="18"/>
              </w:rPr>
              <w:t>House Reps. include Democrat major committee member, 88th Congress</w:t>
            </w:r>
          </w:p>
        </w:tc>
        <w:tc>
          <w:tcPr>
            <w:tcW w:w="1404" w:type="dxa"/>
            <w:shd w:val="clear" w:color="auto" w:fill="auto"/>
            <w:noWrap/>
            <w:vAlign w:val="center"/>
          </w:tcPr>
          <w:p w:rsidR="0027359B" w:rsidRPr="007D66F8" w:rsidRDefault="0027359B" w:rsidP="001B3769">
            <w:pPr>
              <w:pStyle w:val="Notes"/>
              <w:jc w:val="center"/>
              <w:rPr>
                <w:sz w:val="18"/>
                <w:szCs w:val="18"/>
              </w:rPr>
            </w:pPr>
            <w:r w:rsidRPr="007D66F8">
              <w:rPr>
                <w:sz w:val="18"/>
                <w:szCs w:val="18"/>
              </w:rPr>
              <w:t>1964</w:t>
            </w:r>
          </w:p>
        </w:tc>
        <w:tc>
          <w:tcPr>
            <w:tcW w:w="1296" w:type="dxa"/>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0.247</w:t>
            </w:r>
          </w:p>
        </w:tc>
        <w:tc>
          <w:tcPr>
            <w:tcW w:w="1296" w:type="dxa"/>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w:t>
            </w:r>
          </w:p>
        </w:tc>
        <w:tc>
          <w:tcPr>
            <w:tcW w:w="1296" w:type="dxa"/>
            <w:tcBorders>
              <w:right w:val="nil"/>
            </w:tcBorders>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0.431</w:t>
            </w:r>
          </w:p>
        </w:tc>
      </w:tr>
      <w:tr w:rsidR="0027359B" w:rsidRPr="007D66F8" w:rsidTr="001B3769">
        <w:trPr>
          <w:trHeight w:val="300"/>
          <w:jc w:val="center"/>
        </w:trPr>
        <w:tc>
          <w:tcPr>
            <w:tcW w:w="4320" w:type="dxa"/>
            <w:tcBorders>
              <w:left w:val="nil"/>
            </w:tcBorders>
          </w:tcPr>
          <w:p w:rsidR="0027359B" w:rsidRPr="007D66F8" w:rsidRDefault="0027359B" w:rsidP="001B3769">
            <w:pPr>
              <w:ind w:left="378" w:hanging="378"/>
              <w:rPr>
                <w:iCs/>
                <w:color w:val="000000"/>
                <w:sz w:val="18"/>
                <w:szCs w:val="18"/>
              </w:rPr>
            </w:pPr>
            <w:r w:rsidRPr="007D66F8">
              <w:rPr>
                <w:sz w:val="18"/>
                <w:szCs w:val="18"/>
              </w:rPr>
              <w:t>House Reps. include major committee chair or leader, 88th Congress</w:t>
            </w:r>
          </w:p>
        </w:tc>
        <w:tc>
          <w:tcPr>
            <w:tcW w:w="1404" w:type="dxa"/>
            <w:shd w:val="clear" w:color="auto" w:fill="auto"/>
            <w:noWrap/>
            <w:vAlign w:val="center"/>
          </w:tcPr>
          <w:p w:rsidR="0027359B" w:rsidRPr="007D66F8" w:rsidRDefault="0027359B" w:rsidP="001B3769">
            <w:pPr>
              <w:pStyle w:val="Notes"/>
              <w:jc w:val="center"/>
              <w:rPr>
                <w:sz w:val="18"/>
                <w:szCs w:val="18"/>
              </w:rPr>
            </w:pPr>
            <w:r w:rsidRPr="007D66F8">
              <w:rPr>
                <w:sz w:val="18"/>
                <w:szCs w:val="18"/>
              </w:rPr>
              <w:t>1964</w:t>
            </w:r>
          </w:p>
        </w:tc>
        <w:tc>
          <w:tcPr>
            <w:tcW w:w="1296" w:type="dxa"/>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0.0456</w:t>
            </w:r>
          </w:p>
        </w:tc>
        <w:tc>
          <w:tcPr>
            <w:tcW w:w="1296" w:type="dxa"/>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w:t>
            </w:r>
          </w:p>
        </w:tc>
        <w:tc>
          <w:tcPr>
            <w:tcW w:w="1296" w:type="dxa"/>
            <w:tcBorders>
              <w:right w:val="nil"/>
            </w:tcBorders>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0.209</w:t>
            </w:r>
          </w:p>
        </w:tc>
      </w:tr>
      <w:tr w:rsidR="0027359B" w:rsidRPr="007D66F8" w:rsidTr="00777D1D">
        <w:trPr>
          <w:trHeight w:val="300"/>
          <w:jc w:val="center"/>
        </w:trPr>
        <w:tc>
          <w:tcPr>
            <w:tcW w:w="4320" w:type="dxa"/>
            <w:tcBorders>
              <w:left w:val="nil"/>
              <w:bottom w:val="single" w:sz="4" w:space="0" w:color="auto"/>
            </w:tcBorders>
            <w:tcMar>
              <w:bottom w:w="40" w:type="dxa"/>
            </w:tcMar>
          </w:tcPr>
          <w:p w:rsidR="0027359B" w:rsidRPr="007D66F8" w:rsidRDefault="0027359B" w:rsidP="001B3769">
            <w:pPr>
              <w:ind w:left="378" w:hanging="378"/>
              <w:rPr>
                <w:iCs/>
                <w:color w:val="000000"/>
                <w:sz w:val="18"/>
                <w:szCs w:val="18"/>
              </w:rPr>
            </w:pPr>
            <w:r w:rsidRPr="007D66F8">
              <w:rPr>
                <w:sz w:val="18"/>
                <w:szCs w:val="18"/>
              </w:rPr>
              <w:t>House Reps. include Dem major comm. member/leadership, 88th Congress</w:t>
            </w:r>
          </w:p>
        </w:tc>
        <w:tc>
          <w:tcPr>
            <w:tcW w:w="1404" w:type="dxa"/>
            <w:tcBorders>
              <w:bottom w:val="single" w:sz="4" w:space="0" w:color="auto"/>
            </w:tcBorders>
            <w:shd w:val="clear" w:color="auto" w:fill="auto"/>
            <w:noWrap/>
            <w:vAlign w:val="center"/>
          </w:tcPr>
          <w:p w:rsidR="0027359B" w:rsidRPr="007D66F8" w:rsidRDefault="0027359B" w:rsidP="001B3769">
            <w:pPr>
              <w:pStyle w:val="Notes"/>
              <w:jc w:val="center"/>
              <w:rPr>
                <w:sz w:val="18"/>
                <w:szCs w:val="18"/>
              </w:rPr>
            </w:pPr>
            <w:r w:rsidRPr="007D66F8">
              <w:rPr>
                <w:sz w:val="18"/>
                <w:szCs w:val="18"/>
              </w:rPr>
              <w:t>1964</w:t>
            </w:r>
          </w:p>
        </w:tc>
        <w:tc>
          <w:tcPr>
            <w:tcW w:w="1296" w:type="dxa"/>
            <w:tcBorders>
              <w:bottom w:val="single" w:sz="4" w:space="0" w:color="auto"/>
            </w:tcBorders>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0.0197</w:t>
            </w:r>
          </w:p>
        </w:tc>
        <w:tc>
          <w:tcPr>
            <w:tcW w:w="1296" w:type="dxa"/>
            <w:tcBorders>
              <w:bottom w:val="single" w:sz="4" w:space="0" w:color="auto"/>
            </w:tcBorders>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w:t>
            </w:r>
          </w:p>
        </w:tc>
        <w:tc>
          <w:tcPr>
            <w:tcW w:w="1296" w:type="dxa"/>
            <w:tcBorders>
              <w:bottom w:val="single" w:sz="4" w:space="0" w:color="auto"/>
              <w:right w:val="nil"/>
            </w:tcBorders>
            <w:shd w:val="clear" w:color="auto" w:fill="auto"/>
            <w:noWrap/>
            <w:vAlign w:val="center"/>
          </w:tcPr>
          <w:p w:rsidR="0027359B" w:rsidRPr="007D66F8" w:rsidRDefault="0027359B" w:rsidP="000D784D">
            <w:pPr>
              <w:pStyle w:val="Notes"/>
              <w:tabs>
                <w:tab w:val="decimal" w:pos="270"/>
              </w:tabs>
              <w:jc w:val="left"/>
              <w:rPr>
                <w:sz w:val="18"/>
                <w:szCs w:val="18"/>
              </w:rPr>
            </w:pPr>
            <w:r w:rsidRPr="007D66F8">
              <w:rPr>
                <w:sz w:val="18"/>
                <w:szCs w:val="18"/>
              </w:rPr>
              <w:t>0.139</w:t>
            </w:r>
          </w:p>
        </w:tc>
      </w:tr>
    </w:tbl>
    <w:p w:rsidR="00707A08" w:rsidRDefault="00CA2C0B" w:rsidP="0009690C">
      <w:pPr>
        <w:pStyle w:val="Notes"/>
        <w:ind w:left="-1320" w:right="-1320"/>
        <w:rPr>
          <w:sz w:val="18"/>
          <w:szCs w:val="18"/>
        </w:rPr>
      </w:pPr>
      <w:r w:rsidRPr="00CA2C0B">
        <w:rPr>
          <w:i/>
          <w:sz w:val="18"/>
          <w:szCs w:val="18"/>
        </w:rPr>
        <w:t>Notes</w:t>
      </w:r>
      <w:r>
        <w:rPr>
          <w:sz w:val="18"/>
          <w:szCs w:val="18"/>
        </w:rPr>
        <w:t xml:space="preserve">: </w:t>
      </w:r>
      <w:r w:rsidR="0027359B" w:rsidRPr="007D66F8">
        <w:rPr>
          <w:sz w:val="18"/>
          <w:szCs w:val="18"/>
        </w:rPr>
        <w:t xml:space="preserve">Summary statistics for 3,091 counties in the 48 contiguous states (excludes Alaska, Hawaii, and District of Columbia; see </w:t>
      </w:r>
      <w:r>
        <w:rPr>
          <w:sz w:val="18"/>
          <w:szCs w:val="18"/>
        </w:rPr>
        <w:t xml:space="preserve">the </w:t>
      </w:r>
      <w:r w:rsidRPr="007D66F8">
        <w:rPr>
          <w:sz w:val="18"/>
          <w:szCs w:val="18"/>
        </w:rPr>
        <w:t>Data Appendix</w:t>
      </w:r>
      <w:r w:rsidR="0027359B" w:rsidRPr="007D66F8">
        <w:rPr>
          <w:sz w:val="18"/>
          <w:szCs w:val="18"/>
        </w:rPr>
        <w:t xml:space="preserve">). </w:t>
      </w:r>
    </w:p>
    <w:p w:rsidR="0027359B" w:rsidRPr="007D66F8" w:rsidRDefault="0027359B" w:rsidP="0009690C">
      <w:pPr>
        <w:pStyle w:val="Notes"/>
        <w:ind w:left="-1320" w:right="-1320"/>
        <w:rPr>
          <w:sz w:val="18"/>
          <w:szCs w:val="18"/>
        </w:rPr>
      </w:pPr>
      <w:r w:rsidRPr="00707A08">
        <w:rPr>
          <w:i/>
          <w:sz w:val="18"/>
          <w:szCs w:val="18"/>
        </w:rPr>
        <w:t>Sources</w:t>
      </w:r>
      <w:r w:rsidRPr="007D66F8">
        <w:rPr>
          <w:sz w:val="18"/>
          <w:szCs w:val="18"/>
        </w:rPr>
        <w:t>:</w:t>
      </w:r>
      <w:r w:rsidR="002108D7">
        <w:rPr>
          <w:sz w:val="18"/>
          <w:szCs w:val="18"/>
        </w:rPr>
        <w:t xml:space="preserve"> </w:t>
      </w:r>
      <w:r w:rsidRPr="007D66F8">
        <w:rPr>
          <w:sz w:val="18"/>
          <w:szCs w:val="18"/>
        </w:rPr>
        <w:t>Riot data, Collins and Margo (2007); Vietnam data, Defense Casualty Analysis System; 1960 Census data,</w:t>
      </w:r>
      <w:r w:rsidR="002108D7">
        <w:rPr>
          <w:sz w:val="18"/>
          <w:szCs w:val="18"/>
        </w:rPr>
        <w:t xml:space="preserve"> </w:t>
      </w:r>
      <w:r w:rsidRPr="007D66F8">
        <w:rPr>
          <w:sz w:val="18"/>
          <w:szCs w:val="18"/>
        </w:rPr>
        <w:t>Haines (</w:t>
      </w:r>
      <w:r w:rsidR="00ED3299">
        <w:rPr>
          <w:sz w:val="18"/>
          <w:szCs w:val="18"/>
        </w:rPr>
        <w:t>2010</w:t>
      </w:r>
      <w:r w:rsidRPr="007D66F8">
        <w:rPr>
          <w:sz w:val="18"/>
          <w:szCs w:val="18"/>
        </w:rPr>
        <w:t>); Election outcomes, ICPSR (1997); Local government budgetary data, Census of Government (1962); Plantation data, U.S. Census Bureau (191</w:t>
      </w:r>
      <w:r w:rsidR="007E7403">
        <w:rPr>
          <w:sz w:val="18"/>
          <w:szCs w:val="18"/>
        </w:rPr>
        <w:t>6</w:t>
      </w:r>
      <w:r w:rsidRPr="007D66F8">
        <w:rPr>
          <w:sz w:val="18"/>
          <w:szCs w:val="18"/>
        </w:rPr>
        <w:t>)</w:t>
      </w:r>
      <w:r w:rsidR="00EE4BE1">
        <w:rPr>
          <w:sz w:val="18"/>
          <w:szCs w:val="18"/>
        </w:rPr>
        <w:t>;</w:t>
      </w:r>
      <w:r w:rsidRPr="007D66F8">
        <w:rPr>
          <w:sz w:val="18"/>
          <w:szCs w:val="18"/>
        </w:rPr>
        <w:t xml:space="preserve"> and </w:t>
      </w:r>
      <w:r w:rsidRPr="005E2B35">
        <w:rPr>
          <w:sz w:val="18"/>
          <w:szCs w:val="18"/>
        </w:rPr>
        <w:t>Fishback, Haines</w:t>
      </w:r>
      <w:r w:rsidR="00B33414" w:rsidRPr="005E2B35">
        <w:rPr>
          <w:sz w:val="18"/>
          <w:szCs w:val="18"/>
        </w:rPr>
        <w:t>,</w:t>
      </w:r>
      <w:r w:rsidRPr="005E2B35">
        <w:rPr>
          <w:sz w:val="18"/>
          <w:szCs w:val="18"/>
        </w:rPr>
        <w:t xml:space="preserve"> and Rhode (201</w:t>
      </w:r>
      <w:r w:rsidR="00B757A3">
        <w:rPr>
          <w:sz w:val="18"/>
          <w:szCs w:val="18"/>
        </w:rPr>
        <w:t>2</w:t>
      </w:r>
      <w:r w:rsidRPr="005E2B35">
        <w:rPr>
          <w:sz w:val="18"/>
          <w:szCs w:val="18"/>
        </w:rPr>
        <w:t xml:space="preserve">). </w:t>
      </w:r>
      <w:r w:rsidRPr="005E2B35">
        <w:rPr>
          <w:sz w:val="18"/>
          <w:szCs w:val="18"/>
        </w:rPr>
        <w:tab/>
      </w:r>
    </w:p>
    <w:p w:rsidR="0027359B" w:rsidRPr="007D66F8" w:rsidRDefault="0027359B" w:rsidP="0027359B">
      <w:pPr>
        <w:pStyle w:val="Notes"/>
        <w:rPr>
          <w:sz w:val="18"/>
          <w:szCs w:val="18"/>
        </w:rPr>
      </w:pPr>
    </w:p>
    <w:p w:rsidR="0027359B" w:rsidRPr="007D66F8" w:rsidRDefault="0027359B" w:rsidP="0027359B">
      <w:pPr>
        <w:rPr>
          <w:sz w:val="18"/>
          <w:szCs w:val="18"/>
        </w:rPr>
      </w:pPr>
      <w:r w:rsidRPr="007D66F8">
        <w:rPr>
          <w:sz w:val="18"/>
          <w:szCs w:val="18"/>
        </w:rPr>
        <w:br w:type="page"/>
      </w:r>
    </w:p>
    <w:p w:rsidR="00151FA3" w:rsidRPr="00D603F1" w:rsidRDefault="0027359B" w:rsidP="0027359B">
      <w:pPr>
        <w:jc w:val="center"/>
        <w:rPr>
          <w:smallCaps/>
          <w:sz w:val="18"/>
          <w:szCs w:val="18"/>
        </w:rPr>
      </w:pPr>
      <w:r w:rsidRPr="00D603F1">
        <w:rPr>
          <w:smallCaps/>
          <w:sz w:val="18"/>
          <w:szCs w:val="18"/>
        </w:rPr>
        <w:lastRenderedPageBreak/>
        <w:t xml:space="preserve">Appendix Table </w:t>
      </w:r>
      <w:r w:rsidR="00B83FF1">
        <w:rPr>
          <w:smallCaps/>
          <w:sz w:val="18"/>
          <w:szCs w:val="18"/>
        </w:rPr>
        <w:t>2</w:t>
      </w:r>
    </w:p>
    <w:p w:rsidR="0027359B" w:rsidRPr="00D603F1" w:rsidRDefault="00D603F1" w:rsidP="0027359B">
      <w:pPr>
        <w:jc w:val="center"/>
        <w:rPr>
          <w:w w:val="95"/>
          <w:sz w:val="18"/>
          <w:szCs w:val="18"/>
        </w:rPr>
      </w:pPr>
      <w:r w:rsidRPr="00D603F1">
        <w:rPr>
          <w:w w:val="95"/>
          <w:sz w:val="18"/>
          <w:szCs w:val="18"/>
        </w:rPr>
        <w:t>SUMMARY STATISTICS FOR DATA SET ON VOTER TURNOUT AND SHARE DEMOCRAT</w:t>
      </w:r>
    </w:p>
    <w:tbl>
      <w:tblPr>
        <w:tblW w:w="8505" w:type="dxa"/>
        <w:tblInd w:w="-765" w:type="dxa"/>
        <w:tblCellMar>
          <w:left w:w="0" w:type="dxa"/>
          <w:right w:w="0" w:type="dxa"/>
        </w:tblCellMar>
        <w:tblLook w:val="04A0" w:firstRow="1" w:lastRow="0" w:firstColumn="1" w:lastColumn="0" w:noHBand="0" w:noVBand="1"/>
      </w:tblPr>
      <w:tblGrid>
        <w:gridCol w:w="3621"/>
        <w:gridCol w:w="1190"/>
        <w:gridCol w:w="1245"/>
        <w:gridCol w:w="1299"/>
        <w:gridCol w:w="1150"/>
      </w:tblGrid>
      <w:tr w:rsidR="0027359B" w:rsidRPr="007D66F8" w:rsidTr="009E4CCD">
        <w:trPr>
          <w:trHeight w:val="324"/>
        </w:trPr>
        <w:tc>
          <w:tcPr>
            <w:tcW w:w="3658" w:type="dxa"/>
            <w:tcBorders>
              <w:top w:val="double" w:sz="4" w:space="0" w:color="auto"/>
              <w:left w:val="nil"/>
              <w:bottom w:val="single" w:sz="4" w:space="0" w:color="auto"/>
              <w:right w:val="nil"/>
            </w:tcBorders>
            <w:shd w:val="clear" w:color="auto" w:fill="auto"/>
            <w:vAlign w:val="center"/>
            <w:hideMark/>
          </w:tcPr>
          <w:p w:rsidR="0027359B" w:rsidRPr="007D66F8" w:rsidRDefault="0027359B" w:rsidP="001B3769">
            <w:pPr>
              <w:ind w:left="378" w:hanging="378"/>
              <w:jc w:val="center"/>
              <w:rPr>
                <w:color w:val="000000"/>
                <w:sz w:val="18"/>
                <w:szCs w:val="18"/>
              </w:rPr>
            </w:pPr>
          </w:p>
        </w:tc>
        <w:tc>
          <w:tcPr>
            <w:tcW w:w="1201" w:type="dxa"/>
            <w:tcBorders>
              <w:top w:val="double" w:sz="4" w:space="0" w:color="auto"/>
              <w:left w:val="nil"/>
              <w:bottom w:val="single" w:sz="4" w:space="0" w:color="auto"/>
              <w:right w:val="nil"/>
            </w:tcBorders>
            <w:vAlign w:val="center"/>
          </w:tcPr>
          <w:p w:rsidR="0027359B" w:rsidRPr="007D66F8" w:rsidRDefault="0027359B" w:rsidP="001B3769">
            <w:pPr>
              <w:pStyle w:val="Notes"/>
              <w:jc w:val="center"/>
              <w:rPr>
                <w:sz w:val="18"/>
                <w:szCs w:val="18"/>
              </w:rPr>
            </w:pPr>
            <w:r w:rsidRPr="007D66F8">
              <w:rPr>
                <w:sz w:val="18"/>
                <w:szCs w:val="18"/>
              </w:rPr>
              <w:t>Year</w:t>
            </w:r>
          </w:p>
        </w:tc>
        <w:tc>
          <w:tcPr>
            <w:tcW w:w="1229" w:type="dxa"/>
            <w:tcBorders>
              <w:top w:val="double" w:sz="4" w:space="0" w:color="auto"/>
              <w:left w:val="nil"/>
              <w:bottom w:val="single" w:sz="4" w:space="0" w:color="auto"/>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Mean</w:t>
            </w:r>
          </w:p>
        </w:tc>
        <w:tc>
          <w:tcPr>
            <w:tcW w:w="1283" w:type="dxa"/>
            <w:tcBorders>
              <w:top w:val="double" w:sz="4" w:space="0" w:color="auto"/>
              <w:left w:val="nil"/>
              <w:bottom w:val="single" w:sz="4" w:space="0" w:color="auto"/>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Median</w:t>
            </w:r>
          </w:p>
        </w:tc>
        <w:tc>
          <w:tcPr>
            <w:tcW w:w="1134" w:type="dxa"/>
            <w:tcBorders>
              <w:top w:val="double" w:sz="4" w:space="0" w:color="auto"/>
              <w:left w:val="nil"/>
              <w:bottom w:val="single" w:sz="4" w:space="0" w:color="auto"/>
              <w:right w:val="nil"/>
            </w:tcBorders>
            <w:shd w:val="clear" w:color="auto" w:fill="auto"/>
            <w:noWrap/>
            <w:vAlign w:val="center"/>
            <w:hideMark/>
          </w:tcPr>
          <w:p w:rsidR="0027359B" w:rsidRPr="007D66F8" w:rsidRDefault="0027359B" w:rsidP="001B3769">
            <w:pPr>
              <w:pStyle w:val="Notes"/>
              <w:jc w:val="center"/>
              <w:rPr>
                <w:sz w:val="18"/>
                <w:szCs w:val="18"/>
              </w:rPr>
            </w:pPr>
            <w:r w:rsidRPr="007D66F8">
              <w:rPr>
                <w:sz w:val="18"/>
                <w:szCs w:val="18"/>
              </w:rPr>
              <w:t>SD</w:t>
            </w:r>
          </w:p>
        </w:tc>
      </w:tr>
      <w:tr w:rsidR="0027359B" w:rsidRPr="007D66F8" w:rsidTr="009E4CCD">
        <w:trPr>
          <w:trHeight w:val="324"/>
        </w:trPr>
        <w:tc>
          <w:tcPr>
            <w:tcW w:w="3658" w:type="dxa"/>
            <w:vMerge w:val="restart"/>
            <w:tcBorders>
              <w:top w:val="single" w:sz="4" w:space="0" w:color="auto"/>
              <w:left w:val="nil"/>
            </w:tcBorders>
            <w:vAlign w:val="center"/>
          </w:tcPr>
          <w:p w:rsidR="0027359B" w:rsidRPr="007D66F8" w:rsidRDefault="00456856" w:rsidP="00456856">
            <w:pPr>
              <w:rPr>
                <w:iCs/>
                <w:color w:val="000000"/>
                <w:sz w:val="18"/>
                <w:szCs w:val="18"/>
              </w:rPr>
            </w:pPr>
            <w:r>
              <w:rPr>
                <w:sz w:val="18"/>
                <w:szCs w:val="18"/>
              </w:rPr>
              <w:t xml:space="preserve">      </w:t>
            </w:r>
            <w:r w:rsidR="0027359B" w:rsidRPr="007D66F8">
              <w:rPr>
                <w:sz w:val="18"/>
                <w:szCs w:val="18"/>
              </w:rPr>
              <w:t>Estimated Voter Turnout</w:t>
            </w:r>
          </w:p>
        </w:tc>
        <w:tc>
          <w:tcPr>
            <w:tcW w:w="1201" w:type="dxa"/>
            <w:tcBorders>
              <w:top w:val="single" w:sz="4" w:space="0" w:color="auto"/>
            </w:tcBorders>
            <w:vAlign w:val="bottom"/>
          </w:tcPr>
          <w:p w:rsidR="0027359B" w:rsidRPr="007D66F8" w:rsidRDefault="0027359B" w:rsidP="00596E77">
            <w:pPr>
              <w:pStyle w:val="Notes"/>
              <w:jc w:val="center"/>
              <w:rPr>
                <w:sz w:val="18"/>
                <w:szCs w:val="18"/>
              </w:rPr>
            </w:pPr>
            <w:r w:rsidRPr="007D66F8">
              <w:rPr>
                <w:color w:val="000000"/>
                <w:sz w:val="18"/>
                <w:szCs w:val="18"/>
              </w:rPr>
              <w:t>1950</w:t>
            </w:r>
          </w:p>
        </w:tc>
        <w:tc>
          <w:tcPr>
            <w:tcW w:w="1229" w:type="dxa"/>
            <w:tcBorders>
              <w:top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43.98</w:t>
            </w:r>
          </w:p>
        </w:tc>
        <w:tc>
          <w:tcPr>
            <w:tcW w:w="1283" w:type="dxa"/>
            <w:tcBorders>
              <w:top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50.6</w:t>
            </w:r>
          </w:p>
        </w:tc>
        <w:tc>
          <w:tcPr>
            <w:tcW w:w="1134" w:type="dxa"/>
            <w:tcBorders>
              <w:top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22.68</w:t>
            </w:r>
          </w:p>
        </w:tc>
      </w:tr>
      <w:tr w:rsidR="0027359B" w:rsidRPr="007D66F8" w:rsidTr="009E4CCD">
        <w:trPr>
          <w:trHeight w:val="324"/>
        </w:trPr>
        <w:tc>
          <w:tcPr>
            <w:tcW w:w="3658" w:type="dxa"/>
            <w:vMerge/>
            <w:tcBorders>
              <w:left w:val="nil"/>
            </w:tcBorders>
            <w:vAlign w:val="center"/>
          </w:tcPr>
          <w:p w:rsidR="0027359B" w:rsidRPr="007D66F8" w:rsidRDefault="0027359B" w:rsidP="001B3769">
            <w:pPr>
              <w:ind w:left="378" w:hanging="378"/>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1952</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58.61</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67.3</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22.07</w:t>
            </w:r>
          </w:p>
        </w:tc>
      </w:tr>
      <w:tr w:rsidR="0027359B" w:rsidRPr="007D66F8" w:rsidTr="009E4CCD">
        <w:trPr>
          <w:trHeight w:val="324"/>
        </w:trPr>
        <w:tc>
          <w:tcPr>
            <w:tcW w:w="3658" w:type="dxa"/>
            <w:vMerge/>
            <w:tcBorders>
              <w:left w:val="nil"/>
            </w:tcBorders>
            <w:vAlign w:val="center"/>
          </w:tcPr>
          <w:p w:rsidR="0027359B" w:rsidRPr="007D66F8" w:rsidRDefault="0027359B" w:rsidP="001B3769">
            <w:pPr>
              <w:ind w:left="378" w:hanging="378"/>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1954</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44.87</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50.2</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20.90</w:t>
            </w:r>
          </w:p>
        </w:tc>
      </w:tr>
      <w:tr w:rsidR="0027359B" w:rsidRPr="007D66F8" w:rsidTr="009E4CCD">
        <w:trPr>
          <w:trHeight w:val="324"/>
        </w:trPr>
        <w:tc>
          <w:tcPr>
            <w:tcW w:w="3658" w:type="dxa"/>
            <w:vMerge/>
            <w:tcBorders>
              <w:left w:val="nil"/>
            </w:tcBorders>
            <w:vAlign w:val="center"/>
          </w:tcPr>
          <w:p w:rsidR="0027359B" w:rsidRPr="007D66F8" w:rsidRDefault="0027359B" w:rsidP="001B3769">
            <w:pPr>
              <w:ind w:left="378" w:hanging="378"/>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1956</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57.46</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65.7</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21.33</w:t>
            </w:r>
          </w:p>
        </w:tc>
      </w:tr>
      <w:tr w:rsidR="0027359B" w:rsidRPr="007D66F8" w:rsidTr="009E4CCD">
        <w:trPr>
          <w:trHeight w:val="324"/>
        </w:trPr>
        <w:tc>
          <w:tcPr>
            <w:tcW w:w="3658" w:type="dxa"/>
            <w:vMerge/>
            <w:tcBorders>
              <w:left w:val="nil"/>
            </w:tcBorders>
            <w:vAlign w:val="center"/>
          </w:tcPr>
          <w:p w:rsidR="0027359B" w:rsidRPr="007D66F8" w:rsidRDefault="0027359B" w:rsidP="001B3769">
            <w:pPr>
              <w:ind w:left="378" w:hanging="378"/>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1958</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45.36</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52.5</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23.06</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1960</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61.19</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69.9</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22.15</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1962</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48.01</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52.9</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21.27</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1964</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60.28</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65.7</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18.46</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1966</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49.68</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50.8</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15.41</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1968</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59.65</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62.3</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14.66</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1970</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49.07</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50.1</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18.56</w:t>
            </w:r>
          </w:p>
        </w:tc>
      </w:tr>
      <w:tr w:rsidR="0027359B" w:rsidRPr="007D66F8" w:rsidTr="009E4CCD">
        <w:trPr>
          <w:trHeight w:val="324"/>
        </w:trPr>
        <w:tc>
          <w:tcPr>
            <w:tcW w:w="3658" w:type="dxa"/>
            <w:vMerge/>
            <w:tcBorders>
              <w:left w:val="nil"/>
              <w:bottom w:val="single" w:sz="4" w:space="0" w:color="auto"/>
            </w:tcBorders>
            <w:vAlign w:val="center"/>
          </w:tcPr>
          <w:p w:rsidR="0027359B" w:rsidRPr="007D66F8" w:rsidRDefault="0027359B" w:rsidP="001B3769">
            <w:pPr>
              <w:jc w:val="center"/>
              <w:rPr>
                <w:iCs/>
                <w:color w:val="000000"/>
                <w:sz w:val="18"/>
                <w:szCs w:val="18"/>
              </w:rPr>
            </w:pPr>
          </w:p>
        </w:tc>
        <w:tc>
          <w:tcPr>
            <w:tcW w:w="1201" w:type="dxa"/>
            <w:tcBorders>
              <w:bottom w:val="single" w:sz="4" w:space="0" w:color="auto"/>
            </w:tcBorders>
            <w:vAlign w:val="bottom"/>
          </w:tcPr>
          <w:p w:rsidR="0027359B" w:rsidRPr="007D66F8" w:rsidRDefault="0027359B" w:rsidP="00596E77">
            <w:pPr>
              <w:pStyle w:val="Notes"/>
              <w:jc w:val="center"/>
              <w:rPr>
                <w:sz w:val="18"/>
                <w:szCs w:val="18"/>
              </w:rPr>
            </w:pPr>
            <w:r w:rsidRPr="007D66F8">
              <w:rPr>
                <w:color w:val="000000"/>
                <w:sz w:val="18"/>
                <w:szCs w:val="18"/>
              </w:rPr>
              <w:t>1972</w:t>
            </w:r>
          </w:p>
        </w:tc>
        <w:tc>
          <w:tcPr>
            <w:tcW w:w="1229" w:type="dxa"/>
            <w:tcBorders>
              <w:bottom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56.30</w:t>
            </w:r>
          </w:p>
        </w:tc>
        <w:tc>
          <w:tcPr>
            <w:tcW w:w="1283" w:type="dxa"/>
            <w:tcBorders>
              <w:bottom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58.9</w:t>
            </w:r>
          </w:p>
        </w:tc>
        <w:tc>
          <w:tcPr>
            <w:tcW w:w="1134" w:type="dxa"/>
            <w:tcBorders>
              <w:bottom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16.78</w:t>
            </w:r>
          </w:p>
        </w:tc>
      </w:tr>
      <w:tr w:rsidR="0027359B" w:rsidRPr="007D66F8" w:rsidTr="009E4CCD">
        <w:trPr>
          <w:trHeight w:val="324"/>
        </w:trPr>
        <w:tc>
          <w:tcPr>
            <w:tcW w:w="3658" w:type="dxa"/>
            <w:vMerge w:val="restart"/>
            <w:tcBorders>
              <w:top w:val="single" w:sz="4" w:space="0" w:color="auto"/>
              <w:left w:val="nil"/>
            </w:tcBorders>
            <w:vAlign w:val="center"/>
          </w:tcPr>
          <w:p w:rsidR="0027359B" w:rsidRPr="007D66F8" w:rsidRDefault="0027359B" w:rsidP="001B3769">
            <w:pPr>
              <w:jc w:val="center"/>
              <w:rPr>
                <w:iCs/>
                <w:color w:val="000000"/>
                <w:sz w:val="18"/>
                <w:szCs w:val="18"/>
              </w:rPr>
            </w:pPr>
            <w:r w:rsidRPr="007D66F8">
              <w:rPr>
                <w:sz w:val="18"/>
                <w:szCs w:val="18"/>
              </w:rPr>
              <w:t>Democratic House Election Vote Share</w:t>
            </w:r>
          </w:p>
        </w:tc>
        <w:tc>
          <w:tcPr>
            <w:tcW w:w="1201" w:type="dxa"/>
            <w:tcBorders>
              <w:top w:val="single" w:sz="4" w:space="0" w:color="auto"/>
            </w:tcBorders>
            <w:vAlign w:val="bottom"/>
          </w:tcPr>
          <w:p w:rsidR="0027359B" w:rsidRPr="007D66F8" w:rsidRDefault="0027359B" w:rsidP="00596E77">
            <w:pPr>
              <w:pStyle w:val="Notes"/>
              <w:jc w:val="center"/>
              <w:rPr>
                <w:sz w:val="18"/>
                <w:szCs w:val="18"/>
              </w:rPr>
            </w:pPr>
            <w:r w:rsidRPr="007D66F8">
              <w:rPr>
                <w:color w:val="000000"/>
                <w:sz w:val="18"/>
                <w:szCs w:val="18"/>
              </w:rPr>
              <w:t>1950</w:t>
            </w:r>
          </w:p>
        </w:tc>
        <w:tc>
          <w:tcPr>
            <w:tcW w:w="1229" w:type="dxa"/>
            <w:tcBorders>
              <w:top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56.55</w:t>
            </w:r>
          </w:p>
        </w:tc>
        <w:tc>
          <w:tcPr>
            <w:tcW w:w="1283" w:type="dxa"/>
            <w:tcBorders>
              <w:top w:val="single" w:sz="4" w:space="0" w:color="auto"/>
            </w:tcBorders>
            <w:shd w:val="clear" w:color="auto" w:fill="auto"/>
            <w:noWrap/>
            <w:vAlign w:val="bottom"/>
          </w:tcPr>
          <w:p w:rsidR="0027359B" w:rsidRPr="007D66F8" w:rsidRDefault="002108D7" w:rsidP="00856EF9">
            <w:pPr>
              <w:pStyle w:val="Notes"/>
              <w:tabs>
                <w:tab w:val="decimal" w:pos="270"/>
              </w:tabs>
              <w:jc w:val="center"/>
              <w:rPr>
                <w:sz w:val="18"/>
                <w:szCs w:val="18"/>
              </w:rPr>
            </w:pPr>
            <w:r>
              <w:rPr>
                <w:color w:val="000000"/>
                <w:sz w:val="18"/>
                <w:szCs w:val="18"/>
              </w:rPr>
              <w:t xml:space="preserve"> </w:t>
            </w:r>
            <w:r w:rsidR="00856EF9">
              <w:rPr>
                <w:color w:val="000000"/>
                <w:sz w:val="18"/>
                <w:szCs w:val="18"/>
              </w:rPr>
              <w:t xml:space="preserve"> </w:t>
            </w:r>
            <w:r w:rsidR="00273075">
              <w:rPr>
                <w:color w:val="000000"/>
                <w:sz w:val="18"/>
                <w:szCs w:val="18"/>
              </w:rPr>
              <w:t xml:space="preserve"> </w:t>
            </w:r>
            <w:r w:rsidR="0027359B" w:rsidRPr="007D66F8">
              <w:rPr>
                <w:color w:val="000000"/>
                <w:sz w:val="18"/>
                <w:szCs w:val="18"/>
              </w:rPr>
              <w:t>47.86</w:t>
            </w:r>
          </w:p>
        </w:tc>
        <w:tc>
          <w:tcPr>
            <w:tcW w:w="1134" w:type="dxa"/>
            <w:tcBorders>
              <w:top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27.29</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1952</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52.84</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44</w:t>
            </w:r>
            <w:r w:rsidR="00A6399C">
              <w:rPr>
                <w:color w:val="000000"/>
                <w:sz w:val="18"/>
                <w:szCs w:val="18"/>
              </w:rPr>
              <w:t>.0</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28.31</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1954</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56.87</w:t>
            </w:r>
          </w:p>
        </w:tc>
        <w:tc>
          <w:tcPr>
            <w:tcW w:w="1283" w:type="dxa"/>
            <w:shd w:val="clear" w:color="auto" w:fill="auto"/>
            <w:noWrap/>
            <w:vAlign w:val="bottom"/>
          </w:tcPr>
          <w:p w:rsidR="0027359B" w:rsidRPr="007D66F8" w:rsidRDefault="002108D7" w:rsidP="00856EF9">
            <w:pPr>
              <w:pStyle w:val="Notes"/>
              <w:tabs>
                <w:tab w:val="decimal" w:pos="270"/>
              </w:tabs>
              <w:jc w:val="center"/>
              <w:rPr>
                <w:sz w:val="18"/>
                <w:szCs w:val="18"/>
              </w:rPr>
            </w:pPr>
            <w:r>
              <w:rPr>
                <w:color w:val="000000"/>
                <w:sz w:val="18"/>
                <w:szCs w:val="18"/>
              </w:rPr>
              <w:t xml:space="preserve"> </w:t>
            </w:r>
            <w:r w:rsidR="00856EF9">
              <w:rPr>
                <w:color w:val="000000"/>
                <w:sz w:val="18"/>
                <w:szCs w:val="18"/>
              </w:rPr>
              <w:t xml:space="preserve"> </w:t>
            </w:r>
            <w:r w:rsidR="00273075">
              <w:rPr>
                <w:color w:val="000000"/>
                <w:sz w:val="18"/>
                <w:szCs w:val="18"/>
              </w:rPr>
              <w:t xml:space="preserve"> </w:t>
            </w:r>
            <w:r w:rsidR="0027359B" w:rsidRPr="007D66F8">
              <w:rPr>
                <w:color w:val="000000"/>
                <w:sz w:val="18"/>
                <w:szCs w:val="18"/>
              </w:rPr>
              <w:t>49.19</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25.89</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1956</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57.18</w:t>
            </w:r>
          </w:p>
        </w:tc>
        <w:tc>
          <w:tcPr>
            <w:tcW w:w="1283" w:type="dxa"/>
            <w:shd w:val="clear" w:color="auto" w:fill="auto"/>
            <w:noWrap/>
            <w:vAlign w:val="bottom"/>
          </w:tcPr>
          <w:p w:rsidR="0027359B" w:rsidRPr="007D66F8" w:rsidRDefault="002108D7" w:rsidP="00856EF9">
            <w:pPr>
              <w:pStyle w:val="Notes"/>
              <w:tabs>
                <w:tab w:val="decimal" w:pos="270"/>
              </w:tabs>
              <w:jc w:val="center"/>
              <w:rPr>
                <w:sz w:val="18"/>
                <w:szCs w:val="18"/>
              </w:rPr>
            </w:pPr>
            <w:r>
              <w:rPr>
                <w:color w:val="000000"/>
                <w:sz w:val="18"/>
                <w:szCs w:val="18"/>
              </w:rPr>
              <w:t xml:space="preserve">  </w:t>
            </w:r>
            <w:r w:rsidR="00273075">
              <w:rPr>
                <w:color w:val="000000"/>
                <w:sz w:val="18"/>
                <w:szCs w:val="18"/>
              </w:rPr>
              <w:t xml:space="preserve"> </w:t>
            </w:r>
            <w:r w:rsidR="0027359B" w:rsidRPr="007D66F8">
              <w:rPr>
                <w:color w:val="000000"/>
                <w:sz w:val="18"/>
                <w:szCs w:val="18"/>
              </w:rPr>
              <w:t>50.23</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25.23</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1958</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63.54</w:t>
            </w:r>
          </w:p>
        </w:tc>
        <w:tc>
          <w:tcPr>
            <w:tcW w:w="1283" w:type="dxa"/>
            <w:shd w:val="clear" w:color="auto" w:fill="auto"/>
            <w:noWrap/>
            <w:vAlign w:val="bottom"/>
          </w:tcPr>
          <w:p w:rsidR="0027359B" w:rsidRPr="007D66F8" w:rsidRDefault="002108D7" w:rsidP="00856EF9">
            <w:pPr>
              <w:pStyle w:val="Notes"/>
              <w:tabs>
                <w:tab w:val="decimal" w:pos="270"/>
              </w:tabs>
              <w:jc w:val="center"/>
              <w:rPr>
                <w:sz w:val="18"/>
                <w:szCs w:val="18"/>
              </w:rPr>
            </w:pPr>
            <w:r>
              <w:rPr>
                <w:color w:val="000000"/>
                <w:sz w:val="18"/>
                <w:szCs w:val="18"/>
              </w:rPr>
              <w:t xml:space="preserve">  </w:t>
            </w:r>
            <w:r w:rsidR="00273075">
              <w:rPr>
                <w:color w:val="000000"/>
                <w:sz w:val="18"/>
                <w:szCs w:val="18"/>
              </w:rPr>
              <w:t xml:space="preserve"> </w:t>
            </w:r>
            <w:r w:rsidR="0027359B" w:rsidRPr="007D66F8">
              <w:rPr>
                <w:color w:val="000000"/>
                <w:sz w:val="18"/>
                <w:szCs w:val="18"/>
              </w:rPr>
              <w:t>56.54</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23.78</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1960</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59.07</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52.4</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24.38</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1962</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57.10</w:t>
            </w:r>
          </w:p>
        </w:tc>
        <w:tc>
          <w:tcPr>
            <w:tcW w:w="1283" w:type="dxa"/>
            <w:shd w:val="clear" w:color="auto" w:fill="auto"/>
            <w:noWrap/>
            <w:vAlign w:val="bottom"/>
          </w:tcPr>
          <w:p w:rsidR="0027359B" w:rsidRPr="007D66F8" w:rsidRDefault="002108D7" w:rsidP="00856EF9">
            <w:pPr>
              <w:pStyle w:val="Notes"/>
              <w:tabs>
                <w:tab w:val="decimal" w:pos="270"/>
              </w:tabs>
              <w:jc w:val="center"/>
              <w:rPr>
                <w:sz w:val="18"/>
                <w:szCs w:val="18"/>
              </w:rPr>
            </w:pPr>
            <w:r>
              <w:rPr>
                <w:color w:val="000000"/>
                <w:sz w:val="18"/>
                <w:szCs w:val="18"/>
              </w:rPr>
              <w:t xml:space="preserve"> </w:t>
            </w:r>
            <w:r w:rsidR="00856EF9">
              <w:rPr>
                <w:color w:val="000000"/>
                <w:sz w:val="18"/>
                <w:szCs w:val="18"/>
              </w:rPr>
              <w:t xml:space="preserve"> </w:t>
            </w:r>
            <w:r w:rsidR="00273075">
              <w:rPr>
                <w:color w:val="000000"/>
                <w:sz w:val="18"/>
                <w:szCs w:val="18"/>
              </w:rPr>
              <w:t xml:space="preserve"> </w:t>
            </w:r>
            <w:r w:rsidR="0027359B" w:rsidRPr="007D66F8">
              <w:rPr>
                <w:color w:val="000000"/>
                <w:sz w:val="18"/>
                <w:szCs w:val="18"/>
              </w:rPr>
              <w:t>50.55</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23.24</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1964</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56.43</w:t>
            </w:r>
          </w:p>
        </w:tc>
        <w:tc>
          <w:tcPr>
            <w:tcW w:w="1283" w:type="dxa"/>
            <w:shd w:val="clear" w:color="auto" w:fill="auto"/>
            <w:noWrap/>
            <w:vAlign w:val="bottom"/>
          </w:tcPr>
          <w:p w:rsidR="0027359B" w:rsidRPr="007D66F8" w:rsidRDefault="002108D7" w:rsidP="00856EF9">
            <w:pPr>
              <w:pStyle w:val="Notes"/>
              <w:tabs>
                <w:tab w:val="decimal" w:pos="270"/>
              </w:tabs>
              <w:jc w:val="center"/>
              <w:rPr>
                <w:sz w:val="18"/>
                <w:szCs w:val="18"/>
              </w:rPr>
            </w:pPr>
            <w:r>
              <w:rPr>
                <w:color w:val="000000"/>
                <w:sz w:val="18"/>
                <w:szCs w:val="18"/>
              </w:rPr>
              <w:t xml:space="preserve"> </w:t>
            </w:r>
            <w:r w:rsidR="00856EF9">
              <w:rPr>
                <w:color w:val="000000"/>
                <w:sz w:val="18"/>
                <w:szCs w:val="18"/>
              </w:rPr>
              <w:t xml:space="preserve"> </w:t>
            </w:r>
            <w:r w:rsidR="00273075">
              <w:rPr>
                <w:color w:val="000000"/>
                <w:sz w:val="18"/>
                <w:szCs w:val="18"/>
              </w:rPr>
              <w:t xml:space="preserve"> </w:t>
            </w:r>
            <w:r w:rsidR="0027359B" w:rsidRPr="007D66F8">
              <w:rPr>
                <w:color w:val="000000"/>
                <w:sz w:val="18"/>
                <w:szCs w:val="18"/>
              </w:rPr>
              <w:t>52.48</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22.14</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1966</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51.93</w:t>
            </w:r>
          </w:p>
        </w:tc>
        <w:tc>
          <w:tcPr>
            <w:tcW w:w="1283" w:type="dxa"/>
            <w:shd w:val="clear" w:color="auto" w:fill="auto"/>
            <w:noWrap/>
            <w:vAlign w:val="bottom"/>
          </w:tcPr>
          <w:p w:rsidR="0027359B" w:rsidRPr="007D66F8" w:rsidRDefault="002108D7" w:rsidP="00856EF9">
            <w:pPr>
              <w:pStyle w:val="Notes"/>
              <w:tabs>
                <w:tab w:val="decimal" w:pos="270"/>
              </w:tabs>
              <w:jc w:val="center"/>
              <w:rPr>
                <w:sz w:val="18"/>
                <w:szCs w:val="18"/>
              </w:rPr>
            </w:pPr>
            <w:r>
              <w:rPr>
                <w:color w:val="000000"/>
                <w:sz w:val="18"/>
                <w:szCs w:val="18"/>
              </w:rPr>
              <w:t xml:space="preserve"> </w:t>
            </w:r>
            <w:r w:rsidR="00856EF9">
              <w:rPr>
                <w:color w:val="000000"/>
                <w:sz w:val="18"/>
                <w:szCs w:val="18"/>
              </w:rPr>
              <w:t xml:space="preserve"> </w:t>
            </w:r>
            <w:r w:rsidR="00273075">
              <w:rPr>
                <w:color w:val="000000"/>
                <w:sz w:val="18"/>
                <w:szCs w:val="18"/>
              </w:rPr>
              <w:t xml:space="preserve"> </w:t>
            </w:r>
            <w:r w:rsidR="0027359B" w:rsidRPr="007D66F8">
              <w:rPr>
                <w:color w:val="000000"/>
                <w:sz w:val="18"/>
                <w:szCs w:val="18"/>
              </w:rPr>
              <w:t>48.19</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21.87</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1968</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49.31</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45.5</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22.97</w:t>
            </w:r>
          </w:p>
        </w:tc>
      </w:tr>
      <w:tr w:rsidR="0027359B" w:rsidRPr="007D66F8" w:rsidTr="009E4CCD">
        <w:trPr>
          <w:trHeight w:val="324"/>
        </w:trPr>
        <w:tc>
          <w:tcPr>
            <w:tcW w:w="3658" w:type="dxa"/>
            <w:vMerge/>
            <w:tcBorders>
              <w:left w:val="nil"/>
            </w:tcBorders>
            <w:vAlign w:val="center"/>
          </w:tcPr>
          <w:p w:rsidR="0027359B" w:rsidRPr="007D66F8" w:rsidRDefault="0027359B" w:rsidP="001B3769">
            <w:pPr>
              <w:jc w:val="center"/>
              <w:rPr>
                <w:iCs/>
                <w:color w:val="000000"/>
                <w:sz w:val="18"/>
                <w:szCs w:val="18"/>
              </w:rPr>
            </w:pPr>
          </w:p>
        </w:tc>
        <w:tc>
          <w:tcPr>
            <w:tcW w:w="1201" w:type="dxa"/>
            <w:vAlign w:val="bottom"/>
          </w:tcPr>
          <w:p w:rsidR="0027359B" w:rsidRPr="007D66F8" w:rsidRDefault="0027359B" w:rsidP="00596E77">
            <w:pPr>
              <w:pStyle w:val="Notes"/>
              <w:jc w:val="center"/>
              <w:rPr>
                <w:sz w:val="18"/>
                <w:szCs w:val="18"/>
              </w:rPr>
            </w:pPr>
            <w:r w:rsidRPr="007D66F8">
              <w:rPr>
                <w:color w:val="000000"/>
                <w:sz w:val="18"/>
                <w:szCs w:val="18"/>
              </w:rPr>
              <w:t>1970</w:t>
            </w:r>
          </w:p>
        </w:tc>
        <w:tc>
          <w:tcPr>
            <w:tcW w:w="1229"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55.31</w:t>
            </w:r>
          </w:p>
        </w:tc>
        <w:tc>
          <w:tcPr>
            <w:tcW w:w="1283"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51</w:t>
            </w:r>
            <w:r w:rsidR="000731BE">
              <w:rPr>
                <w:color w:val="000000"/>
                <w:sz w:val="18"/>
                <w:szCs w:val="18"/>
              </w:rPr>
              <w:t>.0</w:t>
            </w:r>
          </w:p>
        </w:tc>
        <w:tc>
          <w:tcPr>
            <w:tcW w:w="1134" w:type="dxa"/>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23.17</w:t>
            </w:r>
          </w:p>
        </w:tc>
      </w:tr>
      <w:tr w:rsidR="0027359B" w:rsidRPr="007D66F8" w:rsidTr="009E4CCD">
        <w:trPr>
          <w:trHeight w:val="324"/>
        </w:trPr>
        <w:tc>
          <w:tcPr>
            <w:tcW w:w="3658" w:type="dxa"/>
            <w:vMerge/>
            <w:tcBorders>
              <w:left w:val="nil"/>
              <w:bottom w:val="single" w:sz="4" w:space="0" w:color="auto"/>
            </w:tcBorders>
            <w:vAlign w:val="center"/>
          </w:tcPr>
          <w:p w:rsidR="0027359B" w:rsidRPr="007D66F8" w:rsidRDefault="0027359B" w:rsidP="001B3769">
            <w:pPr>
              <w:jc w:val="center"/>
              <w:rPr>
                <w:iCs/>
                <w:color w:val="000000"/>
                <w:sz w:val="18"/>
                <w:szCs w:val="18"/>
              </w:rPr>
            </w:pPr>
          </w:p>
        </w:tc>
        <w:tc>
          <w:tcPr>
            <w:tcW w:w="1201" w:type="dxa"/>
            <w:tcBorders>
              <w:bottom w:val="single" w:sz="4" w:space="0" w:color="auto"/>
            </w:tcBorders>
            <w:vAlign w:val="bottom"/>
          </w:tcPr>
          <w:p w:rsidR="0027359B" w:rsidRPr="007D66F8" w:rsidRDefault="0027359B" w:rsidP="00596E77">
            <w:pPr>
              <w:pStyle w:val="Notes"/>
              <w:jc w:val="center"/>
              <w:rPr>
                <w:sz w:val="18"/>
                <w:szCs w:val="18"/>
              </w:rPr>
            </w:pPr>
            <w:r w:rsidRPr="007D66F8">
              <w:rPr>
                <w:color w:val="000000"/>
                <w:sz w:val="18"/>
                <w:szCs w:val="18"/>
              </w:rPr>
              <w:t>1972</w:t>
            </w:r>
          </w:p>
        </w:tc>
        <w:tc>
          <w:tcPr>
            <w:tcW w:w="1229" w:type="dxa"/>
            <w:tcBorders>
              <w:bottom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52.43</w:t>
            </w:r>
          </w:p>
        </w:tc>
        <w:tc>
          <w:tcPr>
            <w:tcW w:w="1283" w:type="dxa"/>
            <w:tcBorders>
              <w:bottom w:val="single" w:sz="4" w:space="0" w:color="auto"/>
            </w:tcBorders>
            <w:shd w:val="clear" w:color="auto" w:fill="auto"/>
            <w:noWrap/>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48.5</w:t>
            </w:r>
          </w:p>
        </w:tc>
        <w:tc>
          <w:tcPr>
            <w:tcW w:w="1134" w:type="dxa"/>
            <w:tcBorders>
              <w:bottom w:val="single" w:sz="4" w:space="0" w:color="auto"/>
            </w:tcBorders>
            <w:shd w:val="clear" w:color="auto" w:fill="auto"/>
            <w:noWrap/>
            <w:tcMar>
              <w:left w:w="0" w:type="dxa"/>
              <w:bottom w:w="80" w:type="dxa"/>
              <w:right w:w="0" w:type="dxa"/>
            </w:tcMar>
            <w:vAlign w:val="bottom"/>
          </w:tcPr>
          <w:p w:rsidR="0027359B" w:rsidRPr="007D66F8" w:rsidRDefault="0027359B" w:rsidP="00856EF9">
            <w:pPr>
              <w:pStyle w:val="Notes"/>
              <w:tabs>
                <w:tab w:val="decimal" w:pos="270"/>
              </w:tabs>
              <w:jc w:val="center"/>
              <w:rPr>
                <w:sz w:val="18"/>
                <w:szCs w:val="18"/>
              </w:rPr>
            </w:pPr>
            <w:r w:rsidRPr="007D66F8">
              <w:rPr>
                <w:color w:val="000000"/>
                <w:sz w:val="18"/>
                <w:szCs w:val="18"/>
              </w:rPr>
              <w:t>24.38</w:t>
            </w:r>
          </w:p>
        </w:tc>
      </w:tr>
    </w:tbl>
    <w:p w:rsidR="00501A7F" w:rsidRDefault="000E4591" w:rsidP="000E5437">
      <w:pPr>
        <w:pStyle w:val="Notes"/>
        <w:ind w:left="-840" w:right="-720"/>
        <w:rPr>
          <w:sz w:val="18"/>
          <w:szCs w:val="18"/>
        </w:rPr>
      </w:pPr>
      <w:r w:rsidRPr="000E4591">
        <w:rPr>
          <w:i/>
          <w:sz w:val="18"/>
          <w:szCs w:val="18"/>
        </w:rPr>
        <w:t>Note</w:t>
      </w:r>
      <w:r>
        <w:rPr>
          <w:sz w:val="18"/>
          <w:szCs w:val="18"/>
        </w:rPr>
        <w:t xml:space="preserve">: </w:t>
      </w:r>
      <w:r w:rsidR="0027359B" w:rsidRPr="007D66F8">
        <w:rPr>
          <w:sz w:val="18"/>
          <w:szCs w:val="18"/>
        </w:rPr>
        <w:t xml:space="preserve">Summary statistics for a balanced panel of 2,585 counties in the 48 contiguous states (excludes Alaska, Hawaii, and District of Columbia). </w:t>
      </w:r>
    </w:p>
    <w:p w:rsidR="0027359B" w:rsidRPr="007D66F8" w:rsidRDefault="0027359B" w:rsidP="000E5437">
      <w:pPr>
        <w:pStyle w:val="Notes"/>
        <w:ind w:hanging="840"/>
        <w:rPr>
          <w:sz w:val="18"/>
          <w:szCs w:val="18"/>
        </w:rPr>
      </w:pPr>
      <w:r w:rsidRPr="000E4591">
        <w:rPr>
          <w:i/>
          <w:sz w:val="18"/>
          <w:szCs w:val="18"/>
        </w:rPr>
        <w:t>Source</w:t>
      </w:r>
      <w:r w:rsidRPr="007D66F8">
        <w:rPr>
          <w:sz w:val="18"/>
          <w:szCs w:val="18"/>
        </w:rPr>
        <w:t>:</w:t>
      </w:r>
      <w:r w:rsidR="002108D7">
        <w:rPr>
          <w:sz w:val="18"/>
          <w:szCs w:val="18"/>
        </w:rPr>
        <w:t xml:space="preserve"> </w:t>
      </w:r>
      <w:proofErr w:type="spellStart"/>
      <w:r w:rsidRPr="007D66F8">
        <w:rPr>
          <w:sz w:val="18"/>
          <w:szCs w:val="18"/>
        </w:rPr>
        <w:t>Clubb</w:t>
      </w:r>
      <w:proofErr w:type="spellEnd"/>
      <w:r w:rsidRPr="007D66F8">
        <w:rPr>
          <w:sz w:val="18"/>
          <w:szCs w:val="18"/>
        </w:rPr>
        <w:t xml:space="preserve">, </w:t>
      </w:r>
      <w:proofErr w:type="spellStart"/>
      <w:r w:rsidRPr="007D66F8">
        <w:rPr>
          <w:sz w:val="18"/>
          <w:szCs w:val="18"/>
        </w:rPr>
        <w:t>Flanigan</w:t>
      </w:r>
      <w:proofErr w:type="spellEnd"/>
      <w:r w:rsidR="00B93351">
        <w:rPr>
          <w:sz w:val="18"/>
          <w:szCs w:val="18"/>
        </w:rPr>
        <w:t>,</w:t>
      </w:r>
      <w:r w:rsidRPr="007D66F8">
        <w:rPr>
          <w:sz w:val="18"/>
          <w:szCs w:val="18"/>
        </w:rPr>
        <w:t xml:space="preserve"> and </w:t>
      </w:r>
      <w:proofErr w:type="spellStart"/>
      <w:r w:rsidRPr="007D66F8">
        <w:rPr>
          <w:sz w:val="18"/>
          <w:szCs w:val="18"/>
        </w:rPr>
        <w:t>Zingale</w:t>
      </w:r>
      <w:proofErr w:type="spellEnd"/>
      <w:r w:rsidRPr="007D66F8">
        <w:rPr>
          <w:sz w:val="18"/>
          <w:szCs w:val="18"/>
        </w:rPr>
        <w:t xml:space="preserve"> (2006). </w:t>
      </w:r>
    </w:p>
    <w:p w:rsidR="00481CBE" w:rsidRDefault="00810FAE" w:rsidP="00810FAE">
      <w:pPr>
        <w:jc w:val="center"/>
        <w:rPr>
          <w:sz w:val="22"/>
        </w:rPr>
      </w:pPr>
      <w:r>
        <w:rPr>
          <w:sz w:val="22"/>
          <w:szCs w:val="22"/>
        </w:rPr>
        <w:br w:type="page"/>
      </w:r>
      <w:r>
        <w:rPr>
          <w:sz w:val="22"/>
        </w:rPr>
        <w:lastRenderedPageBreak/>
        <w:t xml:space="preserve">ADDITIONAL </w:t>
      </w:r>
      <w:r w:rsidR="00481CBE" w:rsidRPr="0080753B">
        <w:rPr>
          <w:sz w:val="22"/>
        </w:rPr>
        <w:t>REFERENCES</w:t>
      </w:r>
    </w:p>
    <w:p w:rsidR="00810FAE" w:rsidRDefault="00810FAE" w:rsidP="00481CBE">
      <w:pPr>
        <w:jc w:val="center"/>
        <w:rPr>
          <w:sz w:val="22"/>
        </w:rPr>
      </w:pPr>
      <w:r>
        <w:rPr>
          <w:sz w:val="22"/>
        </w:rPr>
        <w:t>(</w:t>
      </w:r>
      <w:proofErr w:type="gramStart"/>
      <w:r w:rsidR="00D53CAF">
        <w:rPr>
          <w:sz w:val="22"/>
        </w:rPr>
        <w:t>some</w:t>
      </w:r>
      <w:proofErr w:type="gramEnd"/>
      <w:r w:rsidR="00D53CAF">
        <w:rPr>
          <w:sz w:val="22"/>
        </w:rPr>
        <w:t xml:space="preserve"> </w:t>
      </w:r>
      <w:r>
        <w:rPr>
          <w:sz w:val="22"/>
        </w:rPr>
        <w:t>not in the main text)</w:t>
      </w:r>
    </w:p>
    <w:p w:rsidR="00481CBE" w:rsidRPr="0080753B" w:rsidRDefault="00481CBE" w:rsidP="00481CBE">
      <w:pPr>
        <w:jc w:val="center"/>
        <w:rPr>
          <w:sz w:val="20"/>
        </w:rPr>
      </w:pPr>
    </w:p>
    <w:p w:rsidR="0027359B" w:rsidRPr="003B6CC3" w:rsidRDefault="0027359B" w:rsidP="00481CBE">
      <w:pPr>
        <w:pStyle w:val="References"/>
        <w:spacing w:after="0"/>
        <w:ind w:left="400" w:hanging="400"/>
        <w:jc w:val="both"/>
      </w:pPr>
      <w:r w:rsidRPr="00EB4C43">
        <w:t xml:space="preserve">Abney, F. Glenn. </w:t>
      </w:r>
      <w:r w:rsidRPr="00EB4C43">
        <w:rPr>
          <w:i/>
          <w:iCs/>
        </w:rPr>
        <w:t>Mississippi Election Statistics, 1900–1967</w:t>
      </w:r>
      <w:r w:rsidRPr="00EB4C43">
        <w:t>. Jackson: Mississippi Bureau of Governmental Research, 1968.</w:t>
      </w:r>
    </w:p>
    <w:p w:rsidR="005A1DA9" w:rsidRPr="00A379B8" w:rsidRDefault="005A1DA9" w:rsidP="005A1DA9">
      <w:pPr>
        <w:pStyle w:val="References"/>
        <w:spacing w:after="0"/>
        <w:ind w:left="400" w:hanging="400"/>
        <w:jc w:val="both"/>
        <w:rPr>
          <w:szCs w:val="20"/>
        </w:rPr>
      </w:pPr>
      <w:proofErr w:type="gramStart"/>
      <w:r w:rsidRPr="00A379B8">
        <w:rPr>
          <w:szCs w:val="20"/>
        </w:rPr>
        <w:t xml:space="preserve">Alston, Lee J., and Joseph P. </w:t>
      </w:r>
      <w:proofErr w:type="spellStart"/>
      <w:r w:rsidRPr="00A379B8">
        <w:rPr>
          <w:szCs w:val="20"/>
        </w:rPr>
        <w:t>Ferrie</w:t>
      </w:r>
      <w:proofErr w:type="spellEnd"/>
      <w:r w:rsidRPr="00A379B8">
        <w:rPr>
          <w:szCs w:val="20"/>
        </w:rPr>
        <w:t>.</w:t>
      </w:r>
      <w:proofErr w:type="gramEnd"/>
      <w:r w:rsidRPr="00A379B8">
        <w:rPr>
          <w:szCs w:val="20"/>
        </w:rPr>
        <w:t xml:space="preserve"> </w:t>
      </w:r>
      <w:r w:rsidRPr="00A379B8">
        <w:rPr>
          <w:i/>
          <w:szCs w:val="20"/>
        </w:rPr>
        <w:t>Southern Paternalism and the American Welfare State: Economics, Politics, and the Institutions in the South, 1865</w:t>
      </w:r>
      <w:r>
        <w:rPr>
          <w:szCs w:val="20"/>
        </w:rPr>
        <w:t>–</w:t>
      </w:r>
      <w:r w:rsidRPr="00A379B8">
        <w:rPr>
          <w:i/>
          <w:szCs w:val="20"/>
        </w:rPr>
        <w:t>1965</w:t>
      </w:r>
      <w:r w:rsidRPr="00A379B8">
        <w:rPr>
          <w:szCs w:val="20"/>
        </w:rPr>
        <w:t>. Cambridge: Cambridge University Press, 1999.</w:t>
      </w:r>
    </w:p>
    <w:p w:rsidR="0027359B" w:rsidRDefault="0027359B" w:rsidP="005A1DA9">
      <w:pPr>
        <w:pStyle w:val="References"/>
        <w:spacing w:after="0"/>
        <w:ind w:left="400" w:hanging="400"/>
        <w:jc w:val="both"/>
      </w:pPr>
      <w:r>
        <w:t xml:space="preserve">Carter, Gregg Lee. </w:t>
      </w:r>
      <w:r w:rsidR="002108D7">
        <w:t>“</w:t>
      </w:r>
      <w:r w:rsidRPr="00315919">
        <w:t>The 1960s Black Riots Revisited: City Level Explanations of Their Severity</w:t>
      </w:r>
      <w:r>
        <w:t>.</w:t>
      </w:r>
      <w:r w:rsidR="002108D7">
        <w:t>”</w:t>
      </w:r>
      <w:r>
        <w:t xml:space="preserve"> </w:t>
      </w:r>
      <w:r w:rsidRPr="003874CD">
        <w:rPr>
          <w:i/>
        </w:rPr>
        <w:t>Sociological Inquiry</w:t>
      </w:r>
      <w:r>
        <w:t xml:space="preserve"> 56, no. 2 (1986): 210</w:t>
      </w:r>
      <w:r w:rsidR="00232D79">
        <w:rPr>
          <w:i/>
        </w:rPr>
        <w:t>–</w:t>
      </w:r>
      <w:r>
        <w:t>28.</w:t>
      </w:r>
    </w:p>
    <w:p w:rsidR="00037E7B" w:rsidRPr="00A379B8" w:rsidRDefault="00037E7B" w:rsidP="00037E7B">
      <w:pPr>
        <w:pStyle w:val="References"/>
        <w:spacing w:after="0"/>
        <w:ind w:left="400" w:hanging="400"/>
        <w:jc w:val="both"/>
        <w:rPr>
          <w:szCs w:val="20"/>
        </w:rPr>
      </w:pPr>
      <w:proofErr w:type="spellStart"/>
      <w:proofErr w:type="gramStart"/>
      <w:r w:rsidRPr="00A379B8">
        <w:rPr>
          <w:szCs w:val="20"/>
        </w:rPr>
        <w:t>Clubb</w:t>
      </w:r>
      <w:proofErr w:type="spellEnd"/>
      <w:r w:rsidRPr="00A379B8">
        <w:rPr>
          <w:szCs w:val="20"/>
        </w:rPr>
        <w:t xml:space="preserve">, Jerome M., William H. </w:t>
      </w:r>
      <w:proofErr w:type="spellStart"/>
      <w:r w:rsidRPr="00A379B8">
        <w:rPr>
          <w:szCs w:val="20"/>
        </w:rPr>
        <w:t>Flanigan</w:t>
      </w:r>
      <w:proofErr w:type="spellEnd"/>
      <w:r w:rsidRPr="00A379B8">
        <w:rPr>
          <w:szCs w:val="20"/>
        </w:rPr>
        <w:t xml:space="preserve">, and Nancy H. </w:t>
      </w:r>
      <w:proofErr w:type="spellStart"/>
      <w:r w:rsidRPr="00A379B8">
        <w:rPr>
          <w:szCs w:val="20"/>
        </w:rPr>
        <w:t>Zingale</w:t>
      </w:r>
      <w:proofErr w:type="spellEnd"/>
      <w:r w:rsidRPr="00A379B8">
        <w:rPr>
          <w:szCs w:val="20"/>
        </w:rPr>
        <w:t>.</w:t>
      </w:r>
      <w:proofErr w:type="gramEnd"/>
      <w:r w:rsidRPr="00A379B8">
        <w:rPr>
          <w:szCs w:val="20"/>
        </w:rPr>
        <w:t xml:space="preserve"> “Electoral Data </w:t>
      </w:r>
      <w:r w:rsidRPr="00525B5F">
        <w:rPr>
          <w:spacing w:val="8"/>
        </w:rPr>
        <w:br/>
      </w:r>
      <w:r w:rsidRPr="006C1050">
        <w:rPr>
          <w:spacing w:val="6"/>
          <w:szCs w:val="20"/>
        </w:rPr>
        <w:t xml:space="preserve">for Counties in the United States: Presidential and Congressional Races, </w:t>
      </w:r>
      <w:r w:rsidRPr="00525B5F">
        <w:rPr>
          <w:spacing w:val="8"/>
        </w:rPr>
        <w:br/>
      </w:r>
      <w:r w:rsidRPr="00A379B8">
        <w:rPr>
          <w:szCs w:val="20"/>
        </w:rPr>
        <w:t>1840</w:t>
      </w:r>
      <w:r>
        <w:rPr>
          <w:szCs w:val="20"/>
        </w:rPr>
        <w:t>–</w:t>
      </w:r>
      <w:r w:rsidRPr="00A379B8">
        <w:rPr>
          <w:szCs w:val="20"/>
        </w:rPr>
        <w:t xml:space="preserve">1972.” </w:t>
      </w:r>
      <w:proofErr w:type="gramStart"/>
      <w:r w:rsidRPr="00A379B8">
        <w:rPr>
          <w:szCs w:val="20"/>
        </w:rPr>
        <w:t>ICPSR08611-v1.</w:t>
      </w:r>
      <w:proofErr w:type="gramEnd"/>
      <w:r w:rsidRPr="00A379B8">
        <w:rPr>
          <w:szCs w:val="20"/>
        </w:rPr>
        <w:t xml:space="preserve"> Ann Arbor, MI: Inter-university Consortium for Political and Social Research [producer and distributor], 13 November 2006.</w:t>
      </w:r>
    </w:p>
    <w:p w:rsidR="00C62C32" w:rsidRPr="00A379B8" w:rsidRDefault="00C62C32" w:rsidP="00037E7B">
      <w:pPr>
        <w:pStyle w:val="References"/>
        <w:spacing w:after="0"/>
        <w:ind w:left="400" w:hanging="400"/>
        <w:jc w:val="both"/>
        <w:rPr>
          <w:szCs w:val="20"/>
        </w:rPr>
      </w:pPr>
      <w:proofErr w:type="gramStart"/>
      <w:r w:rsidRPr="00A379B8">
        <w:rPr>
          <w:szCs w:val="20"/>
        </w:rPr>
        <w:t>Collins, William J., and Robert A. Margo.</w:t>
      </w:r>
      <w:proofErr w:type="gramEnd"/>
      <w:r w:rsidRPr="00A379B8">
        <w:rPr>
          <w:szCs w:val="20"/>
        </w:rPr>
        <w:t xml:space="preserve"> “The Economic Aftermath of the 1960s </w:t>
      </w:r>
      <w:r w:rsidRPr="00F91BCF">
        <w:rPr>
          <w:spacing w:val="6"/>
          <w:szCs w:val="20"/>
        </w:rPr>
        <w:t xml:space="preserve">Riots in American Cities: Evidence from Property Values.” </w:t>
      </w:r>
      <w:r w:rsidRPr="00F91BCF">
        <w:rPr>
          <w:i/>
          <w:spacing w:val="6"/>
          <w:szCs w:val="20"/>
        </w:rPr>
        <w:t>The Journal of</w:t>
      </w:r>
      <w:r w:rsidRPr="00A379B8">
        <w:rPr>
          <w:i/>
          <w:szCs w:val="20"/>
        </w:rPr>
        <w:t xml:space="preserve"> Economic History</w:t>
      </w:r>
      <w:r w:rsidRPr="00A379B8">
        <w:rPr>
          <w:szCs w:val="20"/>
        </w:rPr>
        <w:t xml:space="preserve"> 67, no. 4 (2007): 849</w:t>
      </w:r>
      <w:r>
        <w:rPr>
          <w:szCs w:val="20"/>
        </w:rPr>
        <w:t>–</w:t>
      </w:r>
      <w:r w:rsidRPr="00A379B8">
        <w:rPr>
          <w:szCs w:val="20"/>
        </w:rPr>
        <w:t>83.</w:t>
      </w:r>
    </w:p>
    <w:p w:rsidR="0027359B" w:rsidRPr="00EB4C43" w:rsidRDefault="0027359B" w:rsidP="00C62C32">
      <w:pPr>
        <w:pStyle w:val="References"/>
        <w:spacing w:after="0"/>
        <w:ind w:left="400" w:hanging="400"/>
        <w:jc w:val="both"/>
      </w:pPr>
      <w:proofErr w:type="gramStart"/>
      <w:r w:rsidRPr="00EB4C43">
        <w:t>Community Services Administration.</w:t>
      </w:r>
      <w:proofErr w:type="gramEnd"/>
      <w:r w:rsidRPr="00EB4C43">
        <w:t xml:space="preserve"> </w:t>
      </w:r>
      <w:r w:rsidR="002108D7">
        <w:t>“</w:t>
      </w:r>
      <w:r w:rsidRPr="00EB4C43">
        <w:t>Census Tabulations by Income, Age, and Race, for Poor and Non-Poor by County File, 1960 (1960 Putnam File).</w:t>
      </w:r>
      <w:r w:rsidR="002108D7">
        <w:t>”</w:t>
      </w:r>
      <w:r w:rsidRPr="00EB4C43">
        <w:t xml:space="preserve"> Records of the Community Services Administration, Record Group 381. National Archives at College Park, Maryland, 1975. </w:t>
      </w:r>
    </w:p>
    <w:p w:rsidR="0027359B" w:rsidRPr="00D2182F" w:rsidRDefault="000465BE" w:rsidP="00481CBE">
      <w:pPr>
        <w:pStyle w:val="References"/>
        <w:spacing w:after="0"/>
        <w:ind w:left="400" w:hanging="400"/>
        <w:jc w:val="both"/>
      </w:pPr>
      <w:r w:rsidRPr="000465BE">
        <w:t>______.</w:t>
      </w:r>
      <w:r w:rsidR="002108D7">
        <w:t xml:space="preserve"> </w:t>
      </w:r>
      <w:r w:rsidR="0027359B" w:rsidRPr="00EB4C43">
        <w:t xml:space="preserve">Office of Management. Finance and Grants Management Division. </w:t>
      </w:r>
      <w:proofErr w:type="gramStart"/>
      <w:r w:rsidR="002108D7">
        <w:t>“</w:t>
      </w:r>
      <w:r w:rsidR="0027359B" w:rsidRPr="00EB4C43">
        <w:t>Records of the Community Services Administration.</w:t>
      </w:r>
      <w:r w:rsidR="002108D7">
        <w:t>”</w:t>
      </w:r>
      <w:proofErr w:type="gramEnd"/>
      <w:r w:rsidR="0027359B" w:rsidRPr="00EB4C43">
        <w:t xml:space="preserve"> Records about Community Action Program Grants and Grantees, Record Group 381. National Archives at College Park, Maryland, 1981.</w:t>
      </w:r>
      <w:r w:rsidR="0027359B" w:rsidRPr="00D2182F">
        <w:t xml:space="preserve"> </w:t>
      </w:r>
    </w:p>
    <w:p w:rsidR="00B01906" w:rsidRPr="00A379B8" w:rsidRDefault="00B01906" w:rsidP="00B44974">
      <w:pPr>
        <w:pStyle w:val="References"/>
        <w:spacing w:after="0"/>
        <w:ind w:left="400" w:hanging="400"/>
        <w:jc w:val="both"/>
        <w:rPr>
          <w:szCs w:val="20"/>
        </w:rPr>
      </w:pPr>
      <w:proofErr w:type="gramStart"/>
      <w:r w:rsidRPr="00A379B8">
        <w:rPr>
          <w:szCs w:val="20"/>
        </w:rPr>
        <w:t>Depew, Briggs, Price Fishback, and Paul Rhode.</w:t>
      </w:r>
      <w:proofErr w:type="gramEnd"/>
      <w:r w:rsidRPr="00A379B8">
        <w:rPr>
          <w:szCs w:val="20"/>
        </w:rPr>
        <w:t xml:space="preserve"> “New Deal or No Deal in the Cotton South: The Effect of the AAA on the Agricultural Labor Structure.” Mimeo, University of Arizona, Tucson, 27 April 2012.</w:t>
      </w:r>
    </w:p>
    <w:p w:rsidR="0072665C" w:rsidRPr="00B01A0A" w:rsidRDefault="0072665C" w:rsidP="0020633B">
      <w:pPr>
        <w:pStyle w:val="References"/>
        <w:spacing w:after="0"/>
        <w:ind w:left="400" w:hanging="400"/>
        <w:jc w:val="both"/>
        <w:rPr>
          <w:rFonts w:cs="Times New Roman"/>
          <w:szCs w:val="20"/>
        </w:rPr>
      </w:pPr>
      <w:proofErr w:type="gramStart"/>
      <w:r w:rsidRPr="00B01A0A">
        <w:rPr>
          <w:rFonts w:cs="Times New Roman"/>
          <w:szCs w:val="20"/>
        </w:rPr>
        <w:t>Price V. Fishback and Michael R. Haines and Paul W. Rhode.</w:t>
      </w:r>
      <w:proofErr w:type="gramEnd"/>
      <w:r w:rsidRPr="00B01A0A">
        <w:rPr>
          <w:rFonts w:cs="Times New Roman"/>
          <w:szCs w:val="20"/>
        </w:rPr>
        <w:t xml:space="preserve"> </w:t>
      </w:r>
      <w:r w:rsidR="00207FD5">
        <w:rPr>
          <w:rFonts w:cs="Times New Roman"/>
          <w:szCs w:val="20"/>
        </w:rPr>
        <w:t>“</w:t>
      </w:r>
      <w:r w:rsidRPr="00B01A0A">
        <w:rPr>
          <w:rFonts w:cs="Times New Roman"/>
          <w:szCs w:val="20"/>
        </w:rPr>
        <w:t xml:space="preserve">Data Entered from </w:t>
      </w:r>
      <w:r w:rsidR="00207FD5" w:rsidRPr="00525B5F">
        <w:rPr>
          <w:spacing w:val="8"/>
        </w:rPr>
        <w:br/>
      </w:r>
      <w:r w:rsidRPr="00B01A0A">
        <w:rPr>
          <w:rFonts w:cs="Times New Roman"/>
          <w:szCs w:val="20"/>
        </w:rPr>
        <w:t>the Agricultural Censuses of 1930, 1935, and 1940.</w:t>
      </w:r>
      <w:r w:rsidR="00207FD5">
        <w:rPr>
          <w:rFonts w:cs="Times New Roman"/>
          <w:szCs w:val="20"/>
        </w:rPr>
        <w:t>”</w:t>
      </w:r>
      <w:r w:rsidRPr="00B01A0A">
        <w:rPr>
          <w:rFonts w:cs="Times New Roman"/>
          <w:szCs w:val="20"/>
        </w:rPr>
        <w:t xml:space="preserve"> </w:t>
      </w:r>
      <w:proofErr w:type="gramStart"/>
      <w:r w:rsidRPr="00B01A0A">
        <w:rPr>
          <w:rFonts w:cs="Times New Roman"/>
          <w:szCs w:val="20"/>
        </w:rPr>
        <w:t>Shared by personal correspondence, June 2012.</w:t>
      </w:r>
      <w:proofErr w:type="gramEnd"/>
    </w:p>
    <w:p w:rsidR="0020633B" w:rsidRPr="00B01A0A" w:rsidRDefault="0020633B" w:rsidP="0020633B">
      <w:pPr>
        <w:pStyle w:val="References"/>
        <w:spacing w:after="0"/>
        <w:ind w:left="400" w:hanging="400"/>
        <w:jc w:val="both"/>
        <w:rPr>
          <w:rFonts w:cs="Times New Roman"/>
          <w:w w:val="95"/>
          <w:szCs w:val="20"/>
        </w:rPr>
      </w:pPr>
      <w:proofErr w:type="gramStart"/>
      <w:r w:rsidRPr="00B01A0A">
        <w:rPr>
          <w:rFonts w:cs="Times New Roman"/>
          <w:w w:val="95"/>
          <w:szCs w:val="20"/>
        </w:rPr>
        <w:t>Fishback, Price, Shawn Kantor, and John Wallis.</w:t>
      </w:r>
      <w:proofErr w:type="gramEnd"/>
      <w:r w:rsidRPr="00B01A0A">
        <w:rPr>
          <w:rFonts w:cs="Times New Roman"/>
          <w:w w:val="95"/>
          <w:szCs w:val="20"/>
        </w:rPr>
        <w:t xml:space="preserve"> “Can the New Deal’s Three R’s Be Rehabilitated? </w:t>
      </w:r>
      <w:proofErr w:type="gramStart"/>
      <w:r w:rsidRPr="00B01A0A">
        <w:rPr>
          <w:rFonts w:cs="Times New Roman"/>
          <w:w w:val="95"/>
          <w:szCs w:val="20"/>
        </w:rPr>
        <w:t>A Program-by-Program, County-by-County Analysis.”</w:t>
      </w:r>
      <w:proofErr w:type="gramEnd"/>
      <w:r w:rsidRPr="00B01A0A">
        <w:rPr>
          <w:rFonts w:cs="Times New Roman"/>
          <w:w w:val="95"/>
          <w:szCs w:val="20"/>
        </w:rPr>
        <w:t xml:space="preserve"> </w:t>
      </w:r>
      <w:r w:rsidRPr="00B01A0A">
        <w:rPr>
          <w:rFonts w:cs="Times New Roman"/>
          <w:i/>
          <w:w w:val="95"/>
          <w:szCs w:val="20"/>
        </w:rPr>
        <w:t>Explorations in Economic History</w:t>
      </w:r>
      <w:r w:rsidRPr="00B01A0A">
        <w:rPr>
          <w:rFonts w:cs="Times New Roman"/>
          <w:w w:val="95"/>
          <w:szCs w:val="20"/>
        </w:rPr>
        <w:t xml:space="preserve"> 40, no. </w:t>
      </w:r>
      <w:r w:rsidR="0018195E" w:rsidRPr="00B01A0A">
        <w:rPr>
          <w:rFonts w:cs="Times New Roman"/>
          <w:w w:val="95"/>
          <w:szCs w:val="20"/>
        </w:rPr>
        <w:t>3</w:t>
      </w:r>
      <w:r w:rsidRPr="00B01A0A">
        <w:rPr>
          <w:rFonts w:cs="Times New Roman"/>
          <w:w w:val="95"/>
          <w:szCs w:val="20"/>
        </w:rPr>
        <w:t xml:space="preserve"> (2003): 278–307. </w:t>
      </w:r>
    </w:p>
    <w:p w:rsidR="00356524" w:rsidRPr="00B01A0A" w:rsidRDefault="00356524" w:rsidP="0020633B">
      <w:pPr>
        <w:pStyle w:val="References"/>
        <w:spacing w:after="0"/>
        <w:ind w:left="400" w:hanging="400"/>
        <w:jc w:val="both"/>
        <w:rPr>
          <w:rFonts w:cs="Times New Roman"/>
          <w:szCs w:val="20"/>
        </w:rPr>
      </w:pPr>
      <w:r w:rsidRPr="00B01A0A">
        <w:rPr>
          <w:rFonts w:cs="Times New Roman"/>
          <w:szCs w:val="20"/>
        </w:rPr>
        <w:t xml:space="preserve">Haines, Michael R. “Historical, Demographic, Economic, and Social Data: The United </w:t>
      </w:r>
      <w:r w:rsidRPr="00B01A0A">
        <w:rPr>
          <w:rFonts w:cs="Times New Roman"/>
          <w:spacing w:val="6"/>
          <w:szCs w:val="20"/>
        </w:rPr>
        <w:t xml:space="preserve">States, 1790–2002” [Computer file]. </w:t>
      </w:r>
      <w:proofErr w:type="gramStart"/>
      <w:r w:rsidRPr="00B01A0A">
        <w:rPr>
          <w:rFonts w:cs="Times New Roman"/>
          <w:spacing w:val="6"/>
          <w:szCs w:val="20"/>
        </w:rPr>
        <w:t>ICPSR02896-v3.</w:t>
      </w:r>
      <w:proofErr w:type="gramEnd"/>
      <w:r w:rsidRPr="00B01A0A">
        <w:rPr>
          <w:rFonts w:cs="Times New Roman"/>
          <w:spacing w:val="6"/>
          <w:szCs w:val="20"/>
        </w:rPr>
        <w:t xml:space="preserve"> Ann Arbor, MI: Inter-</w:t>
      </w:r>
      <w:r w:rsidRPr="00B01A0A">
        <w:rPr>
          <w:rFonts w:cs="Times New Roman"/>
          <w:szCs w:val="20"/>
        </w:rPr>
        <w:t xml:space="preserve">university Consortium for Political and Social Research [distributor], </w:t>
      </w:r>
      <w:r w:rsidR="00E937A0" w:rsidRPr="00B01A0A">
        <w:rPr>
          <w:rFonts w:cs="Times New Roman"/>
          <w:szCs w:val="20"/>
        </w:rPr>
        <w:t>2010</w:t>
      </w:r>
      <w:r w:rsidRPr="00B01A0A">
        <w:rPr>
          <w:rFonts w:cs="Times New Roman"/>
          <w:szCs w:val="20"/>
        </w:rPr>
        <w:t xml:space="preserve">. </w:t>
      </w:r>
    </w:p>
    <w:p w:rsidR="0027359B" w:rsidRPr="00B01A0A" w:rsidRDefault="00356524" w:rsidP="00481CBE">
      <w:pPr>
        <w:pStyle w:val="References"/>
        <w:spacing w:after="0"/>
        <w:ind w:left="400" w:hanging="400"/>
        <w:jc w:val="both"/>
        <w:rPr>
          <w:rFonts w:cs="Times New Roman"/>
          <w:szCs w:val="20"/>
        </w:rPr>
      </w:pPr>
      <w:proofErr w:type="gramStart"/>
      <w:r w:rsidRPr="00B01A0A">
        <w:rPr>
          <w:rFonts w:cs="Times New Roman"/>
          <w:szCs w:val="20"/>
        </w:rPr>
        <w:t>Inter-university Consortium for Political and Social Research</w:t>
      </w:r>
      <w:r w:rsidR="0027359B" w:rsidRPr="00B01A0A">
        <w:rPr>
          <w:rFonts w:cs="Times New Roman"/>
          <w:szCs w:val="20"/>
        </w:rPr>
        <w:t>.</w:t>
      </w:r>
      <w:proofErr w:type="gramEnd"/>
      <w:r w:rsidR="0027359B" w:rsidRPr="00B01A0A">
        <w:rPr>
          <w:rFonts w:cs="Times New Roman"/>
          <w:szCs w:val="20"/>
        </w:rPr>
        <w:t xml:space="preserve"> </w:t>
      </w:r>
      <w:proofErr w:type="gramStart"/>
      <w:r w:rsidR="002108D7" w:rsidRPr="00B01A0A">
        <w:rPr>
          <w:rFonts w:cs="Times New Roman"/>
          <w:szCs w:val="20"/>
        </w:rPr>
        <w:t>“</w:t>
      </w:r>
      <w:r w:rsidR="0027359B" w:rsidRPr="00B01A0A">
        <w:rPr>
          <w:rFonts w:cs="Times New Roman"/>
          <w:szCs w:val="20"/>
        </w:rPr>
        <w:t>General Election Data for the United States, 1950</w:t>
      </w:r>
      <w:r w:rsidR="006D73C0" w:rsidRPr="00B01A0A">
        <w:rPr>
          <w:rFonts w:cs="Times New Roman"/>
          <w:i/>
          <w:szCs w:val="20"/>
        </w:rPr>
        <w:t>–</w:t>
      </w:r>
      <w:r w:rsidR="0027359B" w:rsidRPr="00B01A0A">
        <w:rPr>
          <w:rFonts w:cs="Times New Roman"/>
          <w:szCs w:val="20"/>
        </w:rPr>
        <w:t>1990</w:t>
      </w:r>
      <w:r w:rsidR="002108D7" w:rsidRPr="00B01A0A">
        <w:rPr>
          <w:rFonts w:cs="Times New Roman"/>
          <w:szCs w:val="20"/>
        </w:rPr>
        <w:t>”</w:t>
      </w:r>
      <w:r w:rsidR="0027359B" w:rsidRPr="00B01A0A">
        <w:rPr>
          <w:rFonts w:cs="Times New Roman"/>
          <w:szCs w:val="20"/>
        </w:rPr>
        <w:t xml:space="preserve"> [Computer file].</w:t>
      </w:r>
      <w:proofErr w:type="gramEnd"/>
      <w:r w:rsidR="0027359B" w:rsidRPr="00B01A0A">
        <w:rPr>
          <w:rFonts w:cs="Times New Roman"/>
          <w:szCs w:val="20"/>
        </w:rPr>
        <w:t xml:space="preserve"> </w:t>
      </w:r>
      <w:proofErr w:type="gramStart"/>
      <w:r w:rsidR="0027359B" w:rsidRPr="00B01A0A">
        <w:rPr>
          <w:rFonts w:cs="Times New Roman"/>
          <w:szCs w:val="20"/>
        </w:rPr>
        <w:t>ICPSR00013-v1.</w:t>
      </w:r>
      <w:proofErr w:type="gramEnd"/>
      <w:r w:rsidR="0027359B" w:rsidRPr="00B01A0A">
        <w:rPr>
          <w:rFonts w:cs="Times New Roman"/>
          <w:szCs w:val="20"/>
        </w:rPr>
        <w:t xml:space="preserve"> Ann Arbor, MI: Inter-university Consortium for Political and Social Research [producer and distributor], 1995.</w:t>
      </w:r>
    </w:p>
    <w:p w:rsidR="0072665C" w:rsidRPr="00B01A0A" w:rsidRDefault="0072665C" w:rsidP="00481CBE">
      <w:pPr>
        <w:pStyle w:val="References"/>
        <w:spacing w:after="0"/>
        <w:ind w:left="400" w:hanging="400"/>
        <w:jc w:val="both"/>
        <w:rPr>
          <w:rFonts w:cs="Times New Roman"/>
          <w:szCs w:val="20"/>
        </w:rPr>
      </w:pPr>
      <w:r w:rsidRPr="00B01A0A">
        <w:rPr>
          <w:rFonts w:cs="Times New Roman"/>
          <w:szCs w:val="20"/>
        </w:rPr>
        <w:t>Inter-university Consortium for Political and Social Research and Congressional Quarterly, Inc. United States Congressional roll call voting records, 1789-1998.ICPSR00004-v3. Ann Arbor, MI: Inter-university Consortium for Political and Social Research [distributor], 2010-05-06. doi:10.3886/ICPSR00004.v.3</w:t>
      </w:r>
    </w:p>
    <w:p w:rsidR="0027359B" w:rsidRDefault="0027359B" w:rsidP="00481CBE">
      <w:pPr>
        <w:pStyle w:val="References"/>
        <w:spacing w:after="0"/>
        <w:ind w:left="400" w:hanging="400"/>
        <w:jc w:val="both"/>
      </w:pPr>
      <w:proofErr w:type="gramStart"/>
      <w:r w:rsidRPr="007854F3">
        <w:t>Inter-university Consortium for Political and Social Research, and Carroll McKibbin.</w:t>
      </w:r>
      <w:proofErr w:type="gramEnd"/>
      <w:r w:rsidRPr="007854F3">
        <w:t xml:space="preserve"> </w:t>
      </w:r>
      <w:r w:rsidRPr="00FF6365">
        <w:rPr>
          <w:spacing w:val="6"/>
        </w:rPr>
        <w:t xml:space="preserve">Roster of United States Congressional Officeholders and Biographical </w:t>
      </w:r>
      <w:r w:rsidRPr="007854F3">
        <w:t>Characteristics of Members of the United States Congress, 1789</w:t>
      </w:r>
      <w:r w:rsidR="006C0210">
        <w:rPr>
          <w:i/>
        </w:rPr>
        <w:t>–</w:t>
      </w:r>
      <w:r w:rsidRPr="007854F3">
        <w:t xml:space="preserve">1996: Merged </w:t>
      </w:r>
      <w:r w:rsidRPr="00FF6365">
        <w:rPr>
          <w:spacing w:val="6"/>
        </w:rPr>
        <w:t>Data. ICPSR07803-v10. Ann Arbor, MI: Inter-university Consortium for</w:t>
      </w:r>
      <w:r w:rsidRPr="007854F3">
        <w:t xml:space="preserve"> Political and Socia</w:t>
      </w:r>
      <w:r w:rsidR="00FF6365">
        <w:t>l Research [distributor], 1997.</w:t>
      </w:r>
    </w:p>
    <w:p w:rsidR="0027359B" w:rsidRPr="00D2182F" w:rsidRDefault="0027359B" w:rsidP="00481CBE">
      <w:pPr>
        <w:pStyle w:val="References"/>
        <w:spacing w:after="0"/>
        <w:ind w:left="400" w:hanging="400"/>
        <w:jc w:val="both"/>
      </w:pPr>
      <w:r w:rsidRPr="00285820">
        <w:rPr>
          <w:spacing w:val="6"/>
        </w:rPr>
        <w:lastRenderedPageBreak/>
        <w:t xml:space="preserve">Nelson, Garrison. </w:t>
      </w:r>
      <w:r w:rsidRPr="00285820">
        <w:rPr>
          <w:i/>
          <w:spacing w:val="6"/>
        </w:rPr>
        <w:t>Committees in the U.S. Congress, 1947</w:t>
      </w:r>
      <w:r w:rsidR="00E16820" w:rsidRPr="00285820">
        <w:rPr>
          <w:i/>
          <w:spacing w:val="6"/>
        </w:rPr>
        <w:t>–</w:t>
      </w:r>
      <w:r w:rsidRPr="00285820">
        <w:rPr>
          <w:i/>
          <w:spacing w:val="6"/>
        </w:rPr>
        <w:t>1992</w:t>
      </w:r>
      <w:r w:rsidRPr="00285820">
        <w:rPr>
          <w:spacing w:val="6"/>
        </w:rPr>
        <w:t xml:space="preserve">. </w:t>
      </w:r>
      <w:r w:rsidRPr="00285820">
        <w:rPr>
          <w:i/>
          <w:spacing w:val="6"/>
        </w:rPr>
        <w:t>Congressional</w:t>
      </w:r>
      <w:r w:rsidRPr="00EB4C43">
        <w:rPr>
          <w:i/>
        </w:rPr>
        <w:t xml:space="preserve"> Quarterly</w:t>
      </w:r>
      <w:r w:rsidRPr="00EB4C43">
        <w:t>, 1993.</w:t>
      </w:r>
      <w:r w:rsidRPr="00D2182F">
        <w:t xml:space="preserve"> </w:t>
      </w:r>
      <w:r w:rsidRPr="009B4ED4">
        <w:t>Data</w:t>
      </w:r>
      <w:r>
        <w:t xml:space="preserve"> taken from accompanying data file </w:t>
      </w:r>
      <w:r w:rsidR="00802976">
        <w:t>available online at</w:t>
      </w:r>
      <w:r>
        <w:t xml:space="preserve"> </w:t>
      </w:r>
      <w:r w:rsidRPr="00EB4C43">
        <w:t>http://web.mit.edu/17.251/www/data_page.html (accessed March 2012).</w:t>
      </w:r>
    </w:p>
    <w:p w:rsidR="0024124A" w:rsidRDefault="0024124A" w:rsidP="0024124A">
      <w:pPr>
        <w:pStyle w:val="References"/>
        <w:spacing w:after="0"/>
        <w:ind w:left="400" w:hanging="400"/>
        <w:jc w:val="both"/>
        <w:rPr>
          <w:w w:val="98"/>
          <w:szCs w:val="20"/>
        </w:rPr>
      </w:pPr>
      <w:proofErr w:type="gramStart"/>
      <w:r w:rsidRPr="00402616">
        <w:rPr>
          <w:w w:val="98"/>
          <w:szCs w:val="20"/>
        </w:rPr>
        <w:t>Office of Economic Opportunity.</w:t>
      </w:r>
      <w:proofErr w:type="gramEnd"/>
      <w:r w:rsidRPr="00402616">
        <w:rPr>
          <w:w w:val="98"/>
          <w:szCs w:val="20"/>
        </w:rPr>
        <w:t xml:space="preserve"> </w:t>
      </w:r>
      <w:proofErr w:type="gramStart"/>
      <w:r w:rsidRPr="00402616">
        <w:rPr>
          <w:i/>
          <w:iCs/>
          <w:w w:val="98"/>
          <w:szCs w:val="20"/>
        </w:rPr>
        <w:t>Annual Reports.</w:t>
      </w:r>
      <w:proofErr w:type="gramEnd"/>
      <w:r w:rsidRPr="00402616">
        <w:rPr>
          <w:w w:val="98"/>
          <w:szCs w:val="20"/>
        </w:rPr>
        <w:t xml:space="preserve"> Washington, DC: GPO, 1965–1968.</w:t>
      </w:r>
    </w:p>
    <w:p w:rsidR="0027359B" w:rsidRPr="00D2182F" w:rsidRDefault="0027359B" w:rsidP="0024124A">
      <w:pPr>
        <w:pStyle w:val="References"/>
        <w:spacing w:after="0"/>
        <w:ind w:left="400" w:hanging="400"/>
        <w:jc w:val="both"/>
      </w:pPr>
      <w:proofErr w:type="spellStart"/>
      <w:r w:rsidRPr="00EB4C43">
        <w:t>Ruggles</w:t>
      </w:r>
      <w:proofErr w:type="spellEnd"/>
      <w:r w:rsidRPr="00EB4C43">
        <w:t>,</w:t>
      </w:r>
      <w:r w:rsidRPr="00EB4C43">
        <w:rPr>
          <w:b/>
        </w:rPr>
        <w:t xml:space="preserve"> </w:t>
      </w:r>
      <w:r w:rsidRPr="00EB4C43">
        <w:t xml:space="preserve">Steven, et al. </w:t>
      </w:r>
      <w:r w:rsidRPr="00EB4C43">
        <w:rPr>
          <w:i/>
        </w:rPr>
        <w:t>Integrated Public Use Microdata Series: Version 5.0</w:t>
      </w:r>
      <w:r w:rsidRPr="00EB4C43">
        <w:t xml:space="preserve"> [machine-readable database]. Minneapolis: University of Minnesota, 2010.</w:t>
      </w:r>
    </w:p>
    <w:p w:rsidR="0027359B" w:rsidRPr="00EB4C43" w:rsidRDefault="0027359B" w:rsidP="00481CBE">
      <w:pPr>
        <w:pStyle w:val="References"/>
        <w:spacing w:after="0"/>
        <w:ind w:left="400" w:hanging="400"/>
        <w:jc w:val="both"/>
      </w:pPr>
      <w:proofErr w:type="spellStart"/>
      <w:r w:rsidRPr="00EB4C43">
        <w:t>Siczewicz</w:t>
      </w:r>
      <w:proofErr w:type="spellEnd"/>
      <w:r w:rsidRPr="00EB4C43">
        <w:t xml:space="preserve">, Peter. </w:t>
      </w:r>
      <w:r w:rsidR="002108D7">
        <w:t>“</w:t>
      </w:r>
      <w:r w:rsidRPr="00EB4C43">
        <w:t>U.S. Historical Counties</w:t>
      </w:r>
      <w:r w:rsidR="00EE0367">
        <w:t>:</w:t>
      </w:r>
      <w:r w:rsidRPr="00EB4C43">
        <w:t xml:space="preserve"> Data</w:t>
      </w:r>
      <w:r w:rsidR="00EE0367">
        <w:t xml:space="preserve"> </w:t>
      </w:r>
      <w:r w:rsidR="00EE0367" w:rsidRPr="00EB4C43">
        <w:t>S</w:t>
      </w:r>
      <w:r w:rsidRPr="00EB4C43">
        <w:t>et.</w:t>
      </w:r>
      <w:r w:rsidR="002108D7">
        <w:t>”</w:t>
      </w:r>
      <w:r w:rsidRPr="00EB4C43">
        <w:t xml:space="preserve"> </w:t>
      </w:r>
      <w:r w:rsidRPr="00EB4C43">
        <w:rPr>
          <w:i/>
        </w:rPr>
        <w:t xml:space="preserve">Atlas of Historical County </w:t>
      </w:r>
      <w:r w:rsidRPr="00695507">
        <w:rPr>
          <w:i/>
          <w:spacing w:val="6"/>
        </w:rPr>
        <w:t>Boundaries</w:t>
      </w:r>
      <w:r w:rsidRPr="00695507">
        <w:rPr>
          <w:spacing w:val="6"/>
        </w:rPr>
        <w:t>, edited by John H. Long. Chicago: Newberry Library, 2011.</w:t>
      </w:r>
      <w:r w:rsidRPr="00EB4C43">
        <w:t xml:space="preserve"> http://publications.newberry.org/ahcbp (accessed August 2013).</w:t>
      </w:r>
    </w:p>
    <w:p w:rsidR="004832EE" w:rsidRPr="00EB4C43" w:rsidRDefault="004832EE" w:rsidP="004832EE">
      <w:pPr>
        <w:pStyle w:val="References"/>
        <w:spacing w:after="0"/>
        <w:ind w:left="400" w:hanging="400"/>
        <w:jc w:val="both"/>
      </w:pPr>
      <w:r w:rsidRPr="00EB4C43">
        <w:t xml:space="preserve">State of Alabama. </w:t>
      </w:r>
      <w:proofErr w:type="gramStart"/>
      <w:r w:rsidRPr="00EB4C43">
        <w:t>Department of Archives and History.</w:t>
      </w:r>
      <w:proofErr w:type="gramEnd"/>
      <w:r w:rsidR="002108D7">
        <w:t xml:space="preserve"> </w:t>
      </w:r>
      <w:r w:rsidRPr="00EB4C43">
        <w:rPr>
          <w:i/>
          <w:iCs/>
        </w:rPr>
        <w:t>Alabama Official and Statistical Register</w:t>
      </w:r>
      <w:r w:rsidRPr="00EB4C43">
        <w:t>. Montgomery, AL: Walker Printing, 1963.</w:t>
      </w:r>
    </w:p>
    <w:p w:rsidR="001653D3" w:rsidRPr="001653D3" w:rsidRDefault="0027359B" w:rsidP="003B35AE">
      <w:pPr>
        <w:pStyle w:val="References"/>
        <w:spacing w:after="0"/>
        <w:ind w:left="400" w:hanging="400"/>
        <w:jc w:val="both"/>
        <w:rPr>
          <w:rFonts w:cs="Times New Roman"/>
          <w:szCs w:val="18"/>
        </w:rPr>
      </w:pPr>
      <w:proofErr w:type="gramStart"/>
      <w:r w:rsidRPr="00D2182F">
        <w:t>U.S. Bureau of the Census.</w:t>
      </w:r>
      <w:proofErr w:type="gramEnd"/>
      <w:r w:rsidRPr="00F7348A">
        <w:t xml:space="preserve"> </w:t>
      </w:r>
      <w:proofErr w:type="gramStart"/>
      <w:r w:rsidR="001653D3" w:rsidRPr="001653D3">
        <w:rPr>
          <w:rFonts w:cs="Times New Roman"/>
          <w:i/>
          <w:szCs w:val="18"/>
        </w:rPr>
        <w:t>Plantation Farming in the United States</w:t>
      </w:r>
      <w:r w:rsidR="001653D3" w:rsidRPr="001653D3">
        <w:rPr>
          <w:rFonts w:cs="Times New Roman"/>
          <w:szCs w:val="18"/>
        </w:rPr>
        <w:t>.</w:t>
      </w:r>
      <w:proofErr w:type="gramEnd"/>
      <w:r w:rsidR="001653D3" w:rsidRPr="001653D3">
        <w:rPr>
          <w:rFonts w:cs="Times New Roman"/>
          <w:szCs w:val="18"/>
        </w:rPr>
        <w:t xml:space="preserve"> Washington, DC: GPO</w:t>
      </w:r>
      <w:r w:rsidR="00325A18">
        <w:rPr>
          <w:rFonts w:cs="Times New Roman"/>
          <w:szCs w:val="18"/>
        </w:rPr>
        <w:t>,</w:t>
      </w:r>
      <w:r w:rsidR="001653D3" w:rsidRPr="001653D3">
        <w:rPr>
          <w:rFonts w:cs="Times New Roman"/>
          <w:szCs w:val="18"/>
        </w:rPr>
        <w:t xml:space="preserve"> 1916.</w:t>
      </w:r>
    </w:p>
    <w:p w:rsidR="003B35AE" w:rsidRDefault="009E247B" w:rsidP="003B35AE">
      <w:pPr>
        <w:pStyle w:val="References"/>
        <w:spacing w:after="0"/>
        <w:ind w:left="400" w:hanging="400"/>
        <w:jc w:val="both"/>
      </w:pPr>
      <w:r w:rsidRPr="000465BE">
        <w:t>______.</w:t>
      </w:r>
      <w:r>
        <w:t xml:space="preserve"> </w:t>
      </w:r>
      <w:r w:rsidR="003B35AE" w:rsidRPr="009E247B">
        <w:rPr>
          <w:i/>
        </w:rPr>
        <w:t>United States Congressional District Data Books, 1961–1965</w:t>
      </w:r>
      <w:r w:rsidR="003B35AE" w:rsidRPr="009E247B">
        <w:t>.</w:t>
      </w:r>
      <w:r w:rsidR="003B35AE" w:rsidRPr="00275DBD">
        <w:t xml:space="preserve"> ICPSR00010-v1. Ann Arbor, MI: Inter-university Consortium for Political and Social Research [distributor], 1963. doi:10.3886/ICPSR00010.v1</w:t>
      </w:r>
      <w:r w:rsidR="003B35AE">
        <w:t>.</w:t>
      </w:r>
    </w:p>
    <w:p w:rsidR="0027359B" w:rsidRPr="00EB4C43" w:rsidRDefault="003B35AE" w:rsidP="00481CBE">
      <w:pPr>
        <w:pStyle w:val="References"/>
        <w:spacing w:after="0"/>
        <w:ind w:left="400" w:hanging="400"/>
        <w:jc w:val="both"/>
      </w:pPr>
      <w:r w:rsidRPr="000465BE">
        <w:t>______.</w:t>
      </w:r>
      <w:r w:rsidR="002108D7">
        <w:t xml:space="preserve"> </w:t>
      </w:r>
      <w:r w:rsidR="0027359B" w:rsidRPr="006B6448">
        <w:rPr>
          <w:i/>
        </w:rPr>
        <w:t>Congressional District Atlas</w:t>
      </w:r>
      <w:r w:rsidR="0027359B" w:rsidRPr="006B6448">
        <w:t xml:space="preserve">. Washington, </w:t>
      </w:r>
      <w:r w:rsidR="0027359B">
        <w:t>DC</w:t>
      </w:r>
      <w:r w:rsidR="0027359B" w:rsidRPr="006B6448">
        <w:t xml:space="preserve">: </w:t>
      </w:r>
      <w:r w:rsidR="0027359B">
        <w:t>GPO</w:t>
      </w:r>
      <w:r w:rsidR="0027359B" w:rsidRPr="006B6448">
        <w:t>, 1964, 1966</w:t>
      </w:r>
      <w:r w:rsidR="0027359B">
        <w:t>,</w:t>
      </w:r>
      <w:r w:rsidR="0027359B" w:rsidRPr="006B6448">
        <w:t xml:space="preserve"> and 1968. </w:t>
      </w:r>
    </w:p>
    <w:p w:rsidR="00584751" w:rsidRDefault="003757A8" w:rsidP="00CA6411">
      <w:pPr>
        <w:pStyle w:val="References"/>
        <w:spacing w:after="0"/>
        <w:ind w:left="400" w:hanging="400"/>
        <w:jc w:val="both"/>
        <w:rPr>
          <w:szCs w:val="20"/>
        </w:rPr>
      </w:pPr>
      <w:r w:rsidRPr="000465BE">
        <w:t>______.</w:t>
      </w:r>
      <w:r w:rsidR="002108D7">
        <w:t xml:space="preserve"> </w:t>
      </w:r>
      <w:r w:rsidRPr="00EB4C43">
        <w:rPr>
          <w:i/>
        </w:rPr>
        <w:t>Census of Population</w:t>
      </w:r>
      <w:r w:rsidRPr="00EB4C43">
        <w:t xml:space="preserve"> </w:t>
      </w:r>
      <w:r w:rsidRPr="00EB4C43">
        <w:rPr>
          <w:i/>
        </w:rPr>
        <w:t>Supplementary Report</w:t>
      </w:r>
      <w:r w:rsidRPr="00EB4C43">
        <w:t xml:space="preserve">. </w:t>
      </w:r>
      <w:r w:rsidRPr="00EB4C43">
        <w:rPr>
          <w:i/>
        </w:rPr>
        <w:t>Poverty Status in 1969 and 1959 of Persons and Families, for States, SMSA</w:t>
      </w:r>
      <w:r w:rsidR="002108D7">
        <w:rPr>
          <w:i/>
        </w:rPr>
        <w:t>’</w:t>
      </w:r>
      <w:r w:rsidRPr="00EB4C43">
        <w:rPr>
          <w:i/>
        </w:rPr>
        <w:t>s, Central Cities and Counties: 1970 and 1960.</w:t>
      </w:r>
      <w:r w:rsidRPr="00EB4C43">
        <w:t xml:space="preserve"> Washington, DC: GPO, 1975.</w:t>
      </w:r>
      <w:r w:rsidRPr="00717686">
        <w:t xml:space="preserve"> </w:t>
      </w:r>
    </w:p>
    <w:p w:rsidR="00584751" w:rsidRPr="00A379B8" w:rsidRDefault="00584751" w:rsidP="0053722E">
      <w:pPr>
        <w:pStyle w:val="References"/>
        <w:spacing w:after="0"/>
        <w:ind w:left="400" w:hanging="400"/>
        <w:jc w:val="both"/>
        <w:rPr>
          <w:szCs w:val="20"/>
        </w:rPr>
      </w:pPr>
      <w:proofErr w:type="gramStart"/>
      <w:r w:rsidRPr="00A379B8">
        <w:rPr>
          <w:szCs w:val="20"/>
        </w:rPr>
        <w:t>U.S. Department of Defense.</w:t>
      </w:r>
      <w:proofErr w:type="gramEnd"/>
      <w:r w:rsidRPr="00A379B8">
        <w:rPr>
          <w:szCs w:val="20"/>
        </w:rPr>
        <w:t xml:space="preserve"> </w:t>
      </w:r>
      <w:proofErr w:type="gramStart"/>
      <w:r w:rsidRPr="00A379B8">
        <w:rPr>
          <w:szCs w:val="20"/>
        </w:rPr>
        <w:t>Office of the Under Secretary of Defense for Personnel and Readiness.</w:t>
      </w:r>
      <w:proofErr w:type="gramEnd"/>
      <w:r w:rsidRPr="00A379B8">
        <w:rPr>
          <w:szCs w:val="20"/>
        </w:rPr>
        <w:t xml:space="preserve"> </w:t>
      </w:r>
      <w:proofErr w:type="gramStart"/>
      <w:r w:rsidRPr="00A379B8">
        <w:rPr>
          <w:szCs w:val="20"/>
        </w:rPr>
        <w:t>“Vietnam Conflict Extract Data File.”</w:t>
      </w:r>
      <w:proofErr w:type="gramEnd"/>
      <w:r w:rsidRPr="00A379B8">
        <w:rPr>
          <w:szCs w:val="20"/>
        </w:rPr>
        <w:t xml:space="preserve"> Series: Defense Casualty Analysis System (DCAS) Extract Files. Record Group 330: Records of the Office of the Secretary of Defense. National Archives at College Park, Maryland, 2008 (retrieved from the Access to Archival Databases at www.archives.gov).</w:t>
      </w:r>
    </w:p>
    <w:p w:rsidR="0053722E" w:rsidRDefault="009D53AF" w:rsidP="0053722E">
      <w:pPr>
        <w:pStyle w:val="References"/>
        <w:spacing w:after="0"/>
        <w:ind w:left="400" w:hanging="400"/>
        <w:jc w:val="both"/>
        <w:rPr>
          <w:szCs w:val="20"/>
        </w:rPr>
      </w:pPr>
      <w:proofErr w:type="gramStart"/>
      <w:r w:rsidRPr="00A379B8">
        <w:rPr>
          <w:szCs w:val="20"/>
        </w:rPr>
        <w:t>U.S. Department of Health, Education</w:t>
      </w:r>
      <w:r>
        <w:rPr>
          <w:szCs w:val="20"/>
        </w:rPr>
        <w:t>,</w:t>
      </w:r>
      <w:r w:rsidRPr="00A379B8">
        <w:rPr>
          <w:szCs w:val="20"/>
        </w:rPr>
        <w:t xml:space="preserve"> and Welfare.</w:t>
      </w:r>
      <w:proofErr w:type="gramEnd"/>
      <w:r w:rsidRPr="00A379B8">
        <w:rPr>
          <w:szCs w:val="20"/>
        </w:rPr>
        <w:t xml:space="preserve"> </w:t>
      </w:r>
      <w:proofErr w:type="gramStart"/>
      <w:r w:rsidRPr="00A379B8">
        <w:rPr>
          <w:i/>
          <w:szCs w:val="20"/>
        </w:rPr>
        <w:t>Social Security Bulletin Annual Statistical Supplement.</w:t>
      </w:r>
      <w:proofErr w:type="gramEnd"/>
      <w:r w:rsidRPr="00A379B8">
        <w:rPr>
          <w:szCs w:val="20"/>
        </w:rPr>
        <w:t xml:space="preserve"> Washington, DC: GPO, 1965</w:t>
      </w:r>
      <w:r>
        <w:rPr>
          <w:szCs w:val="20"/>
        </w:rPr>
        <w:t>–</w:t>
      </w:r>
      <w:r w:rsidRPr="00A379B8">
        <w:rPr>
          <w:szCs w:val="20"/>
        </w:rPr>
        <w:t>1968.</w:t>
      </w:r>
    </w:p>
    <w:p w:rsidR="00044F7D" w:rsidRPr="00A379B8" w:rsidRDefault="00044F7D" w:rsidP="0053722E">
      <w:pPr>
        <w:pStyle w:val="References"/>
        <w:spacing w:after="0"/>
        <w:ind w:left="400" w:hanging="400"/>
        <w:jc w:val="both"/>
        <w:rPr>
          <w:szCs w:val="20"/>
        </w:rPr>
      </w:pPr>
      <w:proofErr w:type="gramStart"/>
      <w:r w:rsidRPr="00A379B8">
        <w:rPr>
          <w:szCs w:val="20"/>
        </w:rPr>
        <w:t>U.S. House of Representatives Committee on Education and Labor.</w:t>
      </w:r>
      <w:proofErr w:type="gramEnd"/>
      <w:r w:rsidRPr="00A379B8">
        <w:rPr>
          <w:szCs w:val="20"/>
        </w:rPr>
        <w:t xml:space="preserve"> </w:t>
      </w:r>
      <w:proofErr w:type="gramStart"/>
      <w:r w:rsidRPr="00A379B8">
        <w:rPr>
          <w:szCs w:val="20"/>
        </w:rPr>
        <w:t>Committee on Education and Labor.</w:t>
      </w:r>
      <w:proofErr w:type="gramEnd"/>
      <w:r w:rsidRPr="00A379B8">
        <w:rPr>
          <w:i/>
          <w:szCs w:val="20"/>
        </w:rPr>
        <w:t xml:space="preserve"> </w:t>
      </w:r>
      <w:proofErr w:type="gramStart"/>
      <w:r w:rsidRPr="00A379B8">
        <w:rPr>
          <w:i/>
          <w:szCs w:val="20"/>
        </w:rPr>
        <w:t>Report [to Accompany H.R. 11377]</w:t>
      </w:r>
      <w:r w:rsidRPr="00A379B8">
        <w:rPr>
          <w:szCs w:val="20"/>
        </w:rPr>
        <w:t xml:space="preserve"> (H.R. Report 88-14</w:t>
      </w:r>
      <w:r w:rsidR="00FE5C9F">
        <w:rPr>
          <w:szCs w:val="20"/>
        </w:rPr>
        <w:t>58) 88th Cong., 2nd sess., 1964</w:t>
      </w:r>
      <w:r w:rsidRPr="00A379B8">
        <w:rPr>
          <w:szCs w:val="20"/>
        </w:rPr>
        <w:t>.</w:t>
      </w:r>
      <w:proofErr w:type="gramEnd"/>
      <w:r w:rsidRPr="00A379B8">
        <w:rPr>
          <w:szCs w:val="20"/>
        </w:rPr>
        <w:t xml:space="preserve"> </w:t>
      </w:r>
    </w:p>
    <w:p w:rsidR="009D53AF" w:rsidRDefault="009D53AF" w:rsidP="00736570">
      <w:pPr>
        <w:pStyle w:val="References"/>
        <w:spacing w:after="0"/>
        <w:ind w:left="400" w:hanging="400"/>
        <w:jc w:val="both"/>
      </w:pPr>
    </w:p>
    <w:p w:rsidR="003757A8" w:rsidRPr="00481CBE" w:rsidRDefault="003757A8" w:rsidP="00736570">
      <w:pPr>
        <w:pStyle w:val="References"/>
        <w:spacing w:after="0"/>
        <w:ind w:left="400" w:hanging="400"/>
        <w:jc w:val="both"/>
      </w:pPr>
    </w:p>
    <w:sectPr w:rsidR="003757A8" w:rsidRPr="00481CBE" w:rsidSect="006C7DFE">
      <w:headerReference w:type="even" r:id="rId9"/>
      <w:headerReference w:type="default" r:id="rId10"/>
      <w:footerReference w:type="first" r:id="rId11"/>
      <w:type w:val="continuous"/>
      <w:pgSz w:w="12240" w:h="15840" w:code="1"/>
      <w:pgMar w:top="1780" w:right="2640" w:bottom="1320" w:left="2640" w:header="1780" w:footer="12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69" w:rsidRDefault="001B3769" w:rsidP="00502D4C">
      <w:r>
        <w:separator/>
      </w:r>
    </w:p>
  </w:endnote>
  <w:endnote w:type="continuationSeparator" w:id="0">
    <w:p w:rsidR="001B3769" w:rsidRDefault="001B3769" w:rsidP="0050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nux Libertine">
    <w:altName w:val="Times New Roman"/>
    <w:charset w:val="00"/>
    <w:family w:val="auto"/>
    <w:pitch w:val="variable"/>
    <w:sig w:usb0="00000000" w:usb1="5000E5FB" w:usb2="0000002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69" w:rsidRDefault="001B3769">
    <w:pPr>
      <w:pStyle w:val="Footer"/>
      <w:jc w:val="center"/>
    </w:pPr>
    <w:r>
      <w:rPr>
        <w:rStyle w:val="PageNumbe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69" w:rsidRDefault="001B3769">
      <w:pPr>
        <w:rPr>
          <w:sz w:val="18"/>
        </w:rPr>
      </w:pPr>
    </w:p>
  </w:footnote>
  <w:footnote w:type="continuationSeparator" w:id="0">
    <w:p w:rsidR="001B3769" w:rsidRDefault="001B3769" w:rsidP="00502D4C"/>
  </w:footnote>
  <w:footnote w:id="1">
    <w:p w:rsidR="001B3769" w:rsidRDefault="001B3769" w:rsidP="004E03A1">
      <w:pPr>
        <w:pStyle w:val="FootnoteText"/>
        <w:ind w:firstLine="180"/>
        <w:jc w:val="both"/>
        <w:rPr>
          <w:rStyle w:val="ReferencesChar"/>
          <w:sz w:val="18"/>
        </w:rPr>
      </w:pPr>
      <w:r w:rsidRPr="004E03A1">
        <w:rPr>
          <w:rStyle w:val="FootnoteReference"/>
          <w:sz w:val="18"/>
        </w:rPr>
        <w:footnoteRef/>
      </w:r>
      <w:r w:rsidRPr="004E03A1">
        <w:rPr>
          <w:sz w:val="18"/>
        </w:rPr>
        <w:t xml:space="preserve"> </w:t>
      </w:r>
      <w:r w:rsidRPr="004E03A1">
        <w:rPr>
          <w:rStyle w:val="ReferencesChar"/>
          <w:sz w:val="18"/>
        </w:rPr>
        <w:t>The grant-action file includes separate variables for the action</w:t>
      </w:r>
      <w:r>
        <w:rPr>
          <w:rStyle w:val="ReferencesChar"/>
          <w:sz w:val="18"/>
        </w:rPr>
        <w:t>’</w:t>
      </w:r>
      <w:r w:rsidRPr="004E03A1">
        <w:rPr>
          <w:rStyle w:val="ReferencesChar"/>
          <w:sz w:val="18"/>
        </w:rPr>
        <w:t xml:space="preserve">s fiscal year, </w:t>
      </w:r>
      <w:r>
        <w:rPr>
          <w:rStyle w:val="ReferencesChar"/>
          <w:sz w:val="18"/>
        </w:rPr>
        <w:t>“</w:t>
      </w:r>
      <w:r w:rsidRPr="004E03A1">
        <w:rPr>
          <w:rStyle w:val="ReferencesChar"/>
          <w:sz w:val="18"/>
        </w:rPr>
        <w:t>signing date,</w:t>
      </w:r>
      <w:r>
        <w:rPr>
          <w:rStyle w:val="ReferencesChar"/>
          <w:sz w:val="18"/>
        </w:rPr>
        <w:t>”</w:t>
      </w:r>
      <w:r w:rsidRPr="004E03A1">
        <w:rPr>
          <w:rStyle w:val="ReferencesChar"/>
          <w:sz w:val="18"/>
        </w:rPr>
        <w:t xml:space="preserve"> and </w:t>
      </w:r>
      <w:r>
        <w:rPr>
          <w:rStyle w:val="ReferencesChar"/>
          <w:sz w:val="18"/>
        </w:rPr>
        <w:t>“</w:t>
      </w:r>
      <w:r w:rsidRPr="004E03A1">
        <w:rPr>
          <w:rStyle w:val="ReferencesChar"/>
          <w:sz w:val="18"/>
        </w:rPr>
        <w:t>obligation date,</w:t>
      </w:r>
      <w:r>
        <w:rPr>
          <w:rStyle w:val="ReferencesChar"/>
          <w:sz w:val="18"/>
        </w:rPr>
        <w:t>”</w:t>
      </w:r>
      <w:r w:rsidRPr="004E03A1">
        <w:rPr>
          <w:rStyle w:val="ReferencesChar"/>
          <w:sz w:val="18"/>
        </w:rPr>
        <w:t xml:space="preserve"> as well as a </w:t>
      </w:r>
      <w:r>
        <w:rPr>
          <w:rStyle w:val="ReferencesChar"/>
          <w:sz w:val="18"/>
        </w:rPr>
        <w:t>“</w:t>
      </w:r>
      <w:r w:rsidRPr="004E03A1">
        <w:rPr>
          <w:rStyle w:val="ReferencesChar"/>
          <w:sz w:val="18"/>
        </w:rPr>
        <w:t>termination date</w:t>
      </w:r>
      <w:r>
        <w:rPr>
          <w:rStyle w:val="ReferencesChar"/>
          <w:sz w:val="18"/>
        </w:rPr>
        <w:t>”</w:t>
      </w:r>
      <w:r w:rsidRPr="004E03A1">
        <w:rPr>
          <w:rStyle w:val="ReferencesChar"/>
          <w:sz w:val="18"/>
        </w:rPr>
        <w:t xml:space="preserve"> in some cases. The documentation does not make clear the meaning of these variables or the distinction between them. The number of </w:t>
      </w:r>
      <w:r w:rsidRPr="001F0E78">
        <w:rPr>
          <w:rStyle w:val="ReferencesChar"/>
          <w:spacing w:val="6"/>
          <w:sz w:val="18"/>
        </w:rPr>
        <w:t>grant-actions where the fiscal year recorded and the fiscal year implied by signing and</w:t>
      </w:r>
      <w:r w:rsidRPr="004E03A1">
        <w:rPr>
          <w:rStyle w:val="ReferencesChar"/>
          <w:sz w:val="18"/>
        </w:rPr>
        <w:t xml:space="preserve"> obligation dates accounts for a small share of federal dollars, and using either of these as an alternative fiscal year identifier does not change our results.</w:t>
      </w:r>
    </w:p>
    <w:p w:rsidR="001B3769" w:rsidRPr="004E03A1" w:rsidRDefault="001B3769" w:rsidP="004E03A1">
      <w:pPr>
        <w:pStyle w:val="FootnoteText"/>
        <w:ind w:firstLine="180"/>
        <w:jc w:val="both"/>
        <w:rPr>
          <w:rStyle w:val="ReferencesChar"/>
          <w:sz w:val="18"/>
        </w:rPr>
      </w:pPr>
    </w:p>
  </w:footnote>
  <w:footnote w:id="2">
    <w:p w:rsidR="001B3769" w:rsidRPr="004E03A1" w:rsidRDefault="001B3769" w:rsidP="004E03A1">
      <w:pPr>
        <w:pStyle w:val="FootnoteText"/>
        <w:ind w:firstLine="180"/>
        <w:jc w:val="both"/>
        <w:rPr>
          <w:sz w:val="18"/>
        </w:rPr>
      </w:pPr>
      <w:r w:rsidRPr="004E03A1">
        <w:rPr>
          <w:rStyle w:val="FootnoteReference"/>
          <w:sz w:val="18"/>
        </w:rPr>
        <w:footnoteRef/>
      </w:r>
      <w:r w:rsidRPr="004E03A1">
        <w:rPr>
          <w:sz w:val="18"/>
        </w:rPr>
        <w:t xml:space="preserve"> </w:t>
      </w:r>
      <w:r w:rsidRPr="007A1EF4">
        <w:rPr>
          <w:rStyle w:val="ReferencesChar"/>
          <w:spacing w:val="6"/>
          <w:sz w:val="18"/>
        </w:rPr>
        <w:t>Throughout this article, we use “county” to refer to both proper counties and county</w:t>
      </w:r>
      <w:r w:rsidRPr="004E03A1">
        <w:rPr>
          <w:rStyle w:val="ReferencesChar"/>
          <w:sz w:val="18"/>
        </w:rPr>
        <w:t xml:space="preserve"> equivalents, including independent cities and Louisiana parishes.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69" w:rsidRPr="00D558B6" w:rsidRDefault="001B3769" w:rsidP="00A228C5">
    <w:pPr>
      <w:pStyle w:val="JEHarticletext"/>
      <w:tabs>
        <w:tab w:val="clear" w:pos="240"/>
        <w:tab w:val="clear" w:pos="3480"/>
        <w:tab w:val="clear" w:pos="6960"/>
      </w:tabs>
      <w:ind w:right="240"/>
      <w:rPr>
        <w:sz w:val="28"/>
        <w:lang w:val="nl-NL"/>
      </w:rPr>
    </w:pPr>
    <w:r>
      <w:rPr>
        <w:rStyle w:val="PageNumber"/>
        <w:sz w:val="28"/>
      </w:rPr>
      <w:fldChar w:fldCharType="begin"/>
    </w:r>
    <w:r w:rsidRPr="00D558B6">
      <w:rPr>
        <w:rStyle w:val="PageNumber"/>
        <w:sz w:val="28"/>
        <w:lang w:val="nl-NL"/>
      </w:rPr>
      <w:instrText xml:space="preserve"> PAGE </w:instrText>
    </w:r>
    <w:r>
      <w:rPr>
        <w:rStyle w:val="PageNumber"/>
        <w:sz w:val="28"/>
      </w:rPr>
      <w:fldChar w:fldCharType="separate"/>
    </w:r>
    <w:r w:rsidR="003B47F6">
      <w:rPr>
        <w:rStyle w:val="PageNumber"/>
        <w:noProof/>
        <w:sz w:val="28"/>
        <w:lang w:val="nl-NL"/>
      </w:rPr>
      <w:t>8</w:t>
    </w:r>
    <w:r>
      <w:rPr>
        <w:rStyle w:val="PageNumber"/>
        <w:sz w:val="28"/>
      </w:rPr>
      <w:fldChar w:fldCharType="end"/>
    </w:r>
    <w:r w:rsidRPr="00D558B6">
      <w:rPr>
        <w:sz w:val="28"/>
        <w:lang w:val="nl-NL"/>
      </w:rPr>
      <w:tab/>
    </w:r>
    <w:r>
      <w:rPr>
        <w:sz w:val="28"/>
        <w:lang w:val="nl-NL"/>
      </w:rPr>
      <w:t xml:space="preserve"> </w:t>
    </w:r>
    <w:r w:rsidRPr="00D558B6">
      <w:rPr>
        <w:sz w:val="28"/>
        <w:lang w:val="nl-NL"/>
      </w:rPr>
      <w:t xml:space="preserve"> </w:t>
    </w:r>
    <w:r w:rsidRPr="00D558B6">
      <w:rPr>
        <w:sz w:val="28"/>
        <w:lang w:val="nl-NL"/>
      </w:rPr>
      <w:tab/>
    </w:r>
    <w:r>
      <w:rPr>
        <w:sz w:val="28"/>
        <w:lang w:val="nl-NL"/>
      </w:rPr>
      <w:t xml:space="preserve">              </w:t>
    </w:r>
    <w:r>
      <w:rPr>
        <w:i/>
        <w:sz w:val="28"/>
        <w:lang w:val="nl-NL"/>
      </w:rPr>
      <w:t>Bailey and Duquette</w:t>
    </w:r>
    <w:r w:rsidRPr="00D558B6">
      <w:rPr>
        <w:i/>
        <w:smallCaps/>
        <w:noProof/>
        <w:sz w:val="28"/>
        <w:lang w:val="nl-NL"/>
      </w:rPr>
      <w:t xml:space="preserve"> </w:t>
    </w:r>
    <w:r w:rsidRPr="00D558B6">
      <w:rPr>
        <w:sz w:val="28"/>
        <w:lang w:val="nl-NL"/>
      </w:rPr>
      <w:tab/>
    </w:r>
  </w:p>
  <w:p w:rsidR="001B3769" w:rsidRPr="00D558B6" w:rsidRDefault="001B3769" w:rsidP="00195AAB">
    <w:pPr>
      <w:tabs>
        <w:tab w:val="center" w:pos="3480"/>
        <w:tab w:val="right" w:pos="6960"/>
      </w:tabs>
      <w:rPr>
        <w:lang w:val="nl-NL"/>
      </w:rPr>
    </w:pPr>
    <w:r w:rsidRPr="00D558B6">
      <w:rPr>
        <w:sz w:val="28"/>
        <w:lang w:val="nl-NL"/>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69" w:rsidRDefault="001B3769" w:rsidP="00F61D97">
    <w:pPr>
      <w:jc w:val="center"/>
      <w:rPr>
        <w:sz w:val="28"/>
      </w:rPr>
    </w:pPr>
    <w:r>
      <w:rPr>
        <w:i/>
        <w:sz w:val="20"/>
        <w:szCs w:val="26"/>
      </w:rPr>
      <w:t xml:space="preserve">                  </w:t>
    </w:r>
    <w:r>
      <w:rPr>
        <w:i/>
        <w:sz w:val="28"/>
        <w:szCs w:val="38"/>
      </w:rPr>
      <w:t>How Johnson Fought the War on Poverty</w:t>
    </w:r>
    <w:r>
      <w:rPr>
        <w:sz w:val="28"/>
      </w:rPr>
      <w:tab/>
      <w:t xml:space="preserve"> </w:t>
    </w:r>
    <w:r>
      <w:rPr>
        <w:sz w:val="28"/>
      </w:rPr>
      <w:tab/>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sidR="00FD0905">
      <w:rPr>
        <w:rStyle w:val="PageNumber"/>
        <w:noProof/>
        <w:sz w:val="28"/>
      </w:rPr>
      <w:t>9</w:t>
    </w:r>
    <w:r>
      <w:rPr>
        <w:rStyle w:val="PageNumber"/>
        <w:sz w:val="28"/>
      </w:rPr>
      <w:fldChar w:fldCharType="end"/>
    </w:r>
  </w:p>
  <w:p w:rsidR="001B3769" w:rsidRDefault="001B3769">
    <w:pPr>
      <w:pStyle w:val="Header"/>
      <w:tabs>
        <w:tab w:val="clear" w:pos="4320"/>
        <w:tab w:val="clear" w:pos="8640"/>
        <w:tab w:val="center" w:pos="3480"/>
        <w:tab w:val="right" w:pos="6960"/>
      </w:tabs>
      <w:rPr>
        <w:sz w:val="28"/>
      </w:rPr>
    </w:pPr>
    <w:r>
      <w:rPr>
        <w:sz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4C"/>
    <w:multiLevelType w:val="hybridMultilevel"/>
    <w:tmpl w:val="5DB08C8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41E74"/>
    <w:multiLevelType w:val="hybridMultilevel"/>
    <w:tmpl w:val="C960F150"/>
    <w:lvl w:ilvl="0" w:tplc="29EC949C">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447742"/>
    <w:multiLevelType w:val="hybridMultilevel"/>
    <w:tmpl w:val="0A42EF7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B13EB6"/>
    <w:multiLevelType w:val="hybridMultilevel"/>
    <w:tmpl w:val="2A34634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13523A"/>
    <w:multiLevelType w:val="hybridMultilevel"/>
    <w:tmpl w:val="E548B254"/>
    <w:lvl w:ilvl="0" w:tplc="904C48F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31C59"/>
    <w:multiLevelType w:val="hybridMultilevel"/>
    <w:tmpl w:val="31B8D508"/>
    <w:lvl w:ilvl="0" w:tplc="904C48FE">
      <w:start w:val="16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B363A"/>
    <w:multiLevelType w:val="hybridMultilevel"/>
    <w:tmpl w:val="1F704E2A"/>
    <w:lvl w:ilvl="0" w:tplc="732E09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2330E2"/>
    <w:multiLevelType w:val="hybridMultilevel"/>
    <w:tmpl w:val="660896D8"/>
    <w:lvl w:ilvl="0" w:tplc="904C48FE">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853181"/>
    <w:multiLevelType w:val="hybridMultilevel"/>
    <w:tmpl w:val="37BEDCD4"/>
    <w:lvl w:ilvl="0" w:tplc="372E4D98">
      <w:start w:val="1"/>
      <w:numFmt w:val="decimal"/>
      <w:pStyle w:val="Datase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7E064D"/>
    <w:multiLevelType w:val="hybridMultilevel"/>
    <w:tmpl w:val="3A08A37E"/>
    <w:lvl w:ilvl="0" w:tplc="671E80A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E41FEB"/>
    <w:multiLevelType w:val="hybridMultilevel"/>
    <w:tmpl w:val="9B3A7C4A"/>
    <w:lvl w:ilvl="0" w:tplc="C2F85F8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357DA"/>
    <w:multiLevelType w:val="hybridMultilevel"/>
    <w:tmpl w:val="1CBE28D0"/>
    <w:lvl w:ilvl="0" w:tplc="FDD43766">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CF4D10"/>
    <w:multiLevelType w:val="hybridMultilevel"/>
    <w:tmpl w:val="A022B576"/>
    <w:lvl w:ilvl="0" w:tplc="5298E3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E93BC9"/>
    <w:multiLevelType w:val="hybridMultilevel"/>
    <w:tmpl w:val="17127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4F6EEC"/>
    <w:multiLevelType w:val="hybridMultilevel"/>
    <w:tmpl w:val="119CFC3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A077A9"/>
    <w:multiLevelType w:val="hybridMultilevel"/>
    <w:tmpl w:val="A38EE8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CF5475"/>
    <w:multiLevelType w:val="hybridMultilevel"/>
    <w:tmpl w:val="8D78E0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934025"/>
    <w:multiLevelType w:val="hybridMultilevel"/>
    <w:tmpl w:val="695A40F4"/>
    <w:lvl w:ilvl="0" w:tplc="DF66C66A">
      <w:start w:val="1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641E09"/>
    <w:multiLevelType w:val="hybridMultilevel"/>
    <w:tmpl w:val="78F6F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16EA0"/>
    <w:multiLevelType w:val="hybridMultilevel"/>
    <w:tmpl w:val="EDB27F6E"/>
    <w:lvl w:ilvl="0" w:tplc="1F4050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CF229D"/>
    <w:multiLevelType w:val="hybridMultilevel"/>
    <w:tmpl w:val="0A4A0A82"/>
    <w:lvl w:ilvl="0" w:tplc="AF7488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7E92C9C"/>
    <w:multiLevelType w:val="hybridMultilevel"/>
    <w:tmpl w:val="7A4AC65A"/>
    <w:lvl w:ilvl="0" w:tplc="1892DAE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F3AC4"/>
    <w:multiLevelType w:val="hybridMultilevel"/>
    <w:tmpl w:val="84AEA17A"/>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940DFD"/>
    <w:multiLevelType w:val="hybridMultilevel"/>
    <w:tmpl w:val="35708432"/>
    <w:lvl w:ilvl="0" w:tplc="06EAA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150F1"/>
    <w:multiLevelType w:val="hybridMultilevel"/>
    <w:tmpl w:val="F266C1CA"/>
    <w:lvl w:ilvl="0" w:tplc="CE400D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06A30"/>
    <w:multiLevelType w:val="hybridMultilevel"/>
    <w:tmpl w:val="653AC84A"/>
    <w:lvl w:ilvl="0" w:tplc="AF62DD5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5F20D10"/>
    <w:multiLevelType w:val="hybridMultilevel"/>
    <w:tmpl w:val="C5B8DCA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F432B2"/>
    <w:multiLevelType w:val="hybridMultilevel"/>
    <w:tmpl w:val="2C0C3B52"/>
    <w:lvl w:ilvl="0" w:tplc="1106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E0EC6"/>
    <w:multiLevelType w:val="hybridMultilevel"/>
    <w:tmpl w:val="E01E94A0"/>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DAC02A6"/>
    <w:multiLevelType w:val="hybridMultilevel"/>
    <w:tmpl w:val="A84606D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529F57AB"/>
    <w:multiLevelType w:val="multilevel"/>
    <w:tmpl w:val="F5E4D0E2"/>
    <w:lvl w:ilvl="0">
      <w:numFmt w:val="decimal"/>
      <w:lvlText w:val="(%1."/>
      <w:lvlJc w:val="left"/>
      <w:pPr>
        <w:tabs>
          <w:tab w:val="num" w:pos="4320"/>
        </w:tabs>
        <w:ind w:left="4320" w:hanging="4320"/>
      </w:pPr>
      <w:rPr>
        <w:rFonts w:hint="default"/>
      </w:rPr>
    </w:lvl>
    <w:lvl w:ilvl="1">
      <w:start w:val="157"/>
      <w:numFmt w:val="decimal"/>
      <w:lvlText w:val="(%1.%2)"/>
      <w:lvlJc w:val="left"/>
      <w:pPr>
        <w:tabs>
          <w:tab w:val="num" w:pos="7920"/>
        </w:tabs>
        <w:ind w:left="7920" w:hanging="4320"/>
      </w:pPr>
      <w:rPr>
        <w:rFonts w:hint="default"/>
      </w:rPr>
    </w:lvl>
    <w:lvl w:ilvl="2">
      <w:start w:val="1"/>
      <w:numFmt w:val="decimal"/>
      <w:lvlText w:val="(%1.%2)%3."/>
      <w:lvlJc w:val="left"/>
      <w:pPr>
        <w:tabs>
          <w:tab w:val="num" w:pos="11520"/>
        </w:tabs>
        <w:ind w:left="11520" w:hanging="4320"/>
      </w:pPr>
      <w:rPr>
        <w:rFonts w:hint="default"/>
      </w:rPr>
    </w:lvl>
    <w:lvl w:ilvl="3">
      <w:start w:val="1"/>
      <w:numFmt w:val="decimal"/>
      <w:lvlText w:val="(%1.%2)%3.%4."/>
      <w:lvlJc w:val="left"/>
      <w:pPr>
        <w:tabs>
          <w:tab w:val="num" w:pos="15120"/>
        </w:tabs>
        <w:ind w:left="15120" w:hanging="4320"/>
      </w:pPr>
      <w:rPr>
        <w:rFonts w:hint="default"/>
      </w:rPr>
    </w:lvl>
    <w:lvl w:ilvl="4">
      <w:start w:val="1"/>
      <w:numFmt w:val="decimal"/>
      <w:lvlText w:val="(%1.%2)%3.%4.%5."/>
      <w:lvlJc w:val="left"/>
      <w:pPr>
        <w:tabs>
          <w:tab w:val="num" w:pos="18720"/>
        </w:tabs>
        <w:ind w:left="18720" w:hanging="4320"/>
      </w:pPr>
      <w:rPr>
        <w:rFonts w:hint="default"/>
      </w:rPr>
    </w:lvl>
    <w:lvl w:ilvl="5">
      <w:start w:val="1"/>
      <w:numFmt w:val="decimal"/>
      <w:lvlText w:val="(%1.%2)%3.%4.%5.%6."/>
      <w:lvlJc w:val="left"/>
      <w:pPr>
        <w:tabs>
          <w:tab w:val="num" w:pos="22320"/>
        </w:tabs>
        <w:ind w:left="22320" w:hanging="4320"/>
      </w:pPr>
      <w:rPr>
        <w:rFonts w:hint="default"/>
      </w:rPr>
    </w:lvl>
    <w:lvl w:ilvl="6">
      <w:start w:val="1"/>
      <w:numFmt w:val="decimal"/>
      <w:lvlText w:val="(%1.%2)%3.%4.%5.%6.%7."/>
      <w:lvlJc w:val="left"/>
      <w:pPr>
        <w:tabs>
          <w:tab w:val="num" w:pos="25920"/>
        </w:tabs>
        <w:ind w:left="25920" w:hanging="4320"/>
      </w:pPr>
      <w:rPr>
        <w:rFonts w:hint="default"/>
      </w:rPr>
    </w:lvl>
    <w:lvl w:ilvl="7">
      <w:start w:val="1"/>
      <w:numFmt w:val="decimal"/>
      <w:lvlText w:val="(%1.%2)%3.%4.%5.%6.%7.%8."/>
      <w:lvlJc w:val="left"/>
      <w:pPr>
        <w:tabs>
          <w:tab w:val="num" w:pos="29520"/>
        </w:tabs>
        <w:ind w:left="29520" w:hanging="4320"/>
      </w:pPr>
      <w:rPr>
        <w:rFonts w:hint="default"/>
      </w:rPr>
    </w:lvl>
    <w:lvl w:ilvl="8">
      <w:start w:val="1"/>
      <w:numFmt w:val="decimal"/>
      <w:lvlText w:val="(%1.%2)%3.%4.%5.%6.%7.%8.%9."/>
      <w:lvlJc w:val="left"/>
      <w:pPr>
        <w:tabs>
          <w:tab w:val="num" w:pos="-31680"/>
        </w:tabs>
        <w:ind w:left="-32416" w:hanging="4320"/>
      </w:pPr>
      <w:rPr>
        <w:rFonts w:hint="default"/>
      </w:rPr>
    </w:lvl>
  </w:abstractNum>
  <w:abstractNum w:abstractNumId="31">
    <w:nsid w:val="52E73329"/>
    <w:multiLevelType w:val="hybridMultilevel"/>
    <w:tmpl w:val="620CCEAE"/>
    <w:lvl w:ilvl="0" w:tplc="673C085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A24535"/>
    <w:multiLevelType w:val="hybridMultilevel"/>
    <w:tmpl w:val="0DD06A50"/>
    <w:lvl w:ilvl="0" w:tplc="904C48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A76D69"/>
    <w:multiLevelType w:val="hybridMultilevel"/>
    <w:tmpl w:val="BB16E87E"/>
    <w:lvl w:ilvl="0" w:tplc="080066C8">
      <w:start w:val="1"/>
      <w:numFmt w:val="lowerRoman"/>
      <w:lvlText w:val="(%1)"/>
      <w:lvlJc w:val="left"/>
      <w:pPr>
        <w:tabs>
          <w:tab w:val="num" w:pos="1725"/>
        </w:tabs>
        <w:ind w:left="1725" w:hanging="1005"/>
      </w:pPr>
      <w:rPr>
        <w:rFonts w:hint="default"/>
      </w:rPr>
    </w:lvl>
    <w:lvl w:ilvl="1" w:tplc="760E5E3E" w:tentative="1">
      <w:start w:val="1"/>
      <w:numFmt w:val="lowerLetter"/>
      <w:lvlText w:val="%2."/>
      <w:lvlJc w:val="left"/>
      <w:pPr>
        <w:tabs>
          <w:tab w:val="num" w:pos="1800"/>
        </w:tabs>
        <w:ind w:left="1800" w:hanging="360"/>
      </w:pPr>
    </w:lvl>
    <w:lvl w:ilvl="2" w:tplc="EE526712" w:tentative="1">
      <w:start w:val="1"/>
      <w:numFmt w:val="lowerRoman"/>
      <w:lvlText w:val="%3."/>
      <w:lvlJc w:val="right"/>
      <w:pPr>
        <w:tabs>
          <w:tab w:val="num" w:pos="2520"/>
        </w:tabs>
        <w:ind w:left="2520" w:hanging="180"/>
      </w:pPr>
    </w:lvl>
    <w:lvl w:ilvl="3" w:tplc="B236309C" w:tentative="1">
      <w:start w:val="1"/>
      <w:numFmt w:val="decimal"/>
      <w:lvlText w:val="%4."/>
      <w:lvlJc w:val="left"/>
      <w:pPr>
        <w:tabs>
          <w:tab w:val="num" w:pos="3240"/>
        </w:tabs>
        <w:ind w:left="3240" w:hanging="360"/>
      </w:pPr>
    </w:lvl>
    <w:lvl w:ilvl="4" w:tplc="26342210" w:tentative="1">
      <w:start w:val="1"/>
      <w:numFmt w:val="lowerLetter"/>
      <w:lvlText w:val="%5."/>
      <w:lvlJc w:val="left"/>
      <w:pPr>
        <w:tabs>
          <w:tab w:val="num" w:pos="3960"/>
        </w:tabs>
        <w:ind w:left="3960" w:hanging="360"/>
      </w:pPr>
    </w:lvl>
    <w:lvl w:ilvl="5" w:tplc="479CA630" w:tentative="1">
      <w:start w:val="1"/>
      <w:numFmt w:val="lowerRoman"/>
      <w:lvlText w:val="%6."/>
      <w:lvlJc w:val="right"/>
      <w:pPr>
        <w:tabs>
          <w:tab w:val="num" w:pos="4680"/>
        </w:tabs>
        <w:ind w:left="4680" w:hanging="180"/>
      </w:pPr>
    </w:lvl>
    <w:lvl w:ilvl="6" w:tplc="09380ABE" w:tentative="1">
      <w:start w:val="1"/>
      <w:numFmt w:val="decimal"/>
      <w:lvlText w:val="%7."/>
      <w:lvlJc w:val="left"/>
      <w:pPr>
        <w:tabs>
          <w:tab w:val="num" w:pos="5400"/>
        </w:tabs>
        <w:ind w:left="5400" w:hanging="360"/>
      </w:pPr>
    </w:lvl>
    <w:lvl w:ilvl="7" w:tplc="9E107822" w:tentative="1">
      <w:start w:val="1"/>
      <w:numFmt w:val="lowerLetter"/>
      <w:lvlText w:val="%8."/>
      <w:lvlJc w:val="left"/>
      <w:pPr>
        <w:tabs>
          <w:tab w:val="num" w:pos="6120"/>
        </w:tabs>
        <w:ind w:left="6120" w:hanging="360"/>
      </w:pPr>
    </w:lvl>
    <w:lvl w:ilvl="8" w:tplc="149AC2DE" w:tentative="1">
      <w:start w:val="1"/>
      <w:numFmt w:val="lowerRoman"/>
      <w:lvlText w:val="%9."/>
      <w:lvlJc w:val="right"/>
      <w:pPr>
        <w:tabs>
          <w:tab w:val="num" w:pos="6840"/>
        </w:tabs>
        <w:ind w:left="6840" w:hanging="180"/>
      </w:pPr>
    </w:lvl>
  </w:abstractNum>
  <w:abstractNum w:abstractNumId="34">
    <w:nsid w:val="550D253A"/>
    <w:multiLevelType w:val="hybridMultilevel"/>
    <w:tmpl w:val="9C4A29EC"/>
    <w:lvl w:ilvl="0" w:tplc="6124FD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D87EB2"/>
    <w:multiLevelType w:val="hybridMultilevel"/>
    <w:tmpl w:val="A8E01F44"/>
    <w:lvl w:ilvl="0" w:tplc="904C48FE">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57BE6"/>
    <w:multiLevelType w:val="hybridMultilevel"/>
    <w:tmpl w:val="D772BBD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7">
    <w:nsid w:val="60225502"/>
    <w:multiLevelType w:val="hybridMultilevel"/>
    <w:tmpl w:val="BFC21C4E"/>
    <w:lvl w:ilvl="0" w:tplc="904C48F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E855C4"/>
    <w:multiLevelType w:val="hybridMultilevel"/>
    <w:tmpl w:val="3132D5F0"/>
    <w:lvl w:ilvl="0" w:tplc="73002F54">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BCD6EE6"/>
    <w:multiLevelType w:val="hybridMultilevel"/>
    <w:tmpl w:val="78F6F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F2216"/>
    <w:multiLevelType w:val="multilevel"/>
    <w:tmpl w:val="A26807AE"/>
    <w:lvl w:ilvl="0">
      <w:numFmt w:val="decimal"/>
      <w:lvlText w:val="(%1."/>
      <w:lvlJc w:val="left"/>
      <w:pPr>
        <w:tabs>
          <w:tab w:val="num" w:pos="1530"/>
        </w:tabs>
        <w:ind w:left="1530" w:hanging="1530"/>
      </w:pPr>
      <w:rPr>
        <w:rFonts w:hint="default"/>
      </w:rPr>
    </w:lvl>
    <w:lvl w:ilvl="1">
      <w:start w:val="376"/>
      <w:numFmt w:val="decimal"/>
      <w:lvlText w:val="(%1.%2)"/>
      <w:lvlJc w:val="left"/>
      <w:pPr>
        <w:tabs>
          <w:tab w:val="num" w:pos="4035"/>
        </w:tabs>
        <w:ind w:left="4035" w:hanging="1530"/>
      </w:pPr>
      <w:rPr>
        <w:rFonts w:hint="default"/>
      </w:rPr>
    </w:lvl>
    <w:lvl w:ilvl="2">
      <w:start w:val="1"/>
      <w:numFmt w:val="decimal"/>
      <w:lvlText w:val="(%1.%2)%3."/>
      <w:lvlJc w:val="left"/>
      <w:pPr>
        <w:tabs>
          <w:tab w:val="num" w:pos="6540"/>
        </w:tabs>
        <w:ind w:left="6540" w:hanging="1530"/>
      </w:pPr>
      <w:rPr>
        <w:rFonts w:hint="default"/>
      </w:rPr>
    </w:lvl>
    <w:lvl w:ilvl="3">
      <w:start w:val="1"/>
      <w:numFmt w:val="decimal"/>
      <w:lvlText w:val="(%1.%2)%3.%4."/>
      <w:lvlJc w:val="left"/>
      <w:pPr>
        <w:tabs>
          <w:tab w:val="num" w:pos="9045"/>
        </w:tabs>
        <w:ind w:left="9045" w:hanging="1530"/>
      </w:pPr>
      <w:rPr>
        <w:rFonts w:hint="default"/>
      </w:rPr>
    </w:lvl>
    <w:lvl w:ilvl="4">
      <w:start w:val="1"/>
      <w:numFmt w:val="decimal"/>
      <w:lvlText w:val="(%1.%2)%3.%4.%5."/>
      <w:lvlJc w:val="left"/>
      <w:pPr>
        <w:tabs>
          <w:tab w:val="num" w:pos="11550"/>
        </w:tabs>
        <w:ind w:left="11550" w:hanging="1530"/>
      </w:pPr>
      <w:rPr>
        <w:rFonts w:hint="default"/>
      </w:rPr>
    </w:lvl>
    <w:lvl w:ilvl="5">
      <w:start w:val="1"/>
      <w:numFmt w:val="decimal"/>
      <w:lvlText w:val="(%1.%2)%3.%4.%5.%6."/>
      <w:lvlJc w:val="left"/>
      <w:pPr>
        <w:tabs>
          <w:tab w:val="num" w:pos="14055"/>
        </w:tabs>
        <w:ind w:left="14055" w:hanging="1530"/>
      </w:pPr>
      <w:rPr>
        <w:rFonts w:hint="default"/>
      </w:rPr>
    </w:lvl>
    <w:lvl w:ilvl="6">
      <w:start w:val="1"/>
      <w:numFmt w:val="decimal"/>
      <w:lvlText w:val="(%1.%2)%3.%4.%5.%6.%7."/>
      <w:lvlJc w:val="left"/>
      <w:pPr>
        <w:tabs>
          <w:tab w:val="num" w:pos="16560"/>
        </w:tabs>
        <w:ind w:left="16560" w:hanging="1530"/>
      </w:pPr>
      <w:rPr>
        <w:rFonts w:hint="default"/>
      </w:rPr>
    </w:lvl>
    <w:lvl w:ilvl="7">
      <w:start w:val="1"/>
      <w:numFmt w:val="decimal"/>
      <w:lvlText w:val="(%1.%2)%3.%4.%5.%6.%7.%8."/>
      <w:lvlJc w:val="left"/>
      <w:pPr>
        <w:tabs>
          <w:tab w:val="num" w:pos="19065"/>
        </w:tabs>
        <w:ind w:left="19065" w:hanging="1530"/>
      </w:pPr>
      <w:rPr>
        <w:rFonts w:hint="default"/>
      </w:rPr>
    </w:lvl>
    <w:lvl w:ilvl="8">
      <w:start w:val="1"/>
      <w:numFmt w:val="decimal"/>
      <w:lvlText w:val="(%1.%2)%3.%4.%5.%6.%7.%8.%9."/>
      <w:lvlJc w:val="left"/>
      <w:pPr>
        <w:tabs>
          <w:tab w:val="num" w:pos="21570"/>
        </w:tabs>
        <w:ind w:left="21570" w:hanging="1530"/>
      </w:pPr>
      <w:rPr>
        <w:rFonts w:hint="default"/>
      </w:rPr>
    </w:lvl>
  </w:abstractNum>
  <w:abstractNum w:abstractNumId="41">
    <w:nsid w:val="7C5772EB"/>
    <w:multiLevelType w:val="hybridMultilevel"/>
    <w:tmpl w:val="EEEA0B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3344F7"/>
    <w:multiLevelType w:val="hybridMultilevel"/>
    <w:tmpl w:val="E11A534E"/>
    <w:lvl w:ilvl="0" w:tplc="ACE41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6C17D0"/>
    <w:multiLevelType w:val="hybridMultilevel"/>
    <w:tmpl w:val="EFBA45C0"/>
    <w:lvl w:ilvl="0" w:tplc="904C48F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40"/>
  </w:num>
  <w:num w:numId="4">
    <w:abstractNumId w:val="42"/>
  </w:num>
  <w:num w:numId="5">
    <w:abstractNumId w:val="27"/>
  </w:num>
  <w:num w:numId="6">
    <w:abstractNumId w:val="19"/>
  </w:num>
  <w:num w:numId="7">
    <w:abstractNumId w:val="23"/>
  </w:num>
  <w:num w:numId="8">
    <w:abstractNumId w:val="36"/>
  </w:num>
  <w:num w:numId="9">
    <w:abstractNumId w:val="2"/>
  </w:num>
  <w:num w:numId="10">
    <w:abstractNumId w:val="3"/>
  </w:num>
  <w:num w:numId="11">
    <w:abstractNumId w:val="28"/>
  </w:num>
  <w:num w:numId="12">
    <w:abstractNumId w:val="14"/>
  </w:num>
  <w:num w:numId="13">
    <w:abstractNumId w:val="15"/>
  </w:num>
  <w:num w:numId="14">
    <w:abstractNumId w:val="29"/>
  </w:num>
  <w:num w:numId="15">
    <w:abstractNumId w:val="11"/>
  </w:num>
  <w:num w:numId="16">
    <w:abstractNumId w:val="5"/>
  </w:num>
  <w:num w:numId="17">
    <w:abstractNumId w:val="43"/>
  </w:num>
  <w:num w:numId="18">
    <w:abstractNumId w:val="37"/>
  </w:num>
  <w:num w:numId="19">
    <w:abstractNumId w:val="13"/>
  </w:num>
  <w:num w:numId="20">
    <w:abstractNumId w:val="41"/>
  </w:num>
  <w:num w:numId="21">
    <w:abstractNumId w:val="24"/>
  </w:num>
  <w:num w:numId="22">
    <w:abstractNumId w:val="21"/>
  </w:num>
  <w:num w:numId="23">
    <w:abstractNumId w:val="9"/>
  </w:num>
  <w:num w:numId="24">
    <w:abstractNumId w:val="0"/>
  </w:num>
  <w:num w:numId="25">
    <w:abstractNumId w:val="6"/>
  </w:num>
  <w:num w:numId="26">
    <w:abstractNumId w:val="26"/>
  </w:num>
  <w:num w:numId="27">
    <w:abstractNumId w:val="22"/>
  </w:num>
  <w:num w:numId="28">
    <w:abstractNumId w:val="16"/>
  </w:num>
  <w:num w:numId="29">
    <w:abstractNumId w:val="4"/>
  </w:num>
  <w:num w:numId="30">
    <w:abstractNumId w:val="32"/>
  </w:num>
  <w:num w:numId="31">
    <w:abstractNumId w:val="1"/>
  </w:num>
  <w:num w:numId="32">
    <w:abstractNumId w:val="38"/>
  </w:num>
  <w:num w:numId="33">
    <w:abstractNumId w:val="12"/>
  </w:num>
  <w:num w:numId="34">
    <w:abstractNumId w:val="7"/>
  </w:num>
  <w:num w:numId="35">
    <w:abstractNumId w:val="35"/>
  </w:num>
  <w:num w:numId="36">
    <w:abstractNumId w:val="34"/>
  </w:num>
  <w:num w:numId="37">
    <w:abstractNumId w:val="20"/>
  </w:num>
  <w:num w:numId="38">
    <w:abstractNumId w:val="25"/>
  </w:num>
  <w:num w:numId="39">
    <w:abstractNumId w:val="17"/>
  </w:num>
  <w:num w:numId="40">
    <w:abstractNumId w:val="31"/>
  </w:num>
  <w:num w:numId="41">
    <w:abstractNumId w:val="10"/>
  </w:num>
  <w:num w:numId="42">
    <w:abstractNumId w:val="39"/>
  </w:num>
  <w:num w:numId="43">
    <w:abstractNumId w:val="18"/>
  </w:num>
  <w:num w:numId="44">
    <w:abstractNumId w:val="8"/>
  </w:num>
  <w:num w:numId="4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onsecutiveHyphenLimit w:val="3"/>
  <w:hyphenationZone w:val="80"/>
  <w:doNotHyphenateCaps/>
  <w:evenAndOddHeaders/>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A7"/>
    <w:rsid w:val="000003B6"/>
    <w:rsid w:val="00000E50"/>
    <w:rsid w:val="00000FC8"/>
    <w:rsid w:val="0000155D"/>
    <w:rsid w:val="00001603"/>
    <w:rsid w:val="00002000"/>
    <w:rsid w:val="0000275B"/>
    <w:rsid w:val="00002B86"/>
    <w:rsid w:val="000031A4"/>
    <w:rsid w:val="00003380"/>
    <w:rsid w:val="00005896"/>
    <w:rsid w:val="000063D0"/>
    <w:rsid w:val="00006C31"/>
    <w:rsid w:val="00006CA6"/>
    <w:rsid w:val="00006FA2"/>
    <w:rsid w:val="00007164"/>
    <w:rsid w:val="00007240"/>
    <w:rsid w:val="000079F5"/>
    <w:rsid w:val="00007F9F"/>
    <w:rsid w:val="0001013B"/>
    <w:rsid w:val="00010AB6"/>
    <w:rsid w:val="00010BD3"/>
    <w:rsid w:val="000118CB"/>
    <w:rsid w:val="00011F12"/>
    <w:rsid w:val="0001267C"/>
    <w:rsid w:val="00012AA0"/>
    <w:rsid w:val="00012B17"/>
    <w:rsid w:val="0001316C"/>
    <w:rsid w:val="00013856"/>
    <w:rsid w:val="00013EE1"/>
    <w:rsid w:val="0001443F"/>
    <w:rsid w:val="00015037"/>
    <w:rsid w:val="00015556"/>
    <w:rsid w:val="000159EA"/>
    <w:rsid w:val="00015F15"/>
    <w:rsid w:val="00016AEB"/>
    <w:rsid w:val="00016CE0"/>
    <w:rsid w:val="00016EE8"/>
    <w:rsid w:val="00017763"/>
    <w:rsid w:val="000211D6"/>
    <w:rsid w:val="000219AC"/>
    <w:rsid w:val="00021A3F"/>
    <w:rsid w:val="00021B1B"/>
    <w:rsid w:val="00021B53"/>
    <w:rsid w:val="00022EB4"/>
    <w:rsid w:val="000230BC"/>
    <w:rsid w:val="00023AAB"/>
    <w:rsid w:val="00023FFF"/>
    <w:rsid w:val="0002408A"/>
    <w:rsid w:val="00024578"/>
    <w:rsid w:val="00025846"/>
    <w:rsid w:val="00025B59"/>
    <w:rsid w:val="00025BB4"/>
    <w:rsid w:val="00025E83"/>
    <w:rsid w:val="0002613B"/>
    <w:rsid w:val="000265ED"/>
    <w:rsid w:val="00026C90"/>
    <w:rsid w:val="00027C5E"/>
    <w:rsid w:val="000302DA"/>
    <w:rsid w:val="00030FFC"/>
    <w:rsid w:val="00031202"/>
    <w:rsid w:val="000314F2"/>
    <w:rsid w:val="0003163E"/>
    <w:rsid w:val="00031C11"/>
    <w:rsid w:val="00031E1C"/>
    <w:rsid w:val="000321A0"/>
    <w:rsid w:val="000325FA"/>
    <w:rsid w:val="00032692"/>
    <w:rsid w:val="00032B51"/>
    <w:rsid w:val="00033028"/>
    <w:rsid w:val="00033137"/>
    <w:rsid w:val="0003366E"/>
    <w:rsid w:val="0003376D"/>
    <w:rsid w:val="00033783"/>
    <w:rsid w:val="00033F3C"/>
    <w:rsid w:val="000341CA"/>
    <w:rsid w:val="000341E6"/>
    <w:rsid w:val="000343FE"/>
    <w:rsid w:val="0003482E"/>
    <w:rsid w:val="00034900"/>
    <w:rsid w:val="00034AB2"/>
    <w:rsid w:val="00035BDC"/>
    <w:rsid w:val="00035C9A"/>
    <w:rsid w:val="00035F2F"/>
    <w:rsid w:val="00035FB0"/>
    <w:rsid w:val="00036107"/>
    <w:rsid w:val="00036A74"/>
    <w:rsid w:val="000371A6"/>
    <w:rsid w:val="00037E7B"/>
    <w:rsid w:val="00037FCB"/>
    <w:rsid w:val="0004116B"/>
    <w:rsid w:val="0004157A"/>
    <w:rsid w:val="0004164D"/>
    <w:rsid w:val="00041D2C"/>
    <w:rsid w:val="00041E09"/>
    <w:rsid w:val="00042161"/>
    <w:rsid w:val="00042349"/>
    <w:rsid w:val="00042371"/>
    <w:rsid w:val="000423A8"/>
    <w:rsid w:val="00043430"/>
    <w:rsid w:val="000436F4"/>
    <w:rsid w:val="00043740"/>
    <w:rsid w:val="00044F7D"/>
    <w:rsid w:val="00046077"/>
    <w:rsid w:val="000462C2"/>
    <w:rsid w:val="00046568"/>
    <w:rsid w:val="000465BE"/>
    <w:rsid w:val="00046673"/>
    <w:rsid w:val="00047697"/>
    <w:rsid w:val="0004772D"/>
    <w:rsid w:val="00047811"/>
    <w:rsid w:val="00047DDD"/>
    <w:rsid w:val="00050120"/>
    <w:rsid w:val="0005274C"/>
    <w:rsid w:val="00052B6A"/>
    <w:rsid w:val="00052C42"/>
    <w:rsid w:val="000539D9"/>
    <w:rsid w:val="00054634"/>
    <w:rsid w:val="00054E81"/>
    <w:rsid w:val="00054FCC"/>
    <w:rsid w:val="000554A1"/>
    <w:rsid w:val="00056109"/>
    <w:rsid w:val="00056CC5"/>
    <w:rsid w:val="00056D1E"/>
    <w:rsid w:val="00056F40"/>
    <w:rsid w:val="00056F4D"/>
    <w:rsid w:val="00057843"/>
    <w:rsid w:val="000605A3"/>
    <w:rsid w:val="000610EB"/>
    <w:rsid w:val="00061DCC"/>
    <w:rsid w:val="00062645"/>
    <w:rsid w:val="0006295A"/>
    <w:rsid w:val="00062BB5"/>
    <w:rsid w:val="00062E59"/>
    <w:rsid w:val="000630FD"/>
    <w:rsid w:val="000634ED"/>
    <w:rsid w:val="000639BE"/>
    <w:rsid w:val="00063D36"/>
    <w:rsid w:val="00063D7F"/>
    <w:rsid w:val="00063EDF"/>
    <w:rsid w:val="00063F01"/>
    <w:rsid w:val="00064BA2"/>
    <w:rsid w:val="00065345"/>
    <w:rsid w:val="000654EA"/>
    <w:rsid w:val="00065510"/>
    <w:rsid w:val="000667CB"/>
    <w:rsid w:val="00066C9C"/>
    <w:rsid w:val="00066ECD"/>
    <w:rsid w:val="00066F31"/>
    <w:rsid w:val="00067195"/>
    <w:rsid w:val="0007076B"/>
    <w:rsid w:val="00070900"/>
    <w:rsid w:val="00070CE4"/>
    <w:rsid w:val="00070D70"/>
    <w:rsid w:val="00071782"/>
    <w:rsid w:val="00071B15"/>
    <w:rsid w:val="00071F99"/>
    <w:rsid w:val="00071FEC"/>
    <w:rsid w:val="00072867"/>
    <w:rsid w:val="00072D27"/>
    <w:rsid w:val="00072EAB"/>
    <w:rsid w:val="000731BE"/>
    <w:rsid w:val="0007326E"/>
    <w:rsid w:val="000738D2"/>
    <w:rsid w:val="000738FB"/>
    <w:rsid w:val="00073C41"/>
    <w:rsid w:val="00073DAB"/>
    <w:rsid w:val="000748E2"/>
    <w:rsid w:val="00075748"/>
    <w:rsid w:val="00075791"/>
    <w:rsid w:val="00075997"/>
    <w:rsid w:val="00075B73"/>
    <w:rsid w:val="00076328"/>
    <w:rsid w:val="000766A5"/>
    <w:rsid w:val="00076BA8"/>
    <w:rsid w:val="00076FCB"/>
    <w:rsid w:val="0007753E"/>
    <w:rsid w:val="00077990"/>
    <w:rsid w:val="000779D3"/>
    <w:rsid w:val="00080ED1"/>
    <w:rsid w:val="000812DE"/>
    <w:rsid w:val="00081769"/>
    <w:rsid w:val="00081D88"/>
    <w:rsid w:val="00081EC8"/>
    <w:rsid w:val="00082590"/>
    <w:rsid w:val="000829A3"/>
    <w:rsid w:val="00083373"/>
    <w:rsid w:val="0008354B"/>
    <w:rsid w:val="000836C3"/>
    <w:rsid w:val="00083C7A"/>
    <w:rsid w:val="00084C8D"/>
    <w:rsid w:val="0008543C"/>
    <w:rsid w:val="0008565F"/>
    <w:rsid w:val="000857C2"/>
    <w:rsid w:val="000859C6"/>
    <w:rsid w:val="00086107"/>
    <w:rsid w:val="00086BDC"/>
    <w:rsid w:val="00086C66"/>
    <w:rsid w:val="00090591"/>
    <w:rsid w:val="00090AEC"/>
    <w:rsid w:val="00090BB3"/>
    <w:rsid w:val="00090F79"/>
    <w:rsid w:val="0009191F"/>
    <w:rsid w:val="0009229A"/>
    <w:rsid w:val="000928ED"/>
    <w:rsid w:val="00092EBC"/>
    <w:rsid w:val="00092F41"/>
    <w:rsid w:val="000935C1"/>
    <w:rsid w:val="000939C7"/>
    <w:rsid w:val="00093E0B"/>
    <w:rsid w:val="0009433C"/>
    <w:rsid w:val="0009451E"/>
    <w:rsid w:val="000946CD"/>
    <w:rsid w:val="0009477A"/>
    <w:rsid w:val="00094851"/>
    <w:rsid w:val="00094EC2"/>
    <w:rsid w:val="00094F18"/>
    <w:rsid w:val="00094F3B"/>
    <w:rsid w:val="00095115"/>
    <w:rsid w:val="000951BD"/>
    <w:rsid w:val="0009548B"/>
    <w:rsid w:val="000959C9"/>
    <w:rsid w:val="00095AB6"/>
    <w:rsid w:val="00096327"/>
    <w:rsid w:val="000964C4"/>
    <w:rsid w:val="000965BC"/>
    <w:rsid w:val="0009673C"/>
    <w:rsid w:val="0009690C"/>
    <w:rsid w:val="0009692C"/>
    <w:rsid w:val="000974F6"/>
    <w:rsid w:val="00097554"/>
    <w:rsid w:val="00097B45"/>
    <w:rsid w:val="000A0694"/>
    <w:rsid w:val="000A0A10"/>
    <w:rsid w:val="000A11F6"/>
    <w:rsid w:val="000A1218"/>
    <w:rsid w:val="000A1998"/>
    <w:rsid w:val="000A3633"/>
    <w:rsid w:val="000A3F38"/>
    <w:rsid w:val="000A427C"/>
    <w:rsid w:val="000A4361"/>
    <w:rsid w:val="000A55E8"/>
    <w:rsid w:val="000A60CF"/>
    <w:rsid w:val="000A6825"/>
    <w:rsid w:val="000A7163"/>
    <w:rsid w:val="000A7711"/>
    <w:rsid w:val="000A7AEB"/>
    <w:rsid w:val="000B0337"/>
    <w:rsid w:val="000B039F"/>
    <w:rsid w:val="000B0A2A"/>
    <w:rsid w:val="000B0C06"/>
    <w:rsid w:val="000B1508"/>
    <w:rsid w:val="000B1CAA"/>
    <w:rsid w:val="000B2228"/>
    <w:rsid w:val="000B2800"/>
    <w:rsid w:val="000B2D97"/>
    <w:rsid w:val="000B33EA"/>
    <w:rsid w:val="000B3D54"/>
    <w:rsid w:val="000B3F20"/>
    <w:rsid w:val="000B43B3"/>
    <w:rsid w:val="000B43CA"/>
    <w:rsid w:val="000B443B"/>
    <w:rsid w:val="000B44B0"/>
    <w:rsid w:val="000B4A06"/>
    <w:rsid w:val="000B4CDD"/>
    <w:rsid w:val="000B516A"/>
    <w:rsid w:val="000B52EA"/>
    <w:rsid w:val="000B62C7"/>
    <w:rsid w:val="000B6398"/>
    <w:rsid w:val="000B6980"/>
    <w:rsid w:val="000B7CF8"/>
    <w:rsid w:val="000C006E"/>
    <w:rsid w:val="000C0314"/>
    <w:rsid w:val="000C0A44"/>
    <w:rsid w:val="000C10E0"/>
    <w:rsid w:val="000C1AD5"/>
    <w:rsid w:val="000C2AE9"/>
    <w:rsid w:val="000C3367"/>
    <w:rsid w:val="000C3DF7"/>
    <w:rsid w:val="000C4770"/>
    <w:rsid w:val="000C4FB0"/>
    <w:rsid w:val="000C5038"/>
    <w:rsid w:val="000C50E0"/>
    <w:rsid w:val="000C53B6"/>
    <w:rsid w:val="000C57AE"/>
    <w:rsid w:val="000C5B3E"/>
    <w:rsid w:val="000C63F6"/>
    <w:rsid w:val="000C7426"/>
    <w:rsid w:val="000C7A1B"/>
    <w:rsid w:val="000D1688"/>
    <w:rsid w:val="000D1A98"/>
    <w:rsid w:val="000D20B8"/>
    <w:rsid w:val="000D322A"/>
    <w:rsid w:val="000D33E2"/>
    <w:rsid w:val="000D34E9"/>
    <w:rsid w:val="000D39DC"/>
    <w:rsid w:val="000D3A88"/>
    <w:rsid w:val="000D3AD7"/>
    <w:rsid w:val="000D3C80"/>
    <w:rsid w:val="000D3FB4"/>
    <w:rsid w:val="000D42F8"/>
    <w:rsid w:val="000D4415"/>
    <w:rsid w:val="000D467F"/>
    <w:rsid w:val="000D4B3F"/>
    <w:rsid w:val="000D57C5"/>
    <w:rsid w:val="000D60C7"/>
    <w:rsid w:val="000D62EE"/>
    <w:rsid w:val="000D64EC"/>
    <w:rsid w:val="000D661A"/>
    <w:rsid w:val="000D7256"/>
    <w:rsid w:val="000D7548"/>
    <w:rsid w:val="000D784D"/>
    <w:rsid w:val="000D7BBC"/>
    <w:rsid w:val="000E0098"/>
    <w:rsid w:val="000E02F4"/>
    <w:rsid w:val="000E0762"/>
    <w:rsid w:val="000E0A4E"/>
    <w:rsid w:val="000E0EB8"/>
    <w:rsid w:val="000E14D1"/>
    <w:rsid w:val="000E1854"/>
    <w:rsid w:val="000E1974"/>
    <w:rsid w:val="000E1CD0"/>
    <w:rsid w:val="000E2245"/>
    <w:rsid w:val="000E23BB"/>
    <w:rsid w:val="000E2848"/>
    <w:rsid w:val="000E39FA"/>
    <w:rsid w:val="000E3E22"/>
    <w:rsid w:val="000E3EEF"/>
    <w:rsid w:val="000E42F4"/>
    <w:rsid w:val="000E4591"/>
    <w:rsid w:val="000E4879"/>
    <w:rsid w:val="000E5437"/>
    <w:rsid w:val="000E5A6C"/>
    <w:rsid w:val="000E5B1B"/>
    <w:rsid w:val="000E6ABA"/>
    <w:rsid w:val="000E7131"/>
    <w:rsid w:val="000E7AAB"/>
    <w:rsid w:val="000F0118"/>
    <w:rsid w:val="000F0585"/>
    <w:rsid w:val="000F0880"/>
    <w:rsid w:val="000F1306"/>
    <w:rsid w:val="000F1AB8"/>
    <w:rsid w:val="000F1F38"/>
    <w:rsid w:val="000F29A2"/>
    <w:rsid w:val="000F2FB5"/>
    <w:rsid w:val="000F3078"/>
    <w:rsid w:val="000F30D5"/>
    <w:rsid w:val="000F3496"/>
    <w:rsid w:val="000F36FA"/>
    <w:rsid w:val="000F3BB8"/>
    <w:rsid w:val="000F4C09"/>
    <w:rsid w:val="000F4DE6"/>
    <w:rsid w:val="000F617A"/>
    <w:rsid w:val="000F686F"/>
    <w:rsid w:val="000F7297"/>
    <w:rsid w:val="000F72D2"/>
    <w:rsid w:val="000F7C5C"/>
    <w:rsid w:val="000F7CE3"/>
    <w:rsid w:val="00100C28"/>
    <w:rsid w:val="0010224B"/>
    <w:rsid w:val="001022B8"/>
    <w:rsid w:val="00102C52"/>
    <w:rsid w:val="00103D27"/>
    <w:rsid w:val="001048AE"/>
    <w:rsid w:val="00104DCA"/>
    <w:rsid w:val="0010516C"/>
    <w:rsid w:val="00105356"/>
    <w:rsid w:val="001053CB"/>
    <w:rsid w:val="001053FF"/>
    <w:rsid w:val="00106FA1"/>
    <w:rsid w:val="0010722B"/>
    <w:rsid w:val="00107B9D"/>
    <w:rsid w:val="00110401"/>
    <w:rsid w:val="00110ADF"/>
    <w:rsid w:val="00110DE5"/>
    <w:rsid w:val="00111E51"/>
    <w:rsid w:val="001122D1"/>
    <w:rsid w:val="001122FF"/>
    <w:rsid w:val="00112A3E"/>
    <w:rsid w:val="00112B1C"/>
    <w:rsid w:val="00112E4D"/>
    <w:rsid w:val="00115126"/>
    <w:rsid w:val="0011534B"/>
    <w:rsid w:val="0011538E"/>
    <w:rsid w:val="00115638"/>
    <w:rsid w:val="00115E87"/>
    <w:rsid w:val="00116039"/>
    <w:rsid w:val="00116592"/>
    <w:rsid w:val="001167B6"/>
    <w:rsid w:val="00116924"/>
    <w:rsid w:val="00117B44"/>
    <w:rsid w:val="00117F76"/>
    <w:rsid w:val="00120977"/>
    <w:rsid w:val="00120D73"/>
    <w:rsid w:val="001212EE"/>
    <w:rsid w:val="0012183B"/>
    <w:rsid w:val="00121F2A"/>
    <w:rsid w:val="00123214"/>
    <w:rsid w:val="001232CC"/>
    <w:rsid w:val="001232D2"/>
    <w:rsid w:val="0012341C"/>
    <w:rsid w:val="001234D5"/>
    <w:rsid w:val="00124613"/>
    <w:rsid w:val="00124631"/>
    <w:rsid w:val="001248A7"/>
    <w:rsid w:val="00124C4F"/>
    <w:rsid w:val="00125CA2"/>
    <w:rsid w:val="001265CB"/>
    <w:rsid w:val="00126946"/>
    <w:rsid w:val="00126B0F"/>
    <w:rsid w:val="001271B1"/>
    <w:rsid w:val="001273BF"/>
    <w:rsid w:val="00131264"/>
    <w:rsid w:val="0013184B"/>
    <w:rsid w:val="00131867"/>
    <w:rsid w:val="001318FA"/>
    <w:rsid w:val="00131ACE"/>
    <w:rsid w:val="0013492F"/>
    <w:rsid w:val="00134CFD"/>
    <w:rsid w:val="00135014"/>
    <w:rsid w:val="0013522E"/>
    <w:rsid w:val="001358E3"/>
    <w:rsid w:val="00135AFA"/>
    <w:rsid w:val="00135E65"/>
    <w:rsid w:val="00135EF1"/>
    <w:rsid w:val="0013648A"/>
    <w:rsid w:val="00136569"/>
    <w:rsid w:val="001369A6"/>
    <w:rsid w:val="00136A3B"/>
    <w:rsid w:val="001379BC"/>
    <w:rsid w:val="0014003C"/>
    <w:rsid w:val="0014038F"/>
    <w:rsid w:val="0014086A"/>
    <w:rsid w:val="00141F25"/>
    <w:rsid w:val="001426CB"/>
    <w:rsid w:val="00142C85"/>
    <w:rsid w:val="00142CBC"/>
    <w:rsid w:val="0014312C"/>
    <w:rsid w:val="001440DA"/>
    <w:rsid w:val="001448A3"/>
    <w:rsid w:val="00144D6F"/>
    <w:rsid w:val="0014586D"/>
    <w:rsid w:val="00145B9B"/>
    <w:rsid w:val="00145C6C"/>
    <w:rsid w:val="00145E27"/>
    <w:rsid w:val="001478AA"/>
    <w:rsid w:val="00147ACF"/>
    <w:rsid w:val="00147F8C"/>
    <w:rsid w:val="00150524"/>
    <w:rsid w:val="00150772"/>
    <w:rsid w:val="00151465"/>
    <w:rsid w:val="0015178B"/>
    <w:rsid w:val="00151A1E"/>
    <w:rsid w:val="00151FA3"/>
    <w:rsid w:val="00152DB4"/>
    <w:rsid w:val="00152F29"/>
    <w:rsid w:val="001534AA"/>
    <w:rsid w:val="001536A1"/>
    <w:rsid w:val="001536CF"/>
    <w:rsid w:val="00153E31"/>
    <w:rsid w:val="00153F74"/>
    <w:rsid w:val="00153FB9"/>
    <w:rsid w:val="00154544"/>
    <w:rsid w:val="00154B5F"/>
    <w:rsid w:val="00154D55"/>
    <w:rsid w:val="00154F6E"/>
    <w:rsid w:val="001555A9"/>
    <w:rsid w:val="001556CD"/>
    <w:rsid w:val="0015596F"/>
    <w:rsid w:val="00155AA6"/>
    <w:rsid w:val="001562DC"/>
    <w:rsid w:val="001562E6"/>
    <w:rsid w:val="00156D62"/>
    <w:rsid w:val="001570A2"/>
    <w:rsid w:val="00157494"/>
    <w:rsid w:val="00157A40"/>
    <w:rsid w:val="00160345"/>
    <w:rsid w:val="00160FEF"/>
    <w:rsid w:val="00161E67"/>
    <w:rsid w:val="001625AA"/>
    <w:rsid w:val="00162943"/>
    <w:rsid w:val="00162AEF"/>
    <w:rsid w:val="001634F3"/>
    <w:rsid w:val="00163842"/>
    <w:rsid w:val="00163AEC"/>
    <w:rsid w:val="0016412A"/>
    <w:rsid w:val="0016509F"/>
    <w:rsid w:val="001653D3"/>
    <w:rsid w:val="001655B6"/>
    <w:rsid w:val="00165C4B"/>
    <w:rsid w:val="0016636B"/>
    <w:rsid w:val="00166844"/>
    <w:rsid w:val="00166D17"/>
    <w:rsid w:val="001670DA"/>
    <w:rsid w:val="001672B4"/>
    <w:rsid w:val="00167DA5"/>
    <w:rsid w:val="00171CE5"/>
    <w:rsid w:val="00172300"/>
    <w:rsid w:val="00172480"/>
    <w:rsid w:val="0017267D"/>
    <w:rsid w:val="00173732"/>
    <w:rsid w:val="00174A34"/>
    <w:rsid w:val="00175002"/>
    <w:rsid w:val="00175B20"/>
    <w:rsid w:val="00175DAE"/>
    <w:rsid w:val="00175E49"/>
    <w:rsid w:val="00177440"/>
    <w:rsid w:val="0017759D"/>
    <w:rsid w:val="001775EC"/>
    <w:rsid w:val="0017766D"/>
    <w:rsid w:val="00177C9B"/>
    <w:rsid w:val="001807CA"/>
    <w:rsid w:val="00180EB4"/>
    <w:rsid w:val="00180FD0"/>
    <w:rsid w:val="00181110"/>
    <w:rsid w:val="00181702"/>
    <w:rsid w:val="0018195E"/>
    <w:rsid w:val="001824CB"/>
    <w:rsid w:val="00182ADA"/>
    <w:rsid w:val="00182DA7"/>
    <w:rsid w:val="001830BC"/>
    <w:rsid w:val="001830FD"/>
    <w:rsid w:val="0018322C"/>
    <w:rsid w:val="0018338B"/>
    <w:rsid w:val="00183AF4"/>
    <w:rsid w:val="00183B48"/>
    <w:rsid w:val="00183EFE"/>
    <w:rsid w:val="00185095"/>
    <w:rsid w:val="001855C3"/>
    <w:rsid w:val="00185884"/>
    <w:rsid w:val="00186C64"/>
    <w:rsid w:val="00186D2C"/>
    <w:rsid w:val="00187F40"/>
    <w:rsid w:val="00187F57"/>
    <w:rsid w:val="00191452"/>
    <w:rsid w:val="001915ED"/>
    <w:rsid w:val="001917DE"/>
    <w:rsid w:val="00192A50"/>
    <w:rsid w:val="00192B59"/>
    <w:rsid w:val="001930E5"/>
    <w:rsid w:val="0019320E"/>
    <w:rsid w:val="00193223"/>
    <w:rsid w:val="001934AE"/>
    <w:rsid w:val="001943B5"/>
    <w:rsid w:val="00195812"/>
    <w:rsid w:val="00195AAB"/>
    <w:rsid w:val="0019625D"/>
    <w:rsid w:val="001965DD"/>
    <w:rsid w:val="001965F5"/>
    <w:rsid w:val="00196614"/>
    <w:rsid w:val="00196783"/>
    <w:rsid w:val="001969A6"/>
    <w:rsid w:val="00196F08"/>
    <w:rsid w:val="00197055"/>
    <w:rsid w:val="001973E2"/>
    <w:rsid w:val="001975FE"/>
    <w:rsid w:val="001A00ED"/>
    <w:rsid w:val="001A05C8"/>
    <w:rsid w:val="001A105B"/>
    <w:rsid w:val="001A1291"/>
    <w:rsid w:val="001A12CA"/>
    <w:rsid w:val="001A1706"/>
    <w:rsid w:val="001A2330"/>
    <w:rsid w:val="001A2475"/>
    <w:rsid w:val="001A2B94"/>
    <w:rsid w:val="001A340C"/>
    <w:rsid w:val="001A4347"/>
    <w:rsid w:val="001A4894"/>
    <w:rsid w:val="001A4ADD"/>
    <w:rsid w:val="001A4D44"/>
    <w:rsid w:val="001A5002"/>
    <w:rsid w:val="001A506A"/>
    <w:rsid w:val="001A52EC"/>
    <w:rsid w:val="001A56B9"/>
    <w:rsid w:val="001A5EAE"/>
    <w:rsid w:val="001A621F"/>
    <w:rsid w:val="001A6A96"/>
    <w:rsid w:val="001A70D6"/>
    <w:rsid w:val="001A72B9"/>
    <w:rsid w:val="001A7C19"/>
    <w:rsid w:val="001B02EA"/>
    <w:rsid w:val="001B0D0E"/>
    <w:rsid w:val="001B0DAC"/>
    <w:rsid w:val="001B0F25"/>
    <w:rsid w:val="001B1FEA"/>
    <w:rsid w:val="001B2035"/>
    <w:rsid w:val="001B2216"/>
    <w:rsid w:val="001B237D"/>
    <w:rsid w:val="001B247E"/>
    <w:rsid w:val="001B270E"/>
    <w:rsid w:val="001B2AC7"/>
    <w:rsid w:val="001B2C21"/>
    <w:rsid w:val="001B3062"/>
    <w:rsid w:val="001B34B3"/>
    <w:rsid w:val="001B3750"/>
    <w:rsid w:val="001B3769"/>
    <w:rsid w:val="001B3853"/>
    <w:rsid w:val="001B39F3"/>
    <w:rsid w:val="001B4032"/>
    <w:rsid w:val="001B4666"/>
    <w:rsid w:val="001B48C0"/>
    <w:rsid w:val="001B4B38"/>
    <w:rsid w:val="001B551A"/>
    <w:rsid w:val="001B584E"/>
    <w:rsid w:val="001B6BA2"/>
    <w:rsid w:val="001B7CA1"/>
    <w:rsid w:val="001B7F1E"/>
    <w:rsid w:val="001C0655"/>
    <w:rsid w:val="001C0818"/>
    <w:rsid w:val="001C0A05"/>
    <w:rsid w:val="001C1029"/>
    <w:rsid w:val="001C13C3"/>
    <w:rsid w:val="001C16C1"/>
    <w:rsid w:val="001C1F53"/>
    <w:rsid w:val="001C2222"/>
    <w:rsid w:val="001C2558"/>
    <w:rsid w:val="001C25E2"/>
    <w:rsid w:val="001C28D7"/>
    <w:rsid w:val="001C2DE9"/>
    <w:rsid w:val="001C324F"/>
    <w:rsid w:val="001C331C"/>
    <w:rsid w:val="001C3581"/>
    <w:rsid w:val="001C3CD0"/>
    <w:rsid w:val="001C3EA0"/>
    <w:rsid w:val="001C48AC"/>
    <w:rsid w:val="001C48F9"/>
    <w:rsid w:val="001C5045"/>
    <w:rsid w:val="001C53A4"/>
    <w:rsid w:val="001C5C0E"/>
    <w:rsid w:val="001C62AE"/>
    <w:rsid w:val="001C64FA"/>
    <w:rsid w:val="001C6B6A"/>
    <w:rsid w:val="001C6BD4"/>
    <w:rsid w:val="001C71B3"/>
    <w:rsid w:val="001C7243"/>
    <w:rsid w:val="001C7AE9"/>
    <w:rsid w:val="001C7C8D"/>
    <w:rsid w:val="001C7CF0"/>
    <w:rsid w:val="001D06FD"/>
    <w:rsid w:val="001D0DC2"/>
    <w:rsid w:val="001D0DE9"/>
    <w:rsid w:val="001D1065"/>
    <w:rsid w:val="001D1765"/>
    <w:rsid w:val="001D2A8E"/>
    <w:rsid w:val="001D3426"/>
    <w:rsid w:val="001D3AC5"/>
    <w:rsid w:val="001D3F64"/>
    <w:rsid w:val="001D3F6E"/>
    <w:rsid w:val="001D4B5D"/>
    <w:rsid w:val="001D4E3E"/>
    <w:rsid w:val="001D5B0B"/>
    <w:rsid w:val="001D63AE"/>
    <w:rsid w:val="001D662C"/>
    <w:rsid w:val="001D6801"/>
    <w:rsid w:val="001D6F96"/>
    <w:rsid w:val="001D724F"/>
    <w:rsid w:val="001D7D54"/>
    <w:rsid w:val="001D7F31"/>
    <w:rsid w:val="001D7F55"/>
    <w:rsid w:val="001E0681"/>
    <w:rsid w:val="001E0DC7"/>
    <w:rsid w:val="001E11E7"/>
    <w:rsid w:val="001E18E1"/>
    <w:rsid w:val="001E1A56"/>
    <w:rsid w:val="001E1AB3"/>
    <w:rsid w:val="001E1DEE"/>
    <w:rsid w:val="001E2296"/>
    <w:rsid w:val="001E2E8E"/>
    <w:rsid w:val="001E3025"/>
    <w:rsid w:val="001E31C4"/>
    <w:rsid w:val="001E3626"/>
    <w:rsid w:val="001E38CB"/>
    <w:rsid w:val="001E3993"/>
    <w:rsid w:val="001E4417"/>
    <w:rsid w:val="001E4D62"/>
    <w:rsid w:val="001E518C"/>
    <w:rsid w:val="001E5364"/>
    <w:rsid w:val="001E5F49"/>
    <w:rsid w:val="001E62B8"/>
    <w:rsid w:val="001E631C"/>
    <w:rsid w:val="001E6405"/>
    <w:rsid w:val="001E6739"/>
    <w:rsid w:val="001E6BE3"/>
    <w:rsid w:val="001E71D1"/>
    <w:rsid w:val="001E75B9"/>
    <w:rsid w:val="001E77FD"/>
    <w:rsid w:val="001F06F7"/>
    <w:rsid w:val="001F08E0"/>
    <w:rsid w:val="001F0AEC"/>
    <w:rsid w:val="001F0E78"/>
    <w:rsid w:val="001F1AC4"/>
    <w:rsid w:val="001F1FF2"/>
    <w:rsid w:val="001F2072"/>
    <w:rsid w:val="001F2BEB"/>
    <w:rsid w:val="001F307C"/>
    <w:rsid w:val="001F434F"/>
    <w:rsid w:val="001F45E2"/>
    <w:rsid w:val="001F47A0"/>
    <w:rsid w:val="001F4937"/>
    <w:rsid w:val="001F53D6"/>
    <w:rsid w:val="001F5406"/>
    <w:rsid w:val="001F551E"/>
    <w:rsid w:val="001F56B3"/>
    <w:rsid w:val="001F5DE2"/>
    <w:rsid w:val="001F5FAB"/>
    <w:rsid w:val="001F7220"/>
    <w:rsid w:val="001F74D8"/>
    <w:rsid w:val="001F78C7"/>
    <w:rsid w:val="001F79E5"/>
    <w:rsid w:val="002002A5"/>
    <w:rsid w:val="00200384"/>
    <w:rsid w:val="002005D0"/>
    <w:rsid w:val="00200699"/>
    <w:rsid w:val="002009E5"/>
    <w:rsid w:val="00200B92"/>
    <w:rsid w:val="00201369"/>
    <w:rsid w:val="002014A5"/>
    <w:rsid w:val="00202AF4"/>
    <w:rsid w:val="00202BFC"/>
    <w:rsid w:val="00203146"/>
    <w:rsid w:val="002032BE"/>
    <w:rsid w:val="0020476B"/>
    <w:rsid w:val="0020487E"/>
    <w:rsid w:val="0020514F"/>
    <w:rsid w:val="0020633B"/>
    <w:rsid w:val="00206864"/>
    <w:rsid w:val="00206E48"/>
    <w:rsid w:val="00207895"/>
    <w:rsid w:val="00207FD5"/>
    <w:rsid w:val="00210195"/>
    <w:rsid w:val="002102B6"/>
    <w:rsid w:val="00210588"/>
    <w:rsid w:val="002108D7"/>
    <w:rsid w:val="00210A9E"/>
    <w:rsid w:val="00211382"/>
    <w:rsid w:val="00211D57"/>
    <w:rsid w:val="00212123"/>
    <w:rsid w:val="00212436"/>
    <w:rsid w:val="0021263D"/>
    <w:rsid w:val="0021293F"/>
    <w:rsid w:val="00212AB0"/>
    <w:rsid w:val="00212B20"/>
    <w:rsid w:val="00212B30"/>
    <w:rsid w:val="00212BCF"/>
    <w:rsid w:val="00214081"/>
    <w:rsid w:val="00214677"/>
    <w:rsid w:val="00214A88"/>
    <w:rsid w:val="00214DA0"/>
    <w:rsid w:val="00215238"/>
    <w:rsid w:val="00216576"/>
    <w:rsid w:val="00216700"/>
    <w:rsid w:val="00216B16"/>
    <w:rsid w:val="002170FA"/>
    <w:rsid w:val="00217247"/>
    <w:rsid w:val="00220131"/>
    <w:rsid w:val="0022047A"/>
    <w:rsid w:val="00220ABE"/>
    <w:rsid w:val="00221915"/>
    <w:rsid w:val="00221CFD"/>
    <w:rsid w:val="002222DD"/>
    <w:rsid w:val="002223F8"/>
    <w:rsid w:val="00222B4E"/>
    <w:rsid w:val="002238D4"/>
    <w:rsid w:val="00223946"/>
    <w:rsid w:val="00223C11"/>
    <w:rsid w:val="00223C3C"/>
    <w:rsid w:val="0022407D"/>
    <w:rsid w:val="00224D81"/>
    <w:rsid w:val="0022538C"/>
    <w:rsid w:val="00225B39"/>
    <w:rsid w:val="00225B68"/>
    <w:rsid w:val="00225DAF"/>
    <w:rsid w:val="00225E57"/>
    <w:rsid w:val="00226398"/>
    <w:rsid w:val="00227082"/>
    <w:rsid w:val="002271C9"/>
    <w:rsid w:val="00230F1E"/>
    <w:rsid w:val="002313F2"/>
    <w:rsid w:val="002319A7"/>
    <w:rsid w:val="00231BB7"/>
    <w:rsid w:val="00231D89"/>
    <w:rsid w:val="0023211C"/>
    <w:rsid w:val="002323FD"/>
    <w:rsid w:val="0023265B"/>
    <w:rsid w:val="00232732"/>
    <w:rsid w:val="00232D79"/>
    <w:rsid w:val="002333F1"/>
    <w:rsid w:val="00233912"/>
    <w:rsid w:val="00234561"/>
    <w:rsid w:val="00234C4A"/>
    <w:rsid w:val="00234E44"/>
    <w:rsid w:val="002354AE"/>
    <w:rsid w:val="0023563D"/>
    <w:rsid w:val="0023574F"/>
    <w:rsid w:val="00235A25"/>
    <w:rsid w:val="00235BE0"/>
    <w:rsid w:val="00235FBA"/>
    <w:rsid w:val="00236632"/>
    <w:rsid w:val="00236AD2"/>
    <w:rsid w:val="00237254"/>
    <w:rsid w:val="00237A74"/>
    <w:rsid w:val="00237CB7"/>
    <w:rsid w:val="00240407"/>
    <w:rsid w:val="0024073C"/>
    <w:rsid w:val="00240CDA"/>
    <w:rsid w:val="00240F2D"/>
    <w:rsid w:val="0024124A"/>
    <w:rsid w:val="00241867"/>
    <w:rsid w:val="00241A76"/>
    <w:rsid w:val="00241AD3"/>
    <w:rsid w:val="00241CBD"/>
    <w:rsid w:val="002421C1"/>
    <w:rsid w:val="002422B1"/>
    <w:rsid w:val="002429C0"/>
    <w:rsid w:val="002430CF"/>
    <w:rsid w:val="00243136"/>
    <w:rsid w:val="0024336E"/>
    <w:rsid w:val="002433DF"/>
    <w:rsid w:val="00243A19"/>
    <w:rsid w:val="00244115"/>
    <w:rsid w:val="0024437B"/>
    <w:rsid w:val="00244A1C"/>
    <w:rsid w:val="00245EEB"/>
    <w:rsid w:val="00246792"/>
    <w:rsid w:val="00246D80"/>
    <w:rsid w:val="0024724D"/>
    <w:rsid w:val="00247492"/>
    <w:rsid w:val="00247B1A"/>
    <w:rsid w:val="00247B8F"/>
    <w:rsid w:val="002501C4"/>
    <w:rsid w:val="002512BB"/>
    <w:rsid w:val="00251343"/>
    <w:rsid w:val="002524F1"/>
    <w:rsid w:val="00252813"/>
    <w:rsid w:val="002528E6"/>
    <w:rsid w:val="00252A33"/>
    <w:rsid w:val="00252B80"/>
    <w:rsid w:val="00252F34"/>
    <w:rsid w:val="0025327F"/>
    <w:rsid w:val="00253F07"/>
    <w:rsid w:val="0025405F"/>
    <w:rsid w:val="002545BA"/>
    <w:rsid w:val="00254E9B"/>
    <w:rsid w:val="0025549B"/>
    <w:rsid w:val="00255F6D"/>
    <w:rsid w:val="00256551"/>
    <w:rsid w:val="00256712"/>
    <w:rsid w:val="00256806"/>
    <w:rsid w:val="00256A31"/>
    <w:rsid w:val="00256D5B"/>
    <w:rsid w:val="0026004E"/>
    <w:rsid w:val="0026027A"/>
    <w:rsid w:val="002604FC"/>
    <w:rsid w:val="002605A0"/>
    <w:rsid w:val="002605F7"/>
    <w:rsid w:val="00260B85"/>
    <w:rsid w:val="00261029"/>
    <w:rsid w:val="002614FA"/>
    <w:rsid w:val="00261504"/>
    <w:rsid w:val="00261CE4"/>
    <w:rsid w:val="00261F57"/>
    <w:rsid w:val="002622BD"/>
    <w:rsid w:val="00262618"/>
    <w:rsid w:val="0026293C"/>
    <w:rsid w:val="002634CF"/>
    <w:rsid w:val="00263729"/>
    <w:rsid w:val="00263D4B"/>
    <w:rsid w:val="00263D6D"/>
    <w:rsid w:val="002642E7"/>
    <w:rsid w:val="0026443F"/>
    <w:rsid w:val="002644DC"/>
    <w:rsid w:val="0026482A"/>
    <w:rsid w:val="002648AB"/>
    <w:rsid w:val="00264ABD"/>
    <w:rsid w:val="00264C38"/>
    <w:rsid w:val="0026519B"/>
    <w:rsid w:val="00265A07"/>
    <w:rsid w:val="00265D69"/>
    <w:rsid w:val="00265E15"/>
    <w:rsid w:val="002662DB"/>
    <w:rsid w:val="00266F80"/>
    <w:rsid w:val="00267818"/>
    <w:rsid w:val="00270115"/>
    <w:rsid w:val="002705AD"/>
    <w:rsid w:val="00270D2E"/>
    <w:rsid w:val="0027164D"/>
    <w:rsid w:val="00271C0A"/>
    <w:rsid w:val="00271E44"/>
    <w:rsid w:val="00272117"/>
    <w:rsid w:val="002721D6"/>
    <w:rsid w:val="00272CDF"/>
    <w:rsid w:val="00272CF7"/>
    <w:rsid w:val="00273075"/>
    <w:rsid w:val="0027359B"/>
    <w:rsid w:val="002736CC"/>
    <w:rsid w:val="00273805"/>
    <w:rsid w:val="00274011"/>
    <w:rsid w:val="00274EED"/>
    <w:rsid w:val="00275218"/>
    <w:rsid w:val="00275326"/>
    <w:rsid w:val="00275360"/>
    <w:rsid w:val="002757AE"/>
    <w:rsid w:val="002759FD"/>
    <w:rsid w:val="002764A7"/>
    <w:rsid w:val="00276CE7"/>
    <w:rsid w:val="00276D4E"/>
    <w:rsid w:val="0027791E"/>
    <w:rsid w:val="00277FF4"/>
    <w:rsid w:val="00280540"/>
    <w:rsid w:val="00280839"/>
    <w:rsid w:val="00280D20"/>
    <w:rsid w:val="00281566"/>
    <w:rsid w:val="00281816"/>
    <w:rsid w:val="002818A7"/>
    <w:rsid w:val="00281CA9"/>
    <w:rsid w:val="00281D43"/>
    <w:rsid w:val="00281F0C"/>
    <w:rsid w:val="0028236B"/>
    <w:rsid w:val="002824F5"/>
    <w:rsid w:val="00283FDA"/>
    <w:rsid w:val="0028417A"/>
    <w:rsid w:val="002843A5"/>
    <w:rsid w:val="00284AF6"/>
    <w:rsid w:val="00284FAF"/>
    <w:rsid w:val="002852E1"/>
    <w:rsid w:val="002855DB"/>
    <w:rsid w:val="00285820"/>
    <w:rsid w:val="00285B10"/>
    <w:rsid w:val="00285F05"/>
    <w:rsid w:val="00286472"/>
    <w:rsid w:val="00286DBA"/>
    <w:rsid w:val="002874FE"/>
    <w:rsid w:val="002875B5"/>
    <w:rsid w:val="00287702"/>
    <w:rsid w:val="002878A3"/>
    <w:rsid w:val="002900B1"/>
    <w:rsid w:val="002906C3"/>
    <w:rsid w:val="00290BDE"/>
    <w:rsid w:val="00290D45"/>
    <w:rsid w:val="002911CB"/>
    <w:rsid w:val="00291228"/>
    <w:rsid w:val="00291254"/>
    <w:rsid w:val="00291C65"/>
    <w:rsid w:val="00292396"/>
    <w:rsid w:val="00292590"/>
    <w:rsid w:val="00292C13"/>
    <w:rsid w:val="00293111"/>
    <w:rsid w:val="002931F5"/>
    <w:rsid w:val="002935B7"/>
    <w:rsid w:val="00293786"/>
    <w:rsid w:val="00293F91"/>
    <w:rsid w:val="0029445D"/>
    <w:rsid w:val="00294F76"/>
    <w:rsid w:val="002953E2"/>
    <w:rsid w:val="00295C7E"/>
    <w:rsid w:val="00295E97"/>
    <w:rsid w:val="00296CB8"/>
    <w:rsid w:val="00296F55"/>
    <w:rsid w:val="00297400"/>
    <w:rsid w:val="00297781"/>
    <w:rsid w:val="002A0845"/>
    <w:rsid w:val="002A0857"/>
    <w:rsid w:val="002A09B2"/>
    <w:rsid w:val="002A0D98"/>
    <w:rsid w:val="002A0EC3"/>
    <w:rsid w:val="002A135C"/>
    <w:rsid w:val="002A145E"/>
    <w:rsid w:val="002A191D"/>
    <w:rsid w:val="002A1A28"/>
    <w:rsid w:val="002A1EC1"/>
    <w:rsid w:val="002A2143"/>
    <w:rsid w:val="002A23D2"/>
    <w:rsid w:val="002A2FB6"/>
    <w:rsid w:val="002A385F"/>
    <w:rsid w:val="002A3E56"/>
    <w:rsid w:val="002A42EB"/>
    <w:rsid w:val="002A4561"/>
    <w:rsid w:val="002A4768"/>
    <w:rsid w:val="002A4F44"/>
    <w:rsid w:val="002A4FF7"/>
    <w:rsid w:val="002A69BB"/>
    <w:rsid w:val="002A6DE9"/>
    <w:rsid w:val="002A75F8"/>
    <w:rsid w:val="002A7FA8"/>
    <w:rsid w:val="002B00C0"/>
    <w:rsid w:val="002B0220"/>
    <w:rsid w:val="002B033D"/>
    <w:rsid w:val="002B0343"/>
    <w:rsid w:val="002B076D"/>
    <w:rsid w:val="002B0E2C"/>
    <w:rsid w:val="002B1241"/>
    <w:rsid w:val="002B17F8"/>
    <w:rsid w:val="002B215A"/>
    <w:rsid w:val="002B2319"/>
    <w:rsid w:val="002B23B4"/>
    <w:rsid w:val="002B27E5"/>
    <w:rsid w:val="002B2D52"/>
    <w:rsid w:val="002B2E68"/>
    <w:rsid w:val="002B2EA6"/>
    <w:rsid w:val="002B3BE4"/>
    <w:rsid w:val="002B4393"/>
    <w:rsid w:val="002B47DA"/>
    <w:rsid w:val="002B4CD6"/>
    <w:rsid w:val="002B4DEE"/>
    <w:rsid w:val="002B55DE"/>
    <w:rsid w:val="002B56BC"/>
    <w:rsid w:val="002B5810"/>
    <w:rsid w:val="002B5D47"/>
    <w:rsid w:val="002B5D69"/>
    <w:rsid w:val="002B6870"/>
    <w:rsid w:val="002B6AF2"/>
    <w:rsid w:val="002B6C21"/>
    <w:rsid w:val="002B706F"/>
    <w:rsid w:val="002B7110"/>
    <w:rsid w:val="002B7716"/>
    <w:rsid w:val="002B7763"/>
    <w:rsid w:val="002B7D1A"/>
    <w:rsid w:val="002C1C0F"/>
    <w:rsid w:val="002C21C6"/>
    <w:rsid w:val="002C2355"/>
    <w:rsid w:val="002C24AF"/>
    <w:rsid w:val="002C26AD"/>
    <w:rsid w:val="002C26C6"/>
    <w:rsid w:val="002C2D74"/>
    <w:rsid w:val="002C3138"/>
    <w:rsid w:val="002C389C"/>
    <w:rsid w:val="002C3ACF"/>
    <w:rsid w:val="002C3E22"/>
    <w:rsid w:val="002C420C"/>
    <w:rsid w:val="002C430E"/>
    <w:rsid w:val="002C4662"/>
    <w:rsid w:val="002C500E"/>
    <w:rsid w:val="002C5764"/>
    <w:rsid w:val="002C580F"/>
    <w:rsid w:val="002C6188"/>
    <w:rsid w:val="002C6333"/>
    <w:rsid w:val="002C6473"/>
    <w:rsid w:val="002C69A5"/>
    <w:rsid w:val="002C6B4F"/>
    <w:rsid w:val="002C6BF8"/>
    <w:rsid w:val="002C6D29"/>
    <w:rsid w:val="002C7134"/>
    <w:rsid w:val="002C75E4"/>
    <w:rsid w:val="002C795A"/>
    <w:rsid w:val="002C79C8"/>
    <w:rsid w:val="002D02DA"/>
    <w:rsid w:val="002D0336"/>
    <w:rsid w:val="002D0393"/>
    <w:rsid w:val="002D0CBD"/>
    <w:rsid w:val="002D0F93"/>
    <w:rsid w:val="002D139E"/>
    <w:rsid w:val="002D13DC"/>
    <w:rsid w:val="002D171B"/>
    <w:rsid w:val="002D1A25"/>
    <w:rsid w:val="002D2001"/>
    <w:rsid w:val="002D2269"/>
    <w:rsid w:val="002D23A3"/>
    <w:rsid w:val="002D2503"/>
    <w:rsid w:val="002D2D1B"/>
    <w:rsid w:val="002D2E2F"/>
    <w:rsid w:val="002D2F78"/>
    <w:rsid w:val="002D31CE"/>
    <w:rsid w:val="002D38E3"/>
    <w:rsid w:val="002D3919"/>
    <w:rsid w:val="002D3D30"/>
    <w:rsid w:val="002D3D95"/>
    <w:rsid w:val="002D3F6E"/>
    <w:rsid w:val="002D411B"/>
    <w:rsid w:val="002D4DC2"/>
    <w:rsid w:val="002D59EF"/>
    <w:rsid w:val="002D5DE6"/>
    <w:rsid w:val="002D6112"/>
    <w:rsid w:val="002D665A"/>
    <w:rsid w:val="002D6B2A"/>
    <w:rsid w:val="002D6BFF"/>
    <w:rsid w:val="002D7F1C"/>
    <w:rsid w:val="002E0D24"/>
    <w:rsid w:val="002E0EE1"/>
    <w:rsid w:val="002E112B"/>
    <w:rsid w:val="002E1464"/>
    <w:rsid w:val="002E1732"/>
    <w:rsid w:val="002E1D9D"/>
    <w:rsid w:val="002E200B"/>
    <w:rsid w:val="002E2E1C"/>
    <w:rsid w:val="002E3675"/>
    <w:rsid w:val="002E3845"/>
    <w:rsid w:val="002E3982"/>
    <w:rsid w:val="002E3A63"/>
    <w:rsid w:val="002E419D"/>
    <w:rsid w:val="002E44FF"/>
    <w:rsid w:val="002E4714"/>
    <w:rsid w:val="002E528F"/>
    <w:rsid w:val="002E58FB"/>
    <w:rsid w:val="002E64F9"/>
    <w:rsid w:val="002E6CE3"/>
    <w:rsid w:val="002E7798"/>
    <w:rsid w:val="002E7BDE"/>
    <w:rsid w:val="002E7EA2"/>
    <w:rsid w:val="002F0288"/>
    <w:rsid w:val="002F1101"/>
    <w:rsid w:val="002F186A"/>
    <w:rsid w:val="002F1879"/>
    <w:rsid w:val="002F1B23"/>
    <w:rsid w:val="002F24D9"/>
    <w:rsid w:val="002F2652"/>
    <w:rsid w:val="002F2A23"/>
    <w:rsid w:val="002F2F22"/>
    <w:rsid w:val="002F3E29"/>
    <w:rsid w:val="002F4504"/>
    <w:rsid w:val="002F464A"/>
    <w:rsid w:val="002F57A5"/>
    <w:rsid w:val="002F7373"/>
    <w:rsid w:val="002F786D"/>
    <w:rsid w:val="002F7D49"/>
    <w:rsid w:val="00300033"/>
    <w:rsid w:val="0030011C"/>
    <w:rsid w:val="00300681"/>
    <w:rsid w:val="003006A8"/>
    <w:rsid w:val="0030074E"/>
    <w:rsid w:val="003008AC"/>
    <w:rsid w:val="00300B62"/>
    <w:rsid w:val="00301F7F"/>
    <w:rsid w:val="00302585"/>
    <w:rsid w:val="00302B8B"/>
    <w:rsid w:val="00303047"/>
    <w:rsid w:val="0030357B"/>
    <w:rsid w:val="00303588"/>
    <w:rsid w:val="003035DC"/>
    <w:rsid w:val="00303744"/>
    <w:rsid w:val="00303AB7"/>
    <w:rsid w:val="00304219"/>
    <w:rsid w:val="0030462B"/>
    <w:rsid w:val="00304B37"/>
    <w:rsid w:val="003054E0"/>
    <w:rsid w:val="003060CE"/>
    <w:rsid w:val="00306650"/>
    <w:rsid w:val="00307A94"/>
    <w:rsid w:val="00307AD7"/>
    <w:rsid w:val="00310338"/>
    <w:rsid w:val="00310630"/>
    <w:rsid w:val="00310B6D"/>
    <w:rsid w:val="00310DC9"/>
    <w:rsid w:val="00311189"/>
    <w:rsid w:val="00311FCC"/>
    <w:rsid w:val="00312107"/>
    <w:rsid w:val="003131BA"/>
    <w:rsid w:val="003131EF"/>
    <w:rsid w:val="0031392A"/>
    <w:rsid w:val="00313F09"/>
    <w:rsid w:val="00314262"/>
    <w:rsid w:val="003147B9"/>
    <w:rsid w:val="00314B3E"/>
    <w:rsid w:val="0031537A"/>
    <w:rsid w:val="003154CB"/>
    <w:rsid w:val="003154F6"/>
    <w:rsid w:val="0031572C"/>
    <w:rsid w:val="00315D7A"/>
    <w:rsid w:val="003165D4"/>
    <w:rsid w:val="00316736"/>
    <w:rsid w:val="00316809"/>
    <w:rsid w:val="003176ED"/>
    <w:rsid w:val="00317745"/>
    <w:rsid w:val="00317AAC"/>
    <w:rsid w:val="00317EAE"/>
    <w:rsid w:val="00320012"/>
    <w:rsid w:val="00320081"/>
    <w:rsid w:val="00320DC2"/>
    <w:rsid w:val="0032118E"/>
    <w:rsid w:val="0032137B"/>
    <w:rsid w:val="00321FEA"/>
    <w:rsid w:val="0032202C"/>
    <w:rsid w:val="00322A8E"/>
    <w:rsid w:val="00322B33"/>
    <w:rsid w:val="00322EAD"/>
    <w:rsid w:val="00323393"/>
    <w:rsid w:val="00323526"/>
    <w:rsid w:val="0032372C"/>
    <w:rsid w:val="00323AB4"/>
    <w:rsid w:val="00324163"/>
    <w:rsid w:val="00324204"/>
    <w:rsid w:val="00325373"/>
    <w:rsid w:val="00325448"/>
    <w:rsid w:val="003255A5"/>
    <w:rsid w:val="00325A18"/>
    <w:rsid w:val="00325B27"/>
    <w:rsid w:val="00325F5B"/>
    <w:rsid w:val="003260E6"/>
    <w:rsid w:val="0032630E"/>
    <w:rsid w:val="003263E0"/>
    <w:rsid w:val="00326C8D"/>
    <w:rsid w:val="00326FAF"/>
    <w:rsid w:val="00327554"/>
    <w:rsid w:val="00327CB0"/>
    <w:rsid w:val="00327EFA"/>
    <w:rsid w:val="0033056A"/>
    <w:rsid w:val="00330790"/>
    <w:rsid w:val="0033087A"/>
    <w:rsid w:val="0033135E"/>
    <w:rsid w:val="00331A2D"/>
    <w:rsid w:val="00331BEA"/>
    <w:rsid w:val="00332090"/>
    <w:rsid w:val="00332798"/>
    <w:rsid w:val="00332C5C"/>
    <w:rsid w:val="00332E01"/>
    <w:rsid w:val="00333292"/>
    <w:rsid w:val="00333364"/>
    <w:rsid w:val="00333A99"/>
    <w:rsid w:val="003342F2"/>
    <w:rsid w:val="00334367"/>
    <w:rsid w:val="0033447B"/>
    <w:rsid w:val="00334EBC"/>
    <w:rsid w:val="00335934"/>
    <w:rsid w:val="003359C9"/>
    <w:rsid w:val="0033604F"/>
    <w:rsid w:val="003379A2"/>
    <w:rsid w:val="00337B3F"/>
    <w:rsid w:val="00340D2A"/>
    <w:rsid w:val="00340E31"/>
    <w:rsid w:val="003415BE"/>
    <w:rsid w:val="00341BD0"/>
    <w:rsid w:val="00341D45"/>
    <w:rsid w:val="003427B3"/>
    <w:rsid w:val="0034333F"/>
    <w:rsid w:val="0034359F"/>
    <w:rsid w:val="00344191"/>
    <w:rsid w:val="003441BE"/>
    <w:rsid w:val="003443D4"/>
    <w:rsid w:val="00344677"/>
    <w:rsid w:val="00344721"/>
    <w:rsid w:val="00344C6A"/>
    <w:rsid w:val="003453BB"/>
    <w:rsid w:val="00345562"/>
    <w:rsid w:val="00345673"/>
    <w:rsid w:val="003465AC"/>
    <w:rsid w:val="00346726"/>
    <w:rsid w:val="0034729E"/>
    <w:rsid w:val="00347759"/>
    <w:rsid w:val="0034783D"/>
    <w:rsid w:val="00350209"/>
    <w:rsid w:val="003504BD"/>
    <w:rsid w:val="00350568"/>
    <w:rsid w:val="00350FA1"/>
    <w:rsid w:val="003510C7"/>
    <w:rsid w:val="00351EA8"/>
    <w:rsid w:val="00352047"/>
    <w:rsid w:val="003521E5"/>
    <w:rsid w:val="0035234A"/>
    <w:rsid w:val="00353C96"/>
    <w:rsid w:val="00353FB4"/>
    <w:rsid w:val="003542F3"/>
    <w:rsid w:val="00354C45"/>
    <w:rsid w:val="00354C6D"/>
    <w:rsid w:val="00355479"/>
    <w:rsid w:val="00355E6C"/>
    <w:rsid w:val="00355F6E"/>
    <w:rsid w:val="00356524"/>
    <w:rsid w:val="00356F4D"/>
    <w:rsid w:val="00360F54"/>
    <w:rsid w:val="0036243B"/>
    <w:rsid w:val="0036250A"/>
    <w:rsid w:val="003629FC"/>
    <w:rsid w:val="00362BD2"/>
    <w:rsid w:val="00363168"/>
    <w:rsid w:val="00363468"/>
    <w:rsid w:val="0036365A"/>
    <w:rsid w:val="00363DD7"/>
    <w:rsid w:val="00363F05"/>
    <w:rsid w:val="003642BD"/>
    <w:rsid w:val="00364816"/>
    <w:rsid w:val="00364891"/>
    <w:rsid w:val="00364997"/>
    <w:rsid w:val="00364FDE"/>
    <w:rsid w:val="003653F1"/>
    <w:rsid w:val="00365828"/>
    <w:rsid w:val="00365AA8"/>
    <w:rsid w:val="003672E5"/>
    <w:rsid w:val="003675EF"/>
    <w:rsid w:val="0037000A"/>
    <w:rsid w:val="003700F2"/>
    <w:rsid w:val="00370704"/>
    <w:rsid w:val="00371553"/>
    <w:rsid w:val="00371997"/>
    <w:rsid w:val="003724BA"/>
    <w:rsid w:val="00372C9F"/>
    <w:rsid w:val="003730BF"/>
    <w:rsid w:val="003732E2"/>
    <w:rsid w:val="0037332F"/>
    <w:rsid w:val="00373581"/>
    <w:rsid w:val="00373FE2"/>
    <w:rsid w:val="0037427D"/>
    <w:rsid w:val="00374472"/>
    <w:rsid w:val="00374895"/>
    <w:rsid w:val="003748AF"/>
    <w:rsid w:val="003752AC"/>
    <w:rsid w:val="00375607"/>
    <w:rsid w:val="003757A8"/>
    <w:rsid w:val="00376CB9"/>
    <w:rsid w:val="00376CE9"/>
    <w:rsid w:val="00377460"/>
    <w:rsid w:val="00380146"/>
    <w:rsid w:val="003807C5"/>
    <w:rsid w:val="00380AC9"/>
    <w:rsid w:val="0038131C"/>
    <w:rsid w:val="00381732"/>
    <w:rsid w:val="003822F1"/>
    <w:rsid w:val="003824A4"/>
    <w:rsid w:val="003827B2"/>
    <w:rsid w:val="00382A0E"/>
    <w:rsid w:val="00382A3F"/>
    <w:rsid w:val="00382ADF"/>
    <w:rsid w:val="003835E5"/>
    <w:rsid w:val="0038367C"/>
    <w:rsid w:val="0038403D"/>
    <w:rsid w:val="0038420E"/>
    <w:rsid w:val="00384323"/>
    <w:rsid w:val="003843B1"/>
    <w:rsid w:val="0038443A"/>
    <w:rsid w:val="003852B8"/>
    <w:rsid w:val="003856DE"/>
    <w:rsid w:val="00386005"/>
    <w:rsid w:val="003860AB"/>
    <w:rsid w:val="00386347"/>
    <w:rsid w:val="003865AA"/>
    <w:rsid w:val="00386C03"/>
    <w:rsid w:val="0038765F"/>
    <w:rsid w:val="00387789"/>
    <w:rsid w:val="00387852"/>
    <w:rsid w:val="003878AD"/>
    <w:rsid w:val="00387C40"/>
    <w:rsid w:val="00387E23"/>
    <w:rsid w:val="00387FA4"/>
    <w:rsid w:val="00390400"/>
    <w:rsid w:val="00390723"/>
    <w:rsid w:val="0039108F"/>
    <w:rsid w:val="003911E1"/>
    <w:rsid w:val="00391CCD"/>
    <w:rsid w:val="00392469"/>
    <w:rsid w:val="00393524"/>
    <w:rsid w:val="00393ABF"/>
    <w:rsid w:val="003943E0"/>
    <w:rsid w:val="00394D38"/>
    <w:rsid w:val="00394E3E"/>
    <w:rsid w:val="0039515D"/>
    <w:rsid w:val="00395204"/>
    <w:rsid w:val="003961FF"/>
    <w:rsid w:val="003963E4"/>
    <w:rsid w:val="003964DF"/>
    <w:rsid w:val="0039685B"/>
    <w:rsid w:val="0039708F"/>
    <w:rsid w:val="00397831"/>
    <w:rsid w:val="00397A2E"/>
    <w:rsid w:val="003A03DE"/>
    <w:rsid w:val="003A04BC"/>
    <w:rsid w:val="003A0922"/>
    <w:rsid w:val="003A0DB0"/>
    <w:rsid w:val="003A1619"/>
    <w:rsid w:val="003A1771"/>
    <w:rsid w:val="003A1DAB"/>
    <w:rsid w:val="003A2011"/>
    <w:rsid w:val="003A2FFF"/>
    <w:rsid w:val="003A3135"/>
    <w:rsid w:val="003A3198"/>
    <w:rsid w:val="003A35B1"/>
    <w:rsid w:val="003A42BE"/>
    <w:rsid w:val="003A4315"/>
    <w:rsid w:val="003A51FC"/>
    <w:rsid w:val="003A5432"/>
    <w:rsid w:val="003A5871"/>
    <w:rsid w:val="003A6F57"/>
    <w:rsid w:val="003A6FA4"/>
    <w:rsid w:val="003A73AF"/>
    <w:rsid w:val="003A7D7D"/>
    <w:rsid w:val="003A7E8D"/>
    <w:rsid w:val="003B0121"/>
    <w:rsid w:val="003B1677"/>
    <w:rsid w:val="003B1B98"/>
    <w:rsid w:val="003B1CE9"/>
    <w:rsid w:val="003B1DEA"/>
    <w:rsid w:val="003B2107"/>
    <w:rsid w:val="003B356E"/>
    <w:rsid w:val="003B35AE"/>
    <w:rsid w:val="003B4180"/>
    <w:rsid w:val="003B43AD"/>
    <w:rsid w:val="003B47F6"/>
    <w:rsid w:val="003B4B79"/>
    <w:rsid w:val="003B4EC6"/>
    <w:rsid w:val="003B5197"/>
    <w:rsid w:val="003B5431"/>
    <w:rsid w:val="003B557C"/>
    <w:rsid w:val="003B58B7"/>
    <w:rsid w:val="003B5972"/>
    <w:rsid w:val="003B5A23"/>
    <w:rsid w:val="003B5A83"/>
    <w:rsid w:val="003B6499"/>
    <w:rsid w:val="003B667C"/>
    <w:rsid w:val="003B6AED"/>
    <w:rsid w:val="003B6C37"/>
    <w:rsid w:val="003B6F75"/>
    <w:rsid w:val="003B78A6"/>
    <w:rsid w:val="003B7EA0"/>
    <w:rsid w:val="003C05B0"/>
    <w:rsid w:val="003C13EB"/>
    <w:rsid w:val="003C1A53"/>
    <w:rsid w:val="003C2E36"/>
    <w:rsid w:val="003C37B9"/>
    <w:rsid w:val="003C383B"/>
    <w:rsid w:val="003C4C16"/>
    <w:rsid w:val="003C4EC9"/>
    <w:rsid w:val="003C5685"/>
    <w:rsid w:val="003C58EE"/>
    <w:rsid w:val="003C5C81"/>
    <w:rsid w:val="003C60FE"/>
    <w:rsid w:val="003C620C"/>
    <w:rsid w:val="003C6C11"/>
    <w:rsid w:val="003C7D29"/>
    <w:rsid w:val="003C7F4B"/>
    <w:rsid w:val="003D0C88"/>
    <w:rsid w:val="003D15BE"/>
    <w:rsid w:val="003D2071"/>
    <w:rsid w:val="003D2C1D"/>
    <w:rsid w:val="003D2D95"/>
    <w:rsid w:val="003D2FC3"/>
    <w:rsid w:val="003D3142"/>
    <w:rsid w:val="003D31AC"/>
    <w:rsid w:val="003D31E8"/>
    <w:rsid w:val="003D3350"/>
    <w:rsid w:val="003D3559"/>
    <w:rsid w:val="003D362B"/>
    <w:rsid w:val="003D3F21"/>
    <w:rsid w:val="003D4944"/>
    <w:rsid w:val="003D4BB4"/>
    <w:rsid w:val="003D4D0A"/>
    <w:rsid w:val="003D5F98"/>
    <w:rsid w:val="003D6251"/>
    <w:rsid w:val="003D7075"/>
    <w:rsid w:val="003D7862"/>
    <w:rsid w:val="003D78B1"/>
    <w:rsid w:val="003D7A86"/>
    <w:rsid w:val="003D7CA7"/>
    <w:rsid w:val="003D7DE9"/>
    <w:rsid w:val="003D7FC0"/>
    <w:rsid w:val="003E03B3"/>
    <w:rsid w:val="003E0517"/>
    <w:rsid w:val="003E070A"/>
    <w:rsid w:val="003E0964"/>
    <w:rsid w:val="003E13A0"/>
    <w:rsid w:val="003E1539"/>
    <w:rsid w:val="003E1AED"/>
    <w:rsid w:val="003E1C06"/>
    <w:rsid w:val="003E1F8C"/>
    <w:rsid w:val="003E3F2C"/>
    <w:rsid w:val="003E44D7"/>
    <w:rsid w:val="003E4742"/>
    <w:rsid w:val="003E4ADF"/>
    <w:rsid w:val="003E4B94"/>
    <w:rsid w:val="003E4E4B"/>
    <w:rsid w:val="003E5CA7"/>
    <w:rsid w:val="003E5E95"/>
    <w:rsid w:val="003E5EA6"/>
    <w:rsid w:val="003E6AA8"/>
    <w:rsid w:val="003E6F09"/>
    <w:rsid w:val="003E78F8"/>
    <w:rsid w:val="003E7A28"/>
    <w:rsid w:val="003E7B79"/>
    <w:rsid w:val="003E7C7D"/>
    <w:rsid w:val="003F0225"/>
    <w:rsid w:val="003F0590"/>
    <w:rsid w:val="003F0740"/>
    <w:rsid w:val="003F09DE"/>
    <w:rsid w:val="003F09F6"/>
    <w:rsid w:val="003F1169"/>
    <w:rsid w:val="003F1222"/>
    <w:rsid w:val="003F234D"/>
    <w:rsid w:val="003F256F"/>
    <w:rsid w:val="003F32F3"/>
    <w:rsid w:val="003F34A2"/>
    <w:rsid w:val="003F3772"/>
    <w:rsid w:val="003F38F3"/>
    <w:rsid w:val="003F38FC"/>
    <w:rsid w:val="003F3C73"/>
    <w:rsid w:val="003F5960"/>
    <w:rsid w:val="003F5F95"/>
    <w:rsid w:val="003F5FFF"/>
    <w:rsid w:val="003F693A"/>
    <w:rsid w:val="003F6BE0"/>
    <w:rsid w:val="003F7177"/>
    <w:rsid w:val="003F7371"/>
    <w:rsid w:val="003F7C11"/>
    <w:rsid w:val="003F7FAB"/>
    <w:rsid w:val="004006E8"/>
    <w:rsid w:val="004010F3"/>
    <w:rsid w:val="00401BE5"/>
    <w:rsid w:val="00401E01"/>
    <w:rsid w:val="0040216B"/>
    <w:rsid w:val="00402505"/>
    <w:rsid w:val="004026EF"/>
    <w:rsid w:val="0040276E"/>
    <w:rsid w:val="00403236"/>
    <w:rsid w:val="004034F3"/>
    <w:rsid w:val="004039FF"/>
    <w:rsid w:val="004041A1"/>
    <w:rsid w:val="0040485C"/>
    <w:rsid w:val="00404B95"/>
    <w:rsid w:val="00405995"/>
    <w:rsid w:val="00405BE5"/>
    <w:rsid w:val="00405F61"/>
    <w:rsid w:val="004060DE"/>
    <w:rsid w:val="00406BDE"/>
    <w:rsid w:val="00407170"/>
    <w:rsid w:val="0040769F"/>
    <w:rsid w:val="004078BB"/>
    <w:rsid w:val="004079EC"/>
    <w:rsid w:val="00407BB7"/>
    <w:rsid w:val="00410257"/>
    <w:rsid w:val="004105FE"/>
    <w:rsid w:val="00410E20"/>
    <w:rsid w:val="0041266A"/>
    <w:rsid w:val="00412B2D"/>
    <w:rsid w:val="00412B8A"/>
    <w:rsid w:val="00412E11"/>
    <w:rsid w:val="00412F01"/>
    <w:rsid w:val="00413323"/>
    <w:rsid w:val="0041398A"/>
    <w:rsid w:val="00414449"/>
    <w:rsid w:val="00414597"/>
    <w:rsid w:val="00414723"/>
    <w:rsid w:val="00414A7D"/>
    <w:rsid w:val="00414E31"/>
    <w:rsid w:val="00415228"/>
    <w:rsid w:val="00415451"/>
    <w:rsid w:val="004155BB"/>
    <w:rsid w:val="0041589A"/>
    <w:rsid w:val="0041597B"/>
    <w:rsid w:val="004159CC"/>
    <w:rsid w:val="00415D8A"/>
    <w:rsid w:val="00416C82"/>
    <w:rsid w:val="00416D72"/>
    <w:rsid w:val="0041778F"/>
    <w:rsid w:val="0042094F"/>
    <w:rsid w:val="00421301"/>
    <w:rsid w:val="00421A9E"/>
    <w:rsid w:val="00421B42"/>
    <w:rsid w:val="00422162"/>
    <w:rsid w:val="00422373"/>
    <w:rsid w:val="00422A56"/>
    <w:rsid w:val="00422AD5"/>
    <w:rsid w:val="00422B8F"/>
    <w:rsid w:val="00422CEC"/>
    <w:rsid w:val="00423455"/>
    <w:rsid w:val="00423831"/>
    <w:rsid w:val="00423E28"/>
    <w:rsid w:val="00424F54"/>
    <w:rsid w:val="0042510C"/>
    <w:rsid w:val="00425268"/>
    <w:rsid w:val="0042573C"/>
    <w:rsid w:val="004258A4"/>
    <w:rsid w:val="004258F4"/>
    <w:rsid w:val="00425E1C"/>
    <w:rsid w:val="00425E91"/>
    <w:rsid w:val="00425FD4"/>
    <w:rsid w:val="004263B9"/>
    <w:rsid w:val="00426ABA"/>
    <w:rsid w:val="00426D8F"/>
    <w:rsid w:val="0043066E"/>
    <w:rsid w:val="00430AFC"/>
    <w:rsid w:val="00431D10"/>
    <w:rsid w:val="00432317"/>
    <w:rsid w:val="004323A6"/>
    <w:rsid w:val="004323DD"/>
    <w:rsid w:val="00432D18"/>
    <w:rsid w:val="004331BE"/>
    <w:rsid w:val="0043339D"/>
    <w:rsid w:val="00433634"/>
    <w:rsid w:val="00433709"/>
    <w:rsid w:val="0043449A"/>
    <w:rsid w:val="0043501C"/>
    <w:rsid w:val="00435441"/>
    <w:rsid w:val="00435849"/>
    <w:rsid w:val="0043655A"/>
    <w:rsid w:val="00436B9E"/>
    <w:rsid w:val="00436CD5"/>
    <w:rsid w:val="00437252"/>
    <w:rsid w:val="004378BB"/>
    <w:rsid w:val="00437C7D"/>
    <w:rsid w:val="0044015B"/>
    <w:rsid w:val="004404EE"/>
    <w:rsid w:val="004406A9"/>
    <w:rsid w:val="00440798"/>
    <w:rsid w:val="00440C29"/>
    <w:rsid w:val="00441078"/>
    <w:rsid w:val="00442109"/>
    <w:rsid w:val="004423D4"/>
    <w:rsid w:val="004424CE"/>
    <w:rsid w:val="00442A96"/>
    <w:rsid w:val="00442F5C"/>
    <w:rsid w:val="00443746"/>
    <w:rsid w:val="0044410B"/>
    <w:rsid w:val="0044431D"/>
    <w:rsid w:val="00444437"/>
    <w:rsid w:val="004444D8"/>
    <w:rsid w:val="004449C8"/>
    <w:rsid w:val="00444B52"/>
    <w:rsid w:val="00445204"/>
    <w:rsid w:val="004452AB"/>
    <w:rsid w:val="00445507"/>
    <w:rsid w:val="004455B0"/>
    <w:rsid w:val="00445ACF"/>
    <w:rsid w:val="00446111"/>
    <w:rsid w:val="00446893"/>
    <w:rsid w:val="00446BBA"/>
    <w:rsid w:val="0044714A"/>
    <w:rsid w:val="00447B4A"/>
    <w:rsid w:val="00447C71"/>
    <w:rsid w:val="00447E3F"/>
    <w:rsid w:val="00450011"/>
    <w:rsid w:val="004500BC"/>
    <w:rsid w:val="00450719"/>
    <w:rsid w:val="00450B89"/>
    <w:rsid w:val="004513DA"/>
    <w:rsid w:val="00451BA5"/>
    <w:rsid w:val="00451C4F"/>
    <w:rsid w:val="0045254B"/>
    <w:rsid w:val="0045282F"/>
    <w:rsid w:val="00452DA8"/>
    <w:rsid w:val="004533AB"/>
    <w:rsid w:val="00453BF8"/>
    <w:rsid w:val="004543E5"/>
    <w:rsid w:val="0045461B"/>
    <w:rsid w:val="00455413"/>
    <w:rsid w:val="0045566E"/>
    <w:rsid w:val="00455AD2"/>
    <w:rsid w:val="00455FF2"/>
    <w:rsid w:val="00456856"/>
    <w:rsid w:val="00456AED"/>
    <w:rsid w:val="004574D8"/>
    <w:rsid w:val="00457AA1"/>
    <w:rsid w:val="00457EBE"/>
    <w:rsid w:val="004602E6"/>
    <w:rsid w:val="004612E4"/>
    <w:rsid w:val="00461791"/>
    <w:rsid w:val="00461888"/>
    <w:rsid w:val="00461922"/>
    <w:rsid w:val="00462523"/>
    <w:rsid w:val="00462730"/>
    <w:rsid w:val="00462DEF"/>
    <w:rsid w:val="0046370E"/>
    <w:rsid w:val="00463AD0"/>
    <w:rsid w:val="004640C7"/>
    <w:rsid w:val="0046449E"/>
    <w:rsid w:val="00464D97"/>
    <w:rsid w:val="0046592B"/>
    <w:rsid w:val="004673B4"/>
    <w:rsid w:val="0046750A"/>
    <w:rsid w:val="0046754C"/>
    <w:rsid w:val="00467FA2"/>
    <w:rsid w:val="004700AA"/>
    <w:rsid w:val="004707D4"/>
    <w:rsid w:val="004707DD"/>
    <w:rsid w:val="00470BB6"/>
    <w:rsid w:val="00470E01"/>
    <w:rsid w:val="0047147E"/>
    <w:rsid w:val="004716CF"/>
    <w:rsid w:val="00471B39"/>
    <w:rsid w:val="00471BAF"/>
    <w:rsid w:val="00471D10"/>
    <w:rsid w:val="00472520"/>
    <w:rsid w:val="004727F2"/>
    <w:rsid w:val="0047282B"/>
    <w:rsid w:val="00472954"/>
    <w:rsid w:val="00472996"/>
    <w:rsid w:val="004729F2"/>
    <w:rsid w:val="00473A97"/>
    <w:rsid w:val="00474203"/>
    <w:rsid w:val="00474342"/>
    <w:rsid w:val="004743AB"/>
    <w:rsid w:val="00475C33"/>
    <w:rsid w:val="00475DB6"/>
    <w:rsid w:val="00475F3E"/>
    <w:rsid w:val="0047656D"/>
    <w:rsid w:val="00476AED"/>
    <w:rsid w:val="00476C01"/>
    <w:rsid w:val="00477798"/>
    <w:rsid w:val="00477D79"/>
    <w:rsid w:val="00477FFD"/>
    <w:rsid w:val="00480A0D"/>
    <w:rsid w:val="00480E5E"/>
    <w:rsid w:val="00481327"/>
    <w:rsid w:val="00481CBE"/>
    <w:rsid w:val="00481E5A"/>
    <w:rsid w:val="00482201"/>
    <w:rsid w:val="00482360"/>
    <w:rsid w:val="00482491"/>
    <w:rsid w:val="004826C0"/>
    <w:rsid w:val="0048270E"/>
    <w:rsid w:val="00482BD9"/>
    <w:rsid w:val="004832EE"/>
    <w:rsid w:val="004832FA"/>
    <w:rsid w:val="0048333D"/>
    <w:rsid w:val="00483786"/>
    <w:rsid w:val="00483D0B"/>
    <w:rsid w:val="00483ECB"/>
    <w:rsid w:val="00484781"/>
    <w:rsid w:val="004858B2"/>
    <w:rsid w:val="00485C92"/>
    <w:rsid w:val="00486600"/>
    <w:rsid w:val="004866E0"/>
    <w:rsid w:val="00486C29"/>
    <w:rsid w:val="004878F6"/>
    <w:rsid w:val="004900F1"/>
    <w:rsid w:val="004909DA"/>
    <w:rsid w:val="00490F45"/>
    <w:rsid w:val="004918A4"/>
    <w:rsid w:val="0049198A"/>
    <w:rsid w:val="00491B6D"/>
    <w:rsid w:val="00492177"/>
    <w:rsid w:val="0049225C"/>
    <w:rsid w:val="004922C1"/>
    <w:rsid w:val="00492A39"/>
    <w:rsid w:val="00492B95"/>
    <w:rsid w:val="00493BF6"/>
    <w:rsid w:val="0049440C"/>
    <w:rsid w:val="004949E4"/>
    <w:rsid w:val="00494EC7"/>
    <w:rsid w:val="00495710"/>
    <w:rsid w:val="00495ED9"/>
    <w:rsid w:val="004968EE"/>
    <w:rsid w:val="00497974"/>
    <w:rsid w:val="004A00B8"/>
    <w:rsid w:val="004A0472"/>
    <w:rsid w:val="004A0BB0"/>
    <w:rsid w:val="004A2695"/>
    <w:rsid w:val="004A3EC4"/>
    <w:rsid w:val="004A450B"/>
    <w:rsid w:val="004A51C9"/>
    <w:rsid w:val="004A56B5"/>
    <w:rsid w:val="004A5DB0"/>
    <w:rsid w:val="004A5FA6"/>
    <w:rsid w:val="004A7CAF"/>
    <w:rsid w:val="004B04BF"/>
    <w:rsid w:val="004B0989"/>
    <w:rsid w:val="004B0A03"/>
    <w:rsid w:val="004B0F81"/>
    <w:rsid w:val="004B1971"/>
    <w:rsid w:val="004B1A0E"/>
    <w:rsid w:val="004B1AD6"/>
    <w:rsid w:val="004B2821"/>
    <w:rsid w:val="004B2858"/>
    <w:rsid w:val="004B2D11"/>
    <w:rsid w:val="004B2F89"/>
    <w:rsid w:val="004B32CB"/>
    <w:rsid w:val="004B3973"/>
    <w:rsid w:val="004B3CD1"/>
    <w:rsid w:val="004B41AF"/>
    <w:rsid w:val="004B47C8"/>
    <w:rsid w:val="004B4A79"/>
    <w:rsid w:val="004B5055"/>
    <w:rsid w:val="004B5593"/>
    <w:rsid w:val="004B5A18"/>
    <w:rsid w:val="004B6035"/>
    <w:rsid w:val="004B608A"/>
    <w:rsid w:val="004B640B"/>
    <w:rsid w:val="004B6A9E"/>
    <w:rsid w:val="004B7931"/>
    <w:rsid w:val="004C0062"/>
    <w:rsid w:val="004C0278"/>
    <w:rsid w:val="004C07C6"/>
    <w:rsid w:val="004C0BDA"/>
    <w:rsid w:val="004C0F87"/>
    <w:rsid w:val="004C18AF"/>
    <w:rsid w:val="004C24EE"/>
    <w:rsid w:val="004C2537"/>
    <w:rsid w:val="004C2EAC"/>
    <w:rsid w:val="004C32CE"/>
    <w:rsid w:val="004C3AB5"/>
    <w:rsid w:val="004C3B26"/>
    <w:rsid w:val="004C3B83"/>
    <w:rsid w:val="004C4142"/>
    <w:rsid w:val="004C4414"/>
    <w:rsid w:val="004C441C"/>
    <w:rsid w:val="004C4543"/>
    <w:rsid w:val="004C4BAD"/>
    <w:rsid w:val="004C59E9"/>
    <w:rsid w:val="004C6339"/>
    <w:rsid w:val="004C6BE0"/>
    <w:rsid w:val="004C6F03"/>
    <w:rsid w:val="004C70CE"/>
    <w:rsid w:val="004C76AD"/>
    <w:rsid w:val="004C77A8"/>
    <w:rsid w:val="004D0109"/>
    <w:rsid w:val="004D0B7D"/>
    <w:rsid w:val="004D0BA5"/>
    <w:rsid w:val="004D1017"/>
    <w:rsid w:val="004D1378"/>
    <w:rsid w:val="004D18E9"/>
    <w:rsid w:val="004D21E4"/>
    <w:rsid w:val="004D23FB"/>
    <w:rsid w:val="004D2750"/>
    <w:rsid w:val="004D2760"/>
    <w:rsid w:val="004D287A"/>
    <w:rsid w:val="004D2C24"/>
    <w:rsid w:val="004D2EFE"/>
    <w:rsid w:val="004D3017"/>
    <w:rsid w:val="004D338B"/>
    <w:rsid w:val="004D3927"/>
    <w:rsid w:val="004D3C02"/>
    <w:rsid w:val="004D3EC3"/>
    <w:rsid w:val="004D44C6"/>
    <w:rsid w:val="004D4725"/>
    <w:rsid w:val="004D4F2A"/>
    <w:rsid w:val="004D50AC"/>
    <w:rsid w:val="004D53E1"/>
    <w:rsid w:val="004D562E"/>
    <w:rsid w:val="004D56BC"/>
    <w:rsid w:val="004D6315"/>
    <w:rsid w:val="004D6753"/>
    <w:rsid w:val="004D6C8C"/>
    <w:rsid w:val="004D6CF1"/>
    <w:rsid w:val="004D73B9"/>
    <w:rsid w:val="004D77D8"/>
    <w:rsid w:val="004D7D11"/>
    <w:rsid w:val="004D7FE1"/>
    <w:rsid w:val="004E02EA"/>
    <w:rsid w:val="004E03A1"/>
    <w:rsid w:val="004E06CA"/>
    <w:rsid w:val="004E07C7"/>
    <w:rsid w:val="004E0CD6"/>
    <w:rsid w:val="004E0F00"/>
    <w:rsid w:val="004E115A"/>
    <w:rsid w:val="004E1888"/>
    <w:rsid w:val="004E1DA3"/>
    <w:rsid w:val="004E1ECB"/>
    <w:rsid w:val="004E1EE8"/>
    <w:rsid w:val="004E2236"/>
    <w:rsid w:val="004E2A39"/>
    <w:rsid w:val="004E2FD8"/>
    <w:rsid w:val="004E405E"/>
    <w:rsid w:val="004E451C"/>
    <w:rsid w:val="004E47D3"/>
    <w:rsid w:val="004E4BD4"/>
    <w:rsid w:val="004E5334"/>
    <w:rsid w:val="004E572D"/>
    <w:rsid w:val="004E58A9"/>
    <w:rsid w:val="004E5C6C"/>
    <w:rsid w:val="004E5E28"/>
    <w:rsid w:val="004E685D"/>
    <w:rsid w:val="004E6F7A"/>
    <w:rsid w:val="004E75E1"/>
    <w:rsid w:val="004E7744"/>
    <w:rsid w:val="004F03A4"/>
    <w:rsid w:val="004F09CE"/>
    <w:rsid w:val="004F0AB7"/>
    <w:rsid w:val="004F0D13"/>
    <w:rsid w:val="004F0E33"/>
    <w:rsid w:val="004F1C95"/>
    <w:rsid w:val="004F1ED8"/>
    <w:rsid w:val="004F265C"/>
    <w:rsid w:val="004F2A12"/>
    <w:rsid w:val="004F2AC6"/>
    <w:rsid w:val="004F3718"/>
    <w:rsid w:val="004F3722"/>
    <w:rsid w:val="004F3D66"/>
    <w:rsid w:val="004F4246"/>
    <w:rsid w:val="004F4BE3"/>
    <w:rsid w:val="004F4D5C"/>
    <w:rsid w:val="004F67A6"/>
    <w:rsid w:val="004F6803"/>
    <w:rsid w:val="00500439"/>
    <w:rsid w:val="005005DD"/>
    <w:rsid w:val="00500BEF"/>
    <w:rsid w:val="00500E03"/>
    <w:rsid w:val="00500F11"/>
    <w:rsid w:val="00501346"/>
    <w:rsid w:val="005013B6"/>
    <w:rsid w:val="00501A7F"/>
    <w:rsid w:val="00502406"/>
    <w:rsid w:val="0050265E"/>
    <w:rsid w:val="00502D4C"/>
    <w:rsid w:val="005035A8"/>
    <w:rsid w:val="00503C16"/>
    <w:rsid w:val="00504711"/>
    <w:rsid w:val="00504E19"/>
    <w:rsid w:val="00505156"/>
    <w:rsid w:val="0050546A"/>
    <w:rsid w:val="005059E1"/>
    <w:rsid w:val="00506079"/>
    <w:rsid w:val="0050635C"/>
    <w:rsid w:val="00506FB6"/>
    <w:rsid w:val="00507B1C"/>
    <w:rsid w:val="00507D4B"/>
    <w:rsid w:val="00507DC9"/>
    <w:rsid w:val="00507E87"/>
    <w:rsid w:val="00510567"/>
    <w:rsid w:val="00510910"/>
    <w:rsid w:val="00510AF8"/>
    <w:rsid w:val="00511AE5"/>
    <w:rsid w:val="00511E18"/>
    <w:rsid w:val="00512499"/>
    <w:rsid w:val="005124CC"/>
    <w:rsid w:val="00512AE9"/>
    <w:rsid w:val="00513130"/>
    <w:rsid w:val="00513182"/>
    <w:rsid w:val="00513A8C"/>
    <w:rsid w:val="00513CAE"/>
    <w:rsid w:val="0051441D"/>
    <w:rsid w:val="005153D0"/>
    <w:rsid w:val="00515597"/>
    <w:rsid w:val="00515C3B"/>
    <w:rsid w:val="00516437"/>
    <w:rsid w:val="00516B5C"/>
    <w:rsid w:val="00516F4F"/>
    <w:rsid w:val="00517358"/>
    <w:rsid w:val="0052099D"/>
    <w:rsid w:val="00520CCB"/>
    <w:rsid w:val="00521C37"/>
    <w:rsid w:val="005229AD"/>
    <w:rsid w:val="005229B2"/>
    <w:rsid w:val="00523DA2"/>
    <w:rsid w:val="00524E1C"/>
    <w:rsid w:val="00525659"/>
    <w:rsid w:val="005258A3"/>
    <w:rsid w:val="00525C1D"/>
    <w:rsid w:val="00525E23"/>
    <w:rsid w:val="005263CC"/>
    <w:rsid w:val="00526AF8"/>
    <w:rsid w:val="00527298"/>
    <w:rsid w:val="0052755F"/>
    <w:rsid w:val="0052783C"/>
    <w:rsid w:val="00527879"/>
    <w:rsid w:val="005279CA"/>
    <w:rsid w:val="00527A63"/>
    <w:rsid w:val="00527E97"/>
    <w:rsid w:val="00527EA3"/>
    <w:rsid w:val="00527EDF"/>
    <w:rsid w:val="005305EF"/>
    <w:rsid w:val="00530668"/>
    <w:rsid w:val="005309F8"/>
    <w:rsid w:val="005313B6"/>
    <w:rsid w:val="00531FE7"/>
    <w:rsid w:val="0053272D"/>
    <w:rsid w:val="00532D1D"/>
    <w:rsid w:val="00532F92"/>
    <w:rsid w:val="005334DF"/>
    <w:rsid w:val="00533674"/>
    <w:rsid w:val="005340ED"/>
    <w:rsid w:val="00534AE6"/>
    <w:rsid w:val="00535041"/>
    <w:rsid w:val="005353B5"/>
    <w:rsid w:val="005368E3"/>
    <w:rsid w:val="0053692B"/>
    <w:rsid w:val="0053722E"/>
    <w:rsid w:val="0053789E"/>
    <w:rsid w:val="00540507"/>
    <w:rsid w:val="005408B0"/>
    <w:rsid w:val="005417E1"/>
    <w:rsid w:val="00541F4F"/>
    <w:rsid w:val="00542012"/>
    <w:rsid w:val="00542052"/>
    <w:rsid w:val="005423F0"/>
    <w:rsid w:val="0054308E"/>
    <w:rsid w:val="005440A0"/>
    <w:rsid w:val="00544165"/>
    <w:rsid w:val="005452DC"/>
    <w:rsid w:val="005459EE"/>
    <w:rsid w:val="00546115"/>
    <w:rsid w:val="00546CE2"/>
    <w:rsid w:val="00547235"/>
    <w:rsid w:val="005478AA"/>
    <w:rsid w:val="005479CB"/>
    <w:rsid w:val="00547CDA"/>
    <w:rsid w:val="00550095"/>
    <w:rsid w:val="00550FE3"/>
    <w:rsid w:val="00551262"/>
    <w:rsid w:val="00551387"/>
    <w:rsid w:val="005518D5"/>
    <w:rsid w:val="00551914"/>
    <w:rsid w:val="0055196B"/>
    <w:rsid w:val="005520BB"/>
    <w:rsid w:val="00552194"/>
    <w:rsid w:val="00552AB4"/>
    <w:rsid w:val="00552B7D"/>
    <w:rsid w:val="00553705"/>
    <w:rsid w:val="005537EE"/>
    <w:rsid w:val="00553941"/>
    <w:rsid w:val="00553D1E"/>
    <w:rsid w:val="00553E79"/>
    <w:rsid w:val="00553FFD"/>
    <w:rsid w:val="0055402F"/>
    <w:rsid w:val="00554629"/>
    <w:rsid w:val="00554868"/>
    <w:rsid w:val="00554ABD"/>
    <w:rsid w:val="00554C2F"/>
    <w:rsid w:val="0055532B"/>
    <w:rsid w:val="005556A0"/>
    <w:rsid w:val="00555C31"/>
    <w:rsid w:val="00555C42"/>
    <w:rsid w:val="00555CAC"/>
    <w:rsid w:val="0055689A"/>
    <w:rsid w:val="00556CCB"/>
    <w:rsid w:val="00556EE7"/>
    <w:rsid w:val="00556FE2"/>
    <w:rsid w:val="00557034"/>
    <w:rsid w:val="00557242"/>
    <w:rsid w:val="00560146"/>
    <w:rsid w:val="0056047C"/>
    <w:rsid w:val="00560726"/>
    <w:rsid w:val="00561710"/>
    <w:rsid w:val="00561AC7"/>
    <w:rsid w:val="00561DB3"/>
    <w:rsid w:val="00563767"/>
    <w:rsid w:val="00563B45"/>
    <w:rsid w:val="00564CF5"/>
    <w:rsid w:val="00564F6E"/>
    <w:rsid w:val="00565137"/>
    <w:rsid w:val="005651E5"/>
    <w:rsid w:val="005652CE"/>
    <w:rsid w:val="00566549"/>
    <w:rsid w:val="00566FD0"/>
    <w:rsid w:val="00567655"/>
    <w:rsid w:val="0057009E"/>
    <w:rsid w:val="00570236"/>
    <w:rsid w:val="00570850"/>
    <w:rsid w:val="0057105E"/>
    <w:rsid w:val="00571C72"/>
    <w:rsid w:val="00572A21"/>
    <w:rsid w:val="005734B1"/>
    <w:rsid w:val="00574D37"/>
    <w:rsid w:val="005756F6"/>
    <w:rsid w:val="0057579B"/>
    <w:rsid w:val="005757F0"/>
    <w:rsid w:val="00575AF1"/>
    <w:rsid w:val="00576089"/>
    <w:rsid w:val="005767EA"/>
    <w:rsid w:val="00576AC9"/>
    <w:rsid w:val="00576F5C"/>
    <w:rsid w:val="00577473"/>
    <w:rsid w:val="0057786C"/>
    <w:rsid w:val="00577A04"/>
    <w:rsid w:val="0058041C"/>
    <w:rsid w:val="00581B92"/>
    <w:rsid w:val="00581DDB"/>
    <w:rsid w:val="0058233C"/>
    <w:rsid w:val="005828A6"/>
    <w:rsid w:val="005828F3"/>
    <w:rsid w:val="00583A05"/>
    <w:rsid w:val="005843FC"/>
    <w:rsid w:val="00584413"/>
    <w:rsid w:val="005846E5"/>
    <w:rsid w:val="00584751"/>
    <w:rsid w:val="00584957"/>
    <w:rsid w:val="00584A6C"/>
    <w:rsid w:val="00585904"/>
    <w:rsid w:val="00585CF5"/>
    <w:rsid w:val="00585F66"/>
    <w:rsid w:val="00586294"/>
    <w:rsid w:val="00586507"/>
    <w:rsid w:val="00586BBD"/>
    <w:rsid w:val="00586EA3"/>
    <w:rsid w:val="00586F91"/>
    <w:rsid w:val="0058775A"/>
    <w:rsid w:val="005878F8"/>
    <w:rsid w:val="00587F08"/>
    <w:rsid w:val="00590C18"/>
    <w:rsid w:val="005913C2"/>
    <w:rsid w:val="005914E9"/>
    <w:rsid w:val="005926C4"/>
    <w:rsid w:val="00592821"/>
    <w:rsid w:val="0059289C"/>
    <w:rsid w:val="00592B71"/>
    <w:rsid w:val="00594899"/>
    <w:rsid w:val="00595055"/>
    <w:rsid w:val="00595A86"/>
    <w:rsid w:val="00595BC5"/>
    <w:rsid w:val="00595EEF"/>
    <w:rsid w:val="0059600F"/>
    <w:rsid w:val="0059604B"/>
    <w:rsid w:val="00596106"/>
    <w:rsid w:val="00596E77"/>
    <w:rsid w:val="00596EF1"/>
    <w:rsid w:val="00597EAB"/>
    <w:rsid w:val="00597EE1"/>
    <w:rsid w:val="00597FEE"/>
    <w:rsid w:val="005A00F3"/>
    <w:rsid w:val="005A01BE"/>
    <w:rsid w:val="005A105C"/>
    <w:rsid w:val="005A1DA9"/>
    <w:rsid w:val="005A2A16"/>
    <w:rsid w:val="005A2BB5"/>
    <w:rsid w:val="005A30EC"/>
    <w:rsid w:val="005A32F1"/>
    <w:rsid w:val="005A3374"/>
    <w:rsid w:val="005A3B80"/>
    <w:rsid w:val="005A3B9F"/>
    <w:rsid w:val="005A3C9A"/>
    <w:rsid w:val="005A4D00"/>
    <w:rsid w:val="005A5169"/>
    <w:rsid w:val="005A5552"/>
    <w:rsid w:val="005A5F59"/>
    <w:rsid w:val="005A5F99"/>
    <w:rsid w:val="005A67B4"/>
    <w:rsid w:val="005B02D5"/>
    <w:rsid w:val="005B0574"/>
    <w:rsid w:val="005B1409"/>
    <w:rsid w:val="005B1A08"/>
    <w:rsid w:val="005B2011"/>
    <w:rsid w:val="005B2021"/>
    <w:rsid w:val="005B276E"/>
    <w:rsid w:val="005B3831"/>
    <w:rsid w:val="005B3EED"/>
    <w:rsid w:val="005B44AB"/>
    <w:rsid w:val="005B5C34"/>
    <w:rsid w:val="005B5CC4"/>
    <w:rsid w:val="005B63EE"/>
    <w:rsid w:val="005B72D2"/>
    <w:rsid w:val="005B7757"/>
    <w:rsid w:val="005C00D3"/>
    <w:rsid w:val="005C0815"/>
    <w:rsid w:val="005C09F9"/>
    <w:rsid w:val="005C1075"/>
    <w:rsid w:val="005C154F"/>
    <w:rsid w:val="005C15C4"/>
    <w:rsid w:val="005C181C"/>
    <w:rsid w:val="005C1B06"/>
    <w:rsid w:val="005C25D8"/>
    <w:rsid w:val="005C2AE4"/>
    <w:rsid w:val="005C2C76"/>
    <w:rsid w:val="005C3295"/>
    <w:rsid w:val="005C342D"/>
    <w:rsid w:val="005C36FD"/>
    <w:rsid w:val="005C3EA1"/>
    <w:rsid w:val="005C4BFE"/>
    <w:rsid w:val="005C5AE1"/>
    <w:rsid w:val="005C6346"/>
    <w:rsid w:val="005C64FF"/>
    <w:rsid w:val="005C68D4"/>
    <w:rsid w:val="005C6AA6"/>
    <w:rsid w:val="005C6DF3"/>
    <w:rsid w:val="005D02EC"/>
    <w:rsid w:val="005D034D"/>
    <w:rsid w:val="005D036C"/>
    <w:rsid w:val="005D0FC9"/>
    <w:rsid w:val="005D178A"/>
    <w:rsid w:val="005D197A"/>
    <w:rsid w:val="005D1AA0"/>
    <w:rsid w:val="005D1D6E"/>
    <w:rsid w:val="005D3023"/>
    <w:rsid w:val="005D3A51"/>
    <w:rsid w:val="005D3B44"/>
    <w:rsid w:val="005D3B6D"/>
    <w:rsid w:val="005D42CE"/>
    <w:rsid w:val="005D4C8B"/>
    <w:rsid w:val="005D521A"/>
    <w:rsid w:val="005D537F"/>
    <w:rsid w:val="005D53C6"/>
    <w:rsid w:val="005D5887"/>
    <w:rsid w:val="005D5F6E"/>
    <w:rsid w:val="005D5FF8"/>
    <w:rsid w:val="005D6083"/>
    <w:rsid w:val="005D6E8B"/>
    <w:rsid w:val="005D7369"/>
    <w:rsid w:val="005D7595"/>
    <w:rsid w:val="005D778C"/>
    <w:rsid w:val="005D77D6"/>
    <w:rsid w:val="005D7A3A"/>
    <w:rsid w:val="005D7F41"/>
    <w:rsid w:val="005E068E"/>
    <w:rsid w:val="005E0E94"/>
    <w:rsid w:val="005E0EE4"/>
    <w:rsid w:val="005E10C2"/>
    <w:rsid w:val="005E14B3"/>
    <w:rsid w:val="005E1DE6"/>
    <w:rsid w:val="005E1FDA"/>
    <w:rsid w:val="005E23BD"/>
    <w:rsid w:val="005E263E"/>
    <w:rsid w:val="005E2AF3"/>
    <w:rsid w:val="005E2B35"/>
    <w:rsid w:val="005E2BF5"/>
    <w:rsid w:val="005E2D22"/>
    <w:rsid w:val="005E30ED"/>
    <w:rsid w:val="005E3392"/>
    <w:rsid w:val="005E3CFF"/>
    <w:rsid w:val="005E49CB"/>
    <w:rsid w:val="005E4B3C"/>
    <w:rsid w:val="005E4CA3"/>
    <w:rsid w:val="005E5DDF"/>
    <w:rsid w:val="005E6296"/>
    <w:rsid w:val="005E63A4"/>
    <w:rsid w:val="005E63B3"/>
    <w:rsid w:val="005E672F"/>
    <w:rsid w:val="005E6BF4"/>
    <w:rsid w:val="005E7148"/>
    <w:rsid w:val="005E773F"/>
    <w:rsid w:val="005E7C56"/>
    <w:rsid w:val="005E7DC1"/>
    <w:rsid w:val="005E7EC5"/>
    <w:rsid w:val="005E7F8E"/>
    <w:rsid w:val="005F028C"/>
    <w:rsid w:val="005F0317"/>
    <w:rsid w:val="005F0CBC"/>
    <w:rsid w:val="005F1346"/>
    <w:rsid w:val="005F14D8"/>
    <w:rsid w:val="005F19F3"/>
    <w:rsid w:val="005F1B73"/>
    <w:rsid w:val="005F1D28"/>
    <w:rsid w:val="005F1D3B"/>
    <w:rsid w:val="005F217F"/>
    <w:rsid w:val="005F2456"/>
    <w:rsid w:val="005F26D1"/>
    <w:rsid w:val="005F3187"/>
    <w:rsid w:val="005F32AF"/>
    <w:rsid w:val="005F3C68"/>
    <w:rsid w:val="005F4984"/>
    <w:rsid w:val="005F57EB"/>
    <w:rsid w:val="005F5902"/>
    <w:rsid w:val="005F67CB"/>
    <w:rsid w:val="005F6E79"/>
    <w:rsid w:val="005F6F55"/>
    <w:rsid w:val="005F7046"/>
    <w:rsid w:val="005F7542"/>
    <w:rsid w:val="005F75C2"/>
    <w:rsid w:val="006001BC"/>
    <w:rsid w:val="0060093E"/>
    <w:rsid w:val="00600B15"/>
    <w:rsid w:val="00601136"/>
    <w:rsid w:val="006015A8"/>
    <w:rsid w:val="00601A26"/>
    <w:rsid w:val="00601BB8"/>
    <w:rsid w:val="00602813"/>
    <w:rsid w:val="00602BF0"/>
    <w:rsid w:val="00603071"/>
    <w:rsid w:val="00603281"/>
    <w:rsid w:val="00603684"/>
    <w:rsid w:val="006038B1"/>
    <w:rsid w:val="00603B97"/>
    <w:rsid w:val="00603BED"/>
    <w:rsid w:val="00603DC3"/>
    <w:rsid w:val="006040B9"/>
    <w:rsid w:val="006044ED"/>
    <w:rsid w:val="00604603"/>
    <w:rsid w:val="006047FF"/>
    <w:rsid w:val="006049E5"/>
    <w:rsid w:val="00604B4F"/>
    <w:rsid w:val="0060567D"/>
    <w:rsid w:val="00605690"/>
    <w:rsid w:val="00605873"/>
    <w:rsid w:val="006058FE"/>
    <w:rsid w:val="00605A4F"/>
    <w:rsid w:val="00606018"/>
    <w:rsid w:val="006061B5"/>
    <w:rsid w:val="0060643D"/>
    <w:rsid w:val="00607562"/>
    <w:rsid w:val="0060759F"/>
    <w:rsid w:val="006105E5"/>
    <w:rsid w:val="00611068"/>
    <w:rsid w:val="00612095"/>
    <w:rsid w:val="0061225C"/>
    <w:rsid w:val="00612328"/>
    <w:rsid w:val="00612577"/>
    <w:rsid w:val="00612CE1"/>
    <w:rsid w:val="00612F0E"/>
    <w:rsid w:val="00613B4B"/>
    <w:rsid w:val="006142D9"/>
    <w:rsid w:val="006144B1"/>
    <w:rsid w:val="006147D9"/>
    <w:rsid w:val="00615252"/>
    <w:rsid w:val="00615869"/>
    <w:rsid w:val="00616034"/>
    <w:rsid w:val="006160E8"/>
    <w:rsid w:val="0061678A"/>
    <w:rsid w:val="00616D35"/>
    <w:rsid w:val="00617094"/>
    <w:rsid w:val="006172CC"/>
    <w:rsid w:val="006176B5"/>
    <w:rsid w:val="006176BD"/>
    <w:rsid w:val="00617CC2"/>
    <w:rsid w:val="00620F65"/>
    <w:rsid w:val="006211FA"/>
    <w:rsid w:val="00621435"/>
    <w:rsid w:val="0062183F"/>
    <w:rsid w:val="006218DD"/>
    <w:rsid w:val="006227EF"/>
    <w:rsid w:val="00622821"/>
    <w:rsid w:val="00622B22"/>
    <w:rsid w:val="006243E1"/>
    <w:rsid w:val="0062440A"/>
    <w:rsid w:val="00624B6B"/>
    <w:rsid w:val="006255B9"/>
    <w:rsid w:val="00625937"/>
    <w:rsid w:val="00626C1A"/>
    <w:rsid w:val="00627368"/>
    <w:rsid w:val="00627867"/>
    <w:rsid w:val="00630945"/>
    <w:rsid w:val="00630FCB"/>
    <w:rsid w:val="006314F0"/>
    <w:rsid w:val="00631705"/>
    <w:rsid w:val="0063215E"/>
    <w:rsid w:val="00632357"/>
    <w:rsid w:val="0063245D"/>
    <w:rsid w:val="006327E1"/>
    <w:rsid w:val="00633D11"/>
    <w:rsid w:val="00634108"/>
    <w:rsid w:val="00635F25"/>
    <w:rsid w:val="0063668F"/>
    <w:rsid w:val="00637367"/>
    <w:rsid w:val="00637C4E"/>
    <w:rsid w:val="00637EB0"/>
    <w:rsid w:val="00640080"/>
    <w:rsid w:val="006403FC"/>
    <w:rsid w:val="0064070C"/>
    <w:rsid w:val="00640987"/>
    <w:rsid w:val="00640EF4"/>
    <w:rsid w:val="0064115D"/>
    <w:rsid w:val="00641323"/>
    <w:rsid w:val="00641A1C"/>
    <w:rsid w:val="00641D2E"/>
    <w:rsid w:val="0064207D"/>
    <w:rsid w:val="006421C8"/>
    <w:rsid w:val="00642D61"/>
    <w:rsid w:val="00642EA2"/>
    <w:rsid w:val="00642F12"/>
    <w:rsid w:val="00642F54"/>
    <w:rsid w:val="006434B7"/>
    <w:rsid w:val="00643590"/>
    <w:rsid w:val="006437FB"/>
    <w:rsid w:val="00643C52"/>
    <w:rsid w:val="00643CFD"/>
    <w:rsid w:val="00643E18"/>
    <w:rsid w:val="0064403E"/>
    <w:rsid w:val="00644089"/>
    <w:rsid w:val="00644310"/>
    <w:rsid w:val="00644421"/>
    <w:rsid w:val="00644537"/>
    <w:rsid w:val="00644ACE"/>
    <w:rsid w:val="00644AE5"/>
    <w:rsid w:val="00644D07"/>
    <w:rsid w:val="00645B13"/>
    <w:rsid w:val="00645FD2"/>
    <w:rsid w:val="00646863"/>
    <w:rsid w:val="00646BA7"/>
    <w:rsid w:val="00647011"/>
    <w:rsid w:val="00647551"/>
    <w:rsid w:val="00647604"/>
    <w:rsid w:val="00647EAD"/>
    <w:rsid w:val="00647EF1"/>
    <w:rsid w:val="006500A8"/>
    <w:rsid w:val="0065068B"/>
    <w:rsid w:val="00650AE8"/>
    <w:rsid w:val="0065125B"/>
    <w:rsid w:val="006515D6"/>
    <w:rsid w:val="00652268"/>
    <w:rsid w:val="006528E0"/>
    <w:rsid w:val="00652E12"/>
    <w:rsid w:val="00652E72"/>
    <w:rsid w:val="00653266"/>
    <w:rsid w:val="00653313"/>
    <w:rsid w:val="0065341C"/>
    <w:rsid w:val="006537D3"/>
    <w:rsid w:val="00653F0D"/>
    <w:rsid w:val="00653F5B"/>
    <w:rsid w:val="00653F8C"/>
    <w:rsid w:val="00654C3F"/>
    <w:rsid w:val="00655587"/>
    <w:rsid w:val="00655630"/>
    <w:rsid w:val="00655AF8"/>
    <w:rsid w:val="006563CF"/>
    <w:rsid w:val="00656BE0"/>
    <w:rsid w:val="00656CFD"/>
    <w:rsid w:val="00657DB4"/>
    <w:rsid w:val="006600F0"/>
    <w:rsid w:val="00660A4F"/>
    <w:rsid w:val="00660F6E"/>
    <w:rsid w:val="006612B9"/>
    <w:rsid w:val="00661378"/>
    <w:rsid w:val="006613BB"/>
    <w:rsid w:val="0066186E"/>
    <w:rsid w:val="00661C50"/>
    <w:rsid w:val="00661C5F"/>
    <w:rsid w:val="00662158"/>
    <w:rsid w:val="006624A7"/>
    <w:rsid w:val="006629F1"/>
    <w:rsid w:val="00662ACF"/>
    <w:rsid w:val="00662C15"/>
    <w:rsid w:val="00662FFE"/>
    <w:rsid w:val="00663368"/>
    <w:rsid w:val="006636A7"/>
    <w:rsid w:val="00663840"/>
    <w:rsid w:val="00664AF0"/>
    <w:rsid w:val="00665C37"/>
    <w:rsid w:val="00666673"/>
    <w:rsid w:val="0066682E"/>
    <w:rsid w:val="00667026"/>
    <w:rsid w:val="006677E6"/>
    <w:rsid w:val="00667A13"/>
    <w:rsid w:val="00667CD4"/>
    <w:rsid w:val="00670EF2"/>
    <w:rsid w:val="00670FD3"/>
    <w:rsid w:val="006717DF"/>
    <w:rsid w:val="00671B78"/>
    <w:rsid w:val="00671DA1"/>
    <w:rsid w:val="006729D3"/>
    <w:rsid w:val="00672A21"/>
    <w:rsid w:val="00672AF5"/>
    <w:rsid w:val="0067358A"/>
    <w:rsid w:val="00673ECA"/>
    <w:rsid w:val="006741D8"/>
    <w:rsid w:val="00674464"/>
    <w:rsid w:val="006752E4"/>
    <w:rsid w:val="00675443"/>
    <w:rsid w:val="00675473"/>
    <w:rsid w:val="00675DCF"/>
    <w:rsid w:val="00675EBF"/>
    <w:rsid w:val="006761AA"/>
    <w:rsid w:val="006763A2"/>
    <w:rsid w:val="00676866"/>
    <w:rsid w:val="00676D13"/>
    <w:rsid w:val="006770F1"/>
    <w:rsid w:val="00677DDB"/>
    <w:rsid w:val="00680229"/>
    <w:rsid w:val="00680443"/>
    <w:rsid w:val="0068088E"/>
    <w:rsid w:val="00680C89"/>
    <w:rsid w:val="00680DE6"/>
    <w:rsid w:val="006814C7"/>
    <w:rsid w:val="00681BEF"/>
    <w:rsid w:val="0068208F"/>
    <w:rsid w:val="006822E9"/>
    <w:rsid w:val="00682430"/>
    <w:rsid w:val="0068297A"/>
    <w:rsid w:val="00682A26"/>
    <w:rsid w:val="00682EA5"/>
    <w:rsid w:val="00682EF6"/>
    <w:rsid w:val="00682F04"/>
    <w:rsid w:val="00683158"/>
    <w:rsid w:val="006834B7"/>
    <w:rsid w:val="00684239"/>
    <w:rsid w:val="0068481D"/>
    <w:rsid w:val="006858B8"/>
    <w:rsid w:val="00686A51"/>
    <w:rsid w:val="00686AED"/>
    <w:rsid w:val="00686B6E"/>
    <w:rsid w:val="00686CEB"/>
    <w:rsid w:val="00687685"/>
    <w:rsid w:val="00690563"/>
    <w:rsid w:val="00690B97"/>
    <w:rsid w:val="0069104B"/>
    <w:rsid w:val="00691292"/>
    <w:rsid w:val="00691484"/>
    <w:rsid w:val="00691C56"/>
    <w:rsid w:val="006927C7"/>
    <w:rsid w:val="006932EC"/>
    <w:rsid w:val="006936BB"/>
    <w:rsid w:val="006938B6"/>
    <w:rsid w:val="00693C0C"/>
    <w:rsid w:val="00693F6E"/>
    <w:rsid w:val="00694551"/>
    <w:rsid w:val="00695195"/>
    <w:rsid w:val="006954C8"/>
    <w:rsid w:val="00695507"/>
    <w:rsid w:val="00695673"/>
    <w:rsid w:val="00695A36"/>
    <w:rsid w:val="00695EC0"/>
    <w:rsid w:val="006961F9"/>
    <w:rsid w:val="00696B43"/>
    <w:rsid w:val="00696C5B"/>
    <w:rsid w:val="00696D18"/>
    <w:rsid w:val="006A0AA6"/>
    <w:rsid w:val="006A2A19"/>
    <w:rsid w:val="006A2A63"/>
    <w:rsid w:val="006A2EAB"/>
    <w:rsid w:val="006A358B"/>
    <w:rsid w:val="006A38D6"/>
    <w:rsid w:val="006A3B2F"/>
    <w:rsid w:val="006A3C17"/>
    <w:rsid w:val="006A3C8D"/>
    <w:rsid w:val="006A41DB"/>
    <w:rsid w:val="006A43EC"/>
    <w:rsid w:val="006A485C"/>
    <w:rsid w:val="006A5875"/>
    <w:rsid w:val="006A5D92"/>
    <w:rsid w:val="006A5FB5"/>
    <w:rsid w:val="006A6153"/>
    <w:rsid w:val="006A7E8D"/>
    <w:rsid w:val="006B0272"/>
    <w:rsid w:val="006B07F5"/>
    <w:rsid w:val="006B0FBC"/>
    <w:rsid w:val="006B1528"/>
    <w:rsid w:val="006B1DFA"/>
    <w:rsid w:val="006B21BC"/>
    <w:rsid w:val="006B4116"/>
    <w:rsid w:val="006B43A0"/>
    <w:rsid w:val="006B44DE"/>
    <w:rsid w:val="006B4561"/>
    <w:rsid w:val="006B4AE2"/>
    <w:rsid w:val="006B5F5A"/>
    <w:rsid w:val="006B5F81"/>
    <w:rsid w:val="006B6365"/>
    <w:rsid w:val="006B6C74"/>
    <w:rsid w:val="006B741B"/>
    <w:rsid w:val="006B7741"/>
    <w:rsid w:val="006B7F9F"/>
    <w:rsid w:val="006C0210"/>
    <w:rsid w:val="006C022D"/>
    <w:rsid w:val="006C139C"/>
    <w:rsid w:val="006C18A1"/>
    <w:rsid w:val="006C213B"/>
    <w:rsid w:val="006C22D6"/>
    <w:rsid w:val="006C3267"/>
    <w:rsid w:val="006C459E"/>
    <w:rsid w:val="006C532F"/>
    <w:rsid w:val="006C539B"/>
    <w:rsid w:val="006C650E"/>
    <w:rsid w:val="006C67AF"/>
    <w:rsid w:val="006C6D16"/>
    <w:rsid w:val="006C6F7E"/>
    <w:rsid w:val="006C7BA3"/>
    <w:rsid w:val="006C7DFE"/>
    <w:rsid w:val="006D0D5D"/>
    <w:rsid w:val="006D136B"/>
    <w:rsid w:val="006D1494"/>
    <w:rsid w:val="006D2A5A"/>
    <w:rsid w:val="006D2F14"/>
    <w:rsid w:val="006D3250"/>
    <w:rsid w:val="006D36B6"/>
    <w:rsid w:val="006D375C"/>
    <w:rsid w:val="006D3A4C"/>
    <w:rsid w:val="006D3F1A"/>
    <w:rsid w:val="006D4D3F"/>
    <w:rsid w:val="006D6368"/>
    <w:rsid w:val="006D64B1"/>
    <w:rsid w:val="006D663F"/>
    <w:rsid w:val="006D73C0"/>
    <w:rsid w:val="006D749E"/>
    <w:rsid w:val="006D7852"/>
    <w:rsid w:val="006E0ACD"/>
    <w:rsid w:val="006E132A"/>
    <w:rsid w:val="006E2940"/>
    <w:rsid w:val="006E3338"/>
    <w:rsid w:val="006E4E5D"/>
    <w:rsid w:val="006E50CB"/>
    <w:rsid w:val="006E5D0D"/>
    <w:rsid w:val="006E5F37"/>
    <w:rsid w:val="006E6489"/>
    <w:rsid w:val="006E6AC9"/>
    <w:rsid w:val="006E7149"/>
    <w:rsid w:val="006E7210"/>
    <w:rsid w:val="006E79A9"/>
    <w:rsid w:val="006F01A0"/>
    <w:rsid w:val="006F0713"/>
    <w:rsid w:val="006F0D61"/>
    <w:rsid w:val="006F10B0"/>
    <w:rsid w:val="006F1418"/>
    <w:rsid w:val="006F2338"/>
    <w:rsid w:val="006F29BB"/>
    <w:rsid w:val="006F2DD6"/>
    <w:rsid w:val="006F371A"/>
    <w:rsid w:val="006F386E"/>
    <w:rsid w:val="006F3884"/>
    <w:rsid w:val="006F393A"/>
    <w:rsid w:val="006F4108"/>
    <w:rsid w:val="006F4287"/>
    <w:rsid w:val="006F43B8"/>
    <w:rsid w:val="006F46D1"/>
    <w:rsid w:val="006F488E"/>
    <w:rsid w:val="006F49D4"/>
    <w:rsid w:val="006F4B03"/>
    <w:rsid w:val="006F4C0E"/>
    <w:rsid w:val="006F58F4"/>
    <w:rsid w:val="006F5EE7"/>
    <w:rsid w:val="006F633F"/>
    <w:rsid w:val="006F7133"/>
    <w:rsid w:val="006F760F"/>
    <w:rsid w:val="00700319"/>
    <w:rsid w:val="00700347"/>
    <w:rsid w:val="007003AA"/>
    <w:rsid w:val="007007C6"/>
    <w:rsid w:val="00701053"/>
    <w:rsid w:val="00701251"/>
    <w:rsid w:val="0070142D"/>
    <w:rsid w:val="00701BCD"/>
    <w:rsid w:val="00701D85"/>
    <w:rsid w:val="00701F7C"/>
    <w:rsid w:val="007020E5"/>
    <w:rsid w:val="007024D6"/>
    <w:rsid w:val="0070272F"/>
    <w:rsid w:val="007036C6"/>
    <w:rsid w:val="007040A3"/>
    <w:rsid w:val="0070444C"/>
    <w:rsid w:val="00704BD5"/>
    <w:rsid w:val="007054D5"/>
    <w:rsid w:val="0070610B"/>
    <w:rsid w:val="0070628C"/>
    <w:rsid w:val="00706644"/>
    <w:rsid w:val="00706A11"/>
    <w:rsid w:val="007071A1"/>
    <w:rsid w:val="00707423"/>
    <w:rsid w:val="0070774C"/>
    <w:rsid w:val="00707844"/>
    <w:rsid w:val="00707A08"/>
    <w:rsid w:val="00710460"/>
    <w:rsid w:val="0071057E"/>
    <w:rsid w:val="007106E1"/>
    <w:rsid w:val="0071081A"/>
    <w:rsid w:val="00711321"/>
    <w:rsid w:val="007113F9"/>
    <w:rsid w:val="00713033"/>
    <w:rsid w:val="007133A5"/>
    <w:rsid w:val="00713496"/>
    <w:rsid w:val="00713BF6"/>
    <w:rsid w:val="007142B7"/>
    <w:rsid w:val="00715DF0"/>
    <w:rsid w:val="0071642E"/>
    <w:rsid w:val="0071662B"/>
    <w:rsid w:val="00716A8B"/>
    <w:rsid w:val="00716ACF"/>
    <w:rsid w:val="00716FE0"/>
    <w:rsid w:val="0071733B"/>
    <w:rsid w:val="007177C8"/>
    <w:rsid w:val="00720740"/>
    <w:rsid w:val="00720773"/>
    <w:rsid w:val="00720935"/>
    <w:rsid w:val="007212FE"/>
    <w:rsid w:val="007215D4"/>
    <w:rsid w:val="00722211"/>
    <w:rsid w:val="0072254E"/>
    <w:rsid w:val="00722862"/>
    <w:rsid w:val="00722E32"/>
    <w:rsid w:val="0072370C"/>
    <w:rsid w:val="00723D55"/>
    <w:rsid w:val="00724592"/>
    <w:rsid w:val="0072462F"/>
    <w:rsid w:val="007248B9"/>
    <w:rsid w:val="00724ADA"/>
    <w:rsid w:val="00724B6A"/>
    <w:rsid w:val="0072522A"/>
    <w:rsid w:val="007253D3"/>
    <w:rsid w:val="007258E2"/>
    <w:rsid w:val="007262A1"/>
    <w:rsid w:val="007265E1"/>
    <w:rsid w:val="0072665C"/>
    <w:rsid w:val="007268FE"/>
    <w:rsid w:val="00726900"/>
    <w:rsid w:val="00726D99"/>
    <w:rsid w:val="00731A6F"/>
    <w:rsid w:val="00732815"/>
    <w:rsid w:val="00733175"/>
    <w:rsid w:val="00733527"/>
    <w:rsid w:val="00733EAC"/>
    <w:rsid w:val="007343E3"/>
    <w:rsid w:val="0073444A"/>
    <w:rsid w:val="00734BBE"/>
    <w:rsid w:val="00734E6B"/>
    <w:rsid w:val="00735A97"/>
    <w:rsid w:val="00735D57"/>
    <w:rsid w:val="00735E3C"/>
    <w:rsid w:val="0073606D"/>
    <w:rsid w:val="00736570"/>
    <w:rsid w:val="0073657C"/>
    <w:rsid w:val="00736C50"/>
    <w:rsid w:val="00736E7D"/>
    <w:rsid w:val="00736F30"/>
    <w:rsid w:val="0073716A"/>
    <w:rsid w:val="0073745A"/>
    <w:rsid w:val="00737781"/>
    <w:rsid w:val="00737F6A"/>
    <w:rsid w:val="00740288"/>
    <w:rsid w:val="00740517"/>
    <w:rsid w:val="00740531"/>
    <w:rsid w:val="007415BF"/>
    <w:rsid w:val="0074166A"/>
    <w:rsid w:val="00741C8C"/>
    <w:rsid w:val="0074250B"/>
    <w:rsid w:val="00742BF8"/>
    <w:rsid w:val="00742C6F"/>
    <w:rsid w:val="00742CC0"/>
    <w:rsid w:val="00745846"/>
    <w:rsid w:val="00745B0E"/>
    <w:rsid w:val="00747BAC"/>
    <w:rsid w:val="00747C35"/>
    <w:rsid w:val="00747CA0"/>
    <w:rsid w:val="007503A8"/>
    <w:rsid w:val="007503CB"/>
    <w:rsid w:val="00750AD3"/>
    <w:rsid w:val="00750B17"/>
    <w:rsid w:val="0075137D"/>
    <w:rsid w:val="00751C9F"/>
    <w:rsid w:val="00752347"/>
    <w:rsid w:val="0075242D"/>
    <w:rsid w:val="00752D64"/>
    <w:rsid w:val="00753426"/>
    <w:rsid w:val="007535F9"/>
    <w:rsid w:val="0075381F"/>
    <w:rsid w:val="00754361"/>
    <w:rsid w:val="007544F6"/>
    <w:rsid w:val="0075459A"/>
    <w:rsid w:val="007546B9"/>
    <w:rsid w:val="00755EDF"/>
    <w:rsid w:val="00756B65"/>
    <w:rsid w:val="00756CEC"/>
    <w:rsid w:val="00756D52"/>
    <w:rsid w:val="007574F6"/>
    <w:rsid w:val="00757A8C"/>
    <w:rsid w:val="00760609"/>
    <w:rsid w:val="00760B41"/>
    <w:rsid w:val="00761406"/>
    <w:rsid w:val="007616CD"/>
    <w:rsid w:val="00761A14"/>
    <w:rsid w:val="00761A73"/>
    <w:rsid w:val="00761AAB"/>
    <w:rsid w:val="007624CB"/>
    <w:rsid w:val="0076252D"/>
    <w:rsid w:val="00762D1F"/>
    <w:rsid w:val="00763147"/>
    <w:rsid w:val="00763435"/>
    <w:rsid w:val="00763808"/>
    <w:rsid w:val="00763864"/>
    <w:rsid w:val="00763BCE"/>
    <w:rsid w:val="00764807"/>
    <w:rsid w:val="00764C9E"/>
    <w:rsid w:val="00765418"/>
    <w:rsid w:val="00766310"/>
    <w:rsid w:val="00766981"/>
    <w:rsid w:val="00766D7C"/>
    <w:rsid w:val="0076775B"/>
    <w:rsid w:val="00767A6C"/>
    <w:rsid w:val="0077084B"/>
    <w:rsid w:val="00771005"/>
    <w:rsid w:val="00771F9D"/>
    <w:rsid w:val="00771FFD"/>
    <w:rsid w:val="007720A7"/>
    <w:rsid w:val="007725DC"/>
    <w:rsid w:val="00772B2A"/>
    <w:rsid w:val="00772E67"/>
    <w:rsid w:val="00772FA0"/>
    <w:rsid w:val="00772FCA"/>
    <w:rsid w:val="00773346"/>
    <w:rsid w:val="007733C6"/>
    <w:rsid w:val="00773B54"/>
    <w:rsid w:val="00773BDB"/>
    <w:rsid w:val="00773DD7"/>
    <w:rsid w:val="00774001"/>
    <w:rsid w:val="00774115"/>
    <w:rsid w:val="007747A8"/>
    <w:rsid w:val="007749A4"/>
    <w:rsid w:val="00775178"/>
    <w:rsid w:val="007756D5"/>
    <w:rsid w:val="007759FE"/>
    <w:rsid w:val="00775DA9"/>
    <w:rsid w:val="0077654B"/>
    <w:rsid w:val="007768AF"/>
    <w:rsid w:val="0077696F"/>
    <w:rsid w:val="007769C1"/>
    <w:rsid w:val="00776B7F"/>
    <w:rsid w:val="00776CD8"/>
    <w:rsid w:val="00776F83"/>
    <w:rsid w:val="00776FCD"/>
    <w:rsid w:val="00777246"/>
    <w:rsid w:val="00777AD3"/>
    <w:rsid w:val="00777C55"/>
    <w:rsid w:val="00777D1D"/>
    <w:rsid w:val="00777E95"/>
    <w:rsid w:val="0078032E"/>
    <w:rsid w:val="0078040B"/>
    <w:rsid w:val="00780943"/>
    <w:rsid w:val="00780CBB"/>
    <w:rsid w:val="00780D54"/>
    <w:rsid w:val="00781497"/>
    <w:rsid w:val="0078192C"/>
    <w:rsid w:val="00782797"/>
    <w:rsid w:val="007849E4"/>
    <w:rsid w:val="00784B48"/>
    <w:rsid w:val="00785081"/>
    <w:rsid w:val="00785655"/>
    <w:rsid w:val="0078588B"/>
    <w:rsid w:val="007858D4"/>
    <w:rsid w:val="00785D22"/>
    <w:rsid w:val="00785FA4"/>
    <w:rsid w:val="0078600A"/>
    <w:rsid w:val="00786062"/>
    <w:rsid w:val="00790297"/>
    <w:rsid w:val="00790300"/>
    <w:rsid w:val="007904A6"/>
    <w:rsid w:val="00790549"/>
    <w:rsid w:val="00790686"/>
    <w:rsid w:val="00790F5C"/>
    <w:rsid w:val="00791060"/>
    <w:rsid w:val="00791DBF"/>
    <w:rsid w:val="007921E9"/>
    <w:rsid w:val="00792280"/>
    <w:rsid w:val="0079267D"/>
    <w:rsid w:val="00792AFD"/>
    <w:rsid w:val="00792C3D"/>
    <w:rsid w:val="00792CC3"/>
    <w:rsid w:val="00793125"/>
    <w:rsid w:val="007934EB"/>
    <w:rsid w:val="00793926"/>
    <w:rsid w:val="00793CFC"/>
    <w:rsid w:val="00793E22"/>
    <w:rsid w:val="00794307"/>
    <w:rsid w:val="00794310"/>
    <w:rsid w:val="0079677B"/>
    <w:rsid w:val="00797565"/>
    <w:rsid w:val="007978AD"/>
    <w:rsid w:val="00797AD2"/>
    <w:rsid w:val="007A0001"/>
    <w:rsid w:val="007A02A0"/>
    <w:rsid w:val="007A02EC"/>
    <w:rsid w:val="007A0A41"/>
    <w:rsid w:val="007A0B55"/>
    <w:rsid w:val="007A1624"/>
    <w:rsid w:val="007A1AF4"/>
    <w:rsid w:val="007A1D00"/>
    <w:rsid w:val="007A1EF4"/>
    <w:rsid w:val="007A3518"/>
    <w:rsid w:val="007A36E5"/>
    <w:rsid w:val="007A414C"/>
    <w:rsid w:val="007A41B1"/>
    <w:rsid w:val="007A4721"/>
    <w:rsid w:val="007A4982"/>
    <w:rsid w:val="007A5120"/>
    <w:rsid w:val="007A55A9"/>
    <w:rsid w:val="007A593B"/>
    <w:rsid w:val="007A5A5E"/>
    <w:rsid w:val="007A5CA5"/>
    <w:rsid w:val="007A64FC"/>
    <w:rsid w:val="007A6995"/>
    <w:rsid w:val="007A7196"/>
    <w:rsid w:val="007A729A"/>
    <w:rsid w:val="007A7AA0"/>
    <w:rsid w:val="007A7C02"/>
    <w:rsid w:val="007A7F34"/>
    <w:rsid w:val="007B053D"/>
    <w:rsid w:val="007B0578"/>
    <w:rsid w:val="007B079F"/>
    <w:rsid w:val="007B0847"/>
    <w:rsid w:val="007B0A5E"/>
    <w:rsid w:val="007B0B99"/>
    <w:rsid w:val="007B1017"/>
    <w:rsid w:val="007B1C72"/>
    <w:rsid w:val="007B2A71"/>
    <w:rsid w:val="007B2B09"/>
    <w:rsid w:val="007B330A"/>
    <w:rsid w:val="007B36CC"/>
    <w:rsid w:val="007B3803"/>
    <w:rsid w:val="007B3F41"/>
    <w:rsid w:val="007B4106"/>
    <w:rsid w:val="007B55D1"/>
    <w:rsid w:val="007B5B40"/>
    <w:rsid w:val="007B5C90"/>
    <w:rsid w:val="007B5EC6"/>
    <w:rsid w:val="007B6270"/>
    <w:rsid w:val="007B636C"/>
    <w:rsid w:val="007B6A08"/>
    <w:rsid w:val="007B6DA1"/>
    <w:rsid w:val="007B7D3C"/>
    <w:rsid w:val="007C0A46"/>
    <w:rsid w:val="007C1006"/>
    <w:rsid w:val="007C13DD"/>
    <w:rsid w:val="007C1C2D"/>
    <w:rsid w:val="007C1DC0"/>
    <w:rsid w:val="007C2D58"/>
    <w:rsid w:val="007C3164"/>
    <w:rsid w:val="007C32B1"/>
    <w:rsid w:val="007C3700"/>
    <w:rsid w:val="007C413E"/>
    <w:rsid w:val="007C43E6"/>
    <w:rsid w:val="007C4977"/>
    <w:rsid w:val="007C4E84"/>
    <w:rsid w:val="007C50CF"/>
    <w:rsid w:val="007C50D6"/>
    <w:rsid w:val="007C5259"/>
    <w:rsid w:val="007C56A2"/>
    <w:rsid w:val="007C60B8"/>
    <w:rsid w:val="007C64AA"/>
    <w:rsid w:val="007C6F1F"/>
    <w:rsid w:val="007D02CA"/>
    <w:rsid w:val="007D09A5"/>
    <w:rsid w:val="007D0D19"/>
    <w:rsid w:val="007D153B"/>
    <w:rsid w:val="007D22E6"/>
    <w:rsid w:val="007D2403"/>
    <w:rsid w:val="007D2721"/>
    <w:rsid w:val="007D2B53"/>
    <w:rsid w:val="007D3286"/>
    <w:rsid w:val="007D3E96"/>
    <w:rsid w:val="007D4111"/>
    <w:rsid w:val="007D46AC"/>
    <w:rsid w:val="007D47BB"/>
    <w:rsid w:val="007D4F5E"/>
    <w:rsid w:val="007D4F9A"/>
    <w:rsid w:val="007D532C"/>
    <w:rsid w:val="007D5CB3"/>
    <w:rsid w:val="007D66F8"/>
    <w:rsid w:val="007D677A"/>
    <w:rsid w:val="007D6E6D"/>
    <w:rsid w:val="007D70EE"/>
    <w:rsid w:val="007D75D3"/>
    <w:rsid w:val="007D76F5"/>
    <w:rsid w:val="007E0707"/>
    <w:rsid w:val="007E10EE"/>
    <w:rsid w:val="007E1489"/>
    <w:rsid w:val="007E158A"/>
    <w:rsid w:val="007E183B"/>
    <w:rsid w:val="007E1DCA"/>
    <w:rsid w:val="007E23D6"/>
    <w:rsid w:val="007E29C7"/>
    <w:rsid w:val="007E2AD2"/>
    <w:rsid w:val="007E303B"/>
    <w:rsid w:val="007E35B5"/>
    <w:rsid w:val="007E38FF"/>
    <w:rsid w:val="007E3CBF"/>
    <w:rsid w:val="007E4078"/>
    <w:rsid w:val="007E4275"/>
    <w:rsid w:val="007E4EFA"/>
    <w:rsid w:val="007E54D3"/>
    <w:rsid w:val="007E5647"/>
    <w:rsid w:val="007E5B5C"/>
    <w:rsid w:val="007E5FBC"/>
    <w:rsid w:val="007E6BFE"/>
    <w:rsid w:val="007E7403"/>
    <w:rsid w:val="007E75D1"/>
    <w:rsid w:val="007E7B5A"/>
    <w:rsid w:val="007E7E87"/>
    <w:rsid w:val="007F1315"/>
    <w:rsid w:val="007F207A"/>
    <w:rsid w:val="007F2BA5"/>
    <w:rsid w:val="007F2C0A"/>
    <w:rsid w:val="007F2F7E"/>
    <w:rsid w:val="007F4238"/>
    <w:rsid w:val="007F4ED1"/>
    <w:rsid w:val="007F4F31"/>
    <w:rsid w:val="007F5062"/>
    <w:rsid w:val="007F55C3"/>
    <w:rsid w:val="007F57F8"/>
    <w:rsid w:val="007F60D6"/>
    <w:rsid w:val="007F616B"/>
    <w:rsid w:val="007F69DE"/>
    <w:rsid w:val="007F6C15"/>
    <w:rsid w:val="007F6C65"/>
    <w:rsid w:val="007F72C5"/>
    <w:rsid w:val="007F7327"/>
    <w:rsid w:val="007F7C18"/>
    <w:rsid w:val="00800ADF"/>
    <w:rsid w:val="00800BD2"/>
    <w:rsid w:val="00800C6D"/>
    <w:rsid w:val="008011B4"/>
    <w:rsid w:val="008014E6"/>
    <w:rsid w:val="008015FA"/>
    <w:rsid w:val="008019C2"/>
    <w:rsid w:val="00801D2E"/>
    <w:rsid w:val="00801D98"/>
    <w:rsid w:val="00802976"/>
    <w:rsid w:val="00802A55"/>
    <w:rsid w:val="00802B74"/>
    <w:rsid w:val="00802E22"/>
    <w:rsid w:val="0080308A"/>
    <w:rsid w:val="008030C6"/>
    <w:rsid w:val="008042A4"/>
    <w:rsid w:val="00804B3F"/>
    <w:rsid w:val="00804E25"/>
    <w:rsid w:val="00804FA7"/>
    <w:rsid w:val="00805626"/>
    <w:rsid w:val="0080587C"/>
    <w:rsid w:val="00805B5C"/>
    <w:rsid w:val="00806806"/>
    <w:rsid w:val="00806FC9"/>
    <w:rsid w:val="008070D0"/>
    <w:rsid w:val="00807F33"/>
    <w:rsid w:val="00810388"/>
    <w:rsid w:val="00810586"/>
    <w:rsid w:val="00810847"/>
    <w:rsid w:val="00810AE5"/>
    <w:rsid w:val="00810FAE"/>
    <w:rsid w:val="00811415"/>
    <w:rsid w:val="00811676"/>
    <w:rsid w:val="00811E2D"/>
    <w:rsid w:val="0081260F"/>
    <w:rsid w:val="008126C3"/>
    <w:rsid w:val="00812A21"/>
    <w:rsid w:val="00813A65"/>
    <w:rsid w:val="00814071"/>
    <w:rsid w:val="008148EA"/>
    <w:rsid w:val="00814BD8"/>
    <w:rsid w:val="008151DE"/>
    <w:rsid w:val="008157BA"/>
    <w:rsid w:val="008158F3"/>
    <w:rsid w:val="00815A44"/>
    <w:rsid w:val="008160EB"/>
    <w:rsid w:val="00816734"/>
    <w:rsid w:val="008167BE"/>
    <w:rsid w:val="00816DDA"/>
    <w:rsid w:val="0081754B"/>
    <w:rsid w:val="00817E44"/>
    <w:rsid w:val="00820211"/>
    <w:rsid w:val="0082073E"/>
    <w:rsid w:val="008208B1"/>
    <w:rsid w:val="00820A9B"/>
    <w:rsid w:val="00820E5E"/>
    <w:rsid w:val="008225FA"/>
    <w:rsid w:val="0082262D"/>
    <w:rsid w:val="008237A0"/>
    <w:rsid w:val="008238F8"/>
    <w:rsid w:val="00824D1E"/>
    <w:rsid w:val="00824EDB"/>
    <w:rsid w:val="008257E7"/>
    <w:rsid w:val="00825EED"/>
    <w:rsid w:val="00826055"/>
    <w:rsid w:val="00826702"/>
    <w:rsid w:val="008275E2"/>
    <w:rsid w:val="008279B3"/>
    <w:rsid w:val="00827E5D"/>
    <w:rsid w:val="008310E8"/>
    <w:rsid w:val="0083173A"/>
    <w:rsid w:val="00831B7B"/>
    <w:rsid w:val="008320F4"/>
    <w:rsid w:val="008333E9"/>
    <w:rsid w:val="00833ECB"/>
    <w:rsid w:val="00834E5E"/>
    <w:rsid w:val="00834F33"/>
    <w:rsid w:val="008354C5"/>
    <w:rsid w:val="00835664"/>
    <w:rsid w:val="00835742"/>
    <w:rsid w:val="00836104"/>
    <w:rsid w:val="0083652B"/>
    <w:rsid w:val="0083652E"/>
    <w:rsid w:val="008370F4"/>
    <w:rsid w:val="0083739B"/>
    <w:rsid w:val="00837D0D"/>
    <w:rsid w:val="00840595"/>
    <w:rsid w:val="008410A9"/>
    <w:rsid w:val="008415D8"/>
    <w:rsid w:val="0084211E"/>
    <w:rsid w:val="00842536"/>
    <w:rsid w:val="00842D2A"/>
    <w:rsid w:val="00842EFD"/>
    <w:rsid w:val="00843090"/>
    <w:rsid w:val="008432E7"/>
    <w:rsid w:val="0084370C"/>
    <w:rsid w:val="00843819"/>
    <w:rsid w:val="0084422D"/>
    <w:rsid w:val="00844BEA"/>
    <w:rsid w:val="00845193"/>
    <w:rsid w:val="0084523F"/>
    <w:rsid w:val="00845B1E"/>
    <w:rsid w:val="00846003"/>
    <w:rsid w:val="008463BC"/>
    <w:rsid w:val="008463C4"/>
    <w:rsid w:val="00846BEC"/>
    <w:rsid w:val="0084715A"/>
    <w:rsid w:val="008475E0"/>
    <w:rsid w:val="00847A86"/>
    <w:rsid w:val="00847FA6"/>
    <w:rsid w:val="008502CB"/>
    <w:rsid w:val="0085047A"/>
    <w:rsid w:val="008505B5"/>
    <w:rsid w:val="0085097B"/>
    <w:rsid w:val="00850AD0"/>
    <w:rsid w:val="00851436"/>
    <w:rsid w:val="0085151A"/>
    <w:rsid w:val="0085196C"/>
    <w:rsid w:val="008519CE"/>
    <w:rsid w:val="00851C51"/>
    <w:rsid w:val="00851C7A"/>
    <w:rsid w:val="0085215E"/>
    <w:rsid w:val="00852332"/>
    <w:rsid w:val="00852B5D"/>
    <w:rsid w:val="00852D0D"/>
    <w:rsid w:val="008535F2"/>
    <w:rsid w:val="00853A62"/>
    <w:rsid w:val="00853EC5"/>
    <w:rsid w:val="0085412A"/>
    <w:rsid w:val="008544A2"/>
    <w:rsid w:val="00854E7A"/>
    <w:rsid w:val="0085501A"/>
    <w:rsid w:val="00855145"/>
    <w:rsid w:val="00855490"/>
    <w:rsid w:val="00855675"/>
    <w:rsid w:val="0085575A"/>
    <w:rsid w:val="008558F9"/>
    <w:rsid w:val="00856EF9"/>
    <w:rsid w:val="008578ED"/>
    <w:rsid w:val="008579B7"/>
    <w:rsid w:val="0086054D"/>
    <w:rsid w:val="00860B79"/>
    <w:rsid w:val="00860C6F"/>
    <w:rsid w:val="00860E64"/>
    <w:rsid w:val="00861D6B"/>
    <w:rsid w:val="008625EC"/>
    <w:rsid w:val="008638BA"/>
    <w:rsid w:val="008639EC"/>
    <w:rsid w:val="0086434A"/>
    <w:rsid w:val="00864BAF"/>
    <w:rsid w:val="0086540D"/>
    <w:rsid w:val="00865ED0"/>
    <w:rsid w:val="00866083"/>
    <w:rsid w:val="0086642A"/>
    <w:rsid w:val="008672EC"/>
    <w:rsid w:val="00870144"/>
    <w:rsid w:val="0087081E"/>
    <w:rsid w:val="0087087A"/>
    <w:rsid w:val="00871876"/>
    <w:rsid w:val="00872236"/>
    <w:rsid w:val="00872D99"/>
    <w:rsid w:val="00872F9E"/>
    <w:rsid w:val="00873445"/>
    <w:rsid w:val="00873555"/>
    <w:rsid w:val="0087362B"/>
    <w:rsid w:val="00873AB8"/>
    <w:rsid w:val="00873DEB"/>
    <w:rsid w:val="0087537E"/>
    <w:rsid w:val="00875387"/>
    <w:rsid w:val="00875ABA"/>
    <w:rsid w:val="0087618F"/>
    <w:rsid w:val="008769D8"/>
    <w:rsid w:val="00876BAF"/>
    <w:rsid w:val="00876C00"/>
    <w:rsid w:val="008776CB"/>
    <w:rsid w:val="00877A12"/>
    <w:rsid w:val="00880237"/>
    <w:rsid w:val="008808AE"/>
    <w:rsid w:val="008810A4"/>
    <w:rsid w:val="0088189B"/>
    <w:rsid w:val="0088191B"/>
    <w:rsid w:val="00881B54"/>
    <w:rsid w:val="00881CCC"/>
    <w:rsid w:val="00881DAB"/>
    <w:rsid w:val="00882A59"/>
    <w:rsid w:val="00882FDC"/>
    <w:rsid w:val="0088310E"/>
    <w:rsid w:val="008837D2"/>
    <w:rsid w:val="0088425B"/>
    <w:rsid w:val="00885CF9"/>
    <w:rsid w:val="0088669E"/>
    <w:rsid w:val="00886929"/>
    <w:rsid w:val="00886BD7"/>
    <w:rsid w:val="00887695"/>
    <w:rsid w:val="0088799D"/>
    <w:rsid w:val="0089021E"/>
    <w:rsid w:val="00890A15"/>
    <w:rsid w:val="00890C5A"/>
    <w:rsid w:val="008914D6"/>
    <w:rsid w:val="008919E8"/>
    <w:rsid w:val="00891CD5"/>
    <w:rsid w:val="00891E07"/>
    <w:rsid w:val="008921B8"/>
    <w:rsid w:val="0089372A"/>
    <w:rsid w:val="00893959"/>
    <w:rsid w:val="00893D27"/>
    <w:rsid w:val="0089471D"/>
    <w:rsid w:val="00895923"/>
    <w:rsid w:val="00895B9F"/>
    <w:rsid w:val="00895D9C"/>
    <w:rsid w:val="00896201"/>
    <w:rsid w:val="00896F72"/>
    <w:rsid w:val="008974C7"/>
    <w:rsid w:val="00897BFC"/>
    <w:rsid w:val="008A0426"/>
    <w:rsid w:val="008A06E3"/>
    <w:rsid w:val="008A0806"/>
    <w:rsid w:val="008A092C"/>
    <w:rsid w:val="008A13F1"/>
    <w:rsid w:val="008A1634"/>
    <w:rsid w:val="008A19A3"/>
    <w:rsid w:val="008A1AC0"/>
    <w:rsid w:val="008A1B1E"/>
    <w:rsid w:val="008A27C0"/>
    <w:rsid w:val="008A2BB2"/>
    <w:rsid w:val="008A36FF"/>
    <w:rsid w:val="008A3F28"/>
    <w:rsid w:val="008A421F"/>
    <w:rsid w:val="008A463D"/>
    <w:rsid w:val="008A5F14"/>
    <w:rsid w:val="008A5FCD"/>
    <w:rsid w:val="008A6ABA"/>
    <w:rsid w:val="008A6C04"/>
    <w:rsid w:val="008A7097"/>
    <w:rsid w:val="008A7AA4"/>
    <w:rsid w:val="008A7CCE"/>
    <w:rsid w:val="008B04B6"/>
    <w:rsid w:val="008B04F7"/>
    <w:rsid w:val="008B1765"/>
    <w:rsid w:val="008B1F6E"/>
    <w:rsid w:val="008B20D4"/>
    <w:rsid w:val="008B2381"/>
    <w:rsid w:val="008B2D5A"/>
    <w:rsid w:val="008B2FD4"/>
    <w:rsid w:val="008B357C"/>
    <w:rsid w:val="008B521B"/>
    <w:rsid w:val="008B5396"/>
    <w:rsid w:val="008B549B"/>
    <w:rsid w:val="008B563C"/>
    <w:rsid w:val="008B5B98"/>
    <w:rsid w:val="008B6169"/>
    <w:rsid w:val="008B6B88"/>
    <w:rsid w:val="008B6D48"/>
    <w:rsid w:val="008B7336"/>
    <w:rsid w:val="008B7A82"/>
    <w:rsid w:val="008B7C95"/>
    <w:rsid w:val="008B7EE6"/>
    <w:rsid w:val="008C0AA0"/>
    <w:rsid w:val="008C0FAA"/>
    <w:rsid w:val="008C1394"/>
    <w:rsid w:val="008C213A"/>
    <w:rsid w:val="008C28F7"/>
    <w:rsid w:val="008C2F30"/>
    <w:rsid w:val="008C41F9"/>
    <w:rsid w:val="008C4A64"/>
    <w:rsid w:val="008C4D12"/>
    <w:rsid w:val="008C4D3A"/>
    <w:rsid w:val="008C55D5"/>
    <w:rsid w:val="008C59B1"/>
    <w:rsid w:val="008C679D"/>
    <w:rsid w:val="008C6972"/>
    <w:rsid w:val="008C7230"/>
    <w:rsid w:val="008C7803"/>
    <w:rsid w:val="008C7895"/>
    <w:rsid w:val="008C7AB6"/>
    <w:rsid w:val="008C7B7D"/>
    <w:rsid w:val="008C7ED8"/>
    <w:rsid w:val="008D01C0"/>
    <w:rsid w:val="008D01E7"/>
    <w:rsid w:val="008D0C5A"/>
    <w:rsid w:val="008D1189"/>
    <w:rsid w:val="008D12A1"/>
    <w:rsid w:val="008D1785"/>
    <w:rsid w:val="008D1A29"/>
    <w:rsid w:val="008D205F"/>
    <w:rsid w:val="008D21F9"/>
    <w:rsid w:val="008D3F53"/>
    <w:rsid w:val="008D42D9"/>
    <w:rsid w:val="008D47C6"/>
    <w:rsid w:val="008D4C23"/>
    <w:rsid w:val="008D4C44"/>
    <w:rsid w:val="008D565C"/>
    <w:rsid w:val="008D56C3"/>
    <w:rsid w:val="008D58D9"/>
    <w:rsid w:val="008D5E76"/>
    <w:rsid w:val="008D61A9"/>
    <w:rsid w:val="008D6309"/>
    <w:rsid w:val="008D65B6"/>
    <w:rsid w:val="008D6652"/>
    <w:rsid w:val="008D7064"/>
    <w:rsid w:val="008D7AA8"/>
    <w:rsid w:val="008D7B78"/>
    <w:rsid w:val="008D7B80"/>
    <w:rsid w:val="008D7ECA"/>
    <w:rsid w:val="008E060A"/>
    <w:rsid w:val="008E0717"/>
    <w:rsid w:val="008E0731"/>
    <w:rsid w:val="008E185E"/>
    <w:rsid w:val="008E2918"/>
    <w:rsid w:val="008E357A"/>
    <w:rsid w:val="008E3738"/>
    <w:rsid w:val="008E3779"/>
    <w:rsid w:val="008E3AF6"/>
    <w:rsid w:val="008E3F46"/>
    <w:rsid w:val="008E4D6A"/>
    <w:rsid w:val="008E5126"/>
    <w:rsid w:val="008E52F7"/>
    <w:rsid w:val="008E5411"/>
    <w:rsid w:val="008E55DA"/>
    <w:rsid w:val="008E55EA"/>
    <w:rsid w:val="008E6146"/>
    <w:rsid w:val="008E6D1B"/>
    <w:rsid w:val="008E6EFA"/>
    <w:rsid w:val="008E70AD"/>
    <w:rsid w:val="008E7425"/>
    <w:rsid w:val="008E7580"/>
    <w:rsid w:val="008E7684"/>
    <w:rsid w:val="008E777A"/>
    <w:rsid w:val="008E7A27"/>
    <w:rsid w:val="008E7B06"/>
    <w:rsid w:val="008F0065"/>
    <w:rsid w:val="008F06A4"/>
    <w:rsid w:val="008F0889"/>
    <w:rsid w:val="008F1758"/>
    <w:rsid w:val="008F18BB"/>
    <w:rsid w:val="008F28F3"/>
    <w:rsid w:val="008F3063"/>
    <w:rsid w:val="008F3362"/>
    <w:rsid w:val="008F3965"/>
    <w:rsid w:val="008F40AF"/>
    <w:rsid w:val="008F48C2"/>
    <w:rsid w:val="008F4B92"/>
    <w:rsid w:val="008F4CDC"/>
    <w:rsid w:val="008F5097"/>
    <w:rsid w:val="008F523C"/>
    <w:rsid w:val="008F5795"/>
    <w:rsid w:val="008F58C1"/>
    <w:rsid w:val="008F60FD"/>
    <w:rsid w:val="008F6100"/>
    <w:rsid w:val="008F644C"/>
    <w:rsid w:val="008F6508"/>
    <w:rsid w:val="008F709A"/>
    <w:rsid w:val="008F742C"/>
    <w:rsid w:val="008F7B01"/>
    <w:rsid w:val="008F7D8A"/>
    <w:rsid w:val="008F7D9F"/>
    <w:rsid w:val="00900091"/>
    <w:rsid w:val="00900CD2"/>
    <w:rsid w:val="00901022"/>
    <w:rsid w:val="00901230"/>
    <w:rsid w:val="0090146D"/>
    <w:rsid w:val="009015A9"/>
    <w:rsid w:val="0090168E"/>
    <w:rsid w:val="009023C4"/>
    <w:rsid w:val="00902C53"/>
    <w:rsid w:val="00903BDB"/>
    <w:rsid w:val="00903C56"/>
    <w:rsid w:val="009046BE"/>
    <w:rsid w:val="00904929"/>
    <w:rsid w:val="00905481"/>
    <w:rsid w:val="0090601F"/>
    <w:rsid w:val="00906467"/>
    <w:rsid w:val="009065CF"/>
    <w:rsid w:val="009066D6"/>
    <w:rsid w:val="00907007"/>
    <w:rsid w:val="009070E3"/>
    <w:rsid w:val="0090733E"/>
    <w:rsid w:val="0090745C"/>
    <w:rsid w:val="00907F5A"/>
    <w:rsid w:val="0091027C"/>
    <w:rsid w:val="009108B3"/>
    <w:rsid w:val="009109E4"/>
    <w:rsid w:val="00910DF5"/>
    <w:rsid w:val="0091159F"/>
    <w:rsid w:val="00911B13"/>
    <w:rsid w:val="00911EF1"/>
    <w:rsid w:val="00912744"/>
    <w:rsid w:val="0091294A"/>
    <w:rsid w:val="00912E22"/>
    <w:rsid w:val="009130A1"/>
    <w:rsid w:val="00913488"/>
    <w:rsid w:val="00913504"/>
    <w:rsid w:val="00914BE2"/>
    <w:rsid w:val="00914EE7"/>
    <w:rsid w:val="00915263"/>
    <w:rsid w:val="00915278"/>
    <w:rsid w:val="009155CB"/>
    <w:rsid w:val="00915827"/>
    <w:rsid w:val="00915A45"/>
    <w:rsid w:val="00916053"/>
    <w:rsid w:val="0091677B"/>
    <w:rsid w:val="009179A8"/>
    <w:rsid w:val="00920212"/>
    <w:rsid w:val="009203D7"/>
    <w:rsid w:val="00920928"/>
    <w:rsid w:val="009217A2"/>
    <w:rsid w:val="00922876"/>
    <w:rsid w:val="00922887"/>
    <w:rsid w:val="00923056"/>
    <w:rsid w:val="009230BC"/>
    <w:rsid w:val="00923CB1"/>
    <w:rsid w:val="0092402F"/>
    <w:rsid w:val="009245AA"/>
    <w:rsid w:val="00924F71"/>
    <w:rsid w:val="00925127"/>
    <w:rsid w:val="0092524B"/>
    <w:rsid w:val="00925777"/>
    <w:rsid w:val="00925855"/>
    <w:rsid w:val="00925CA9"/>
    <w:rsid w:val="00925EC1"/>
    <w:rsid w:val="0092633D"/>
    <w:rsid w:val="0092685D"/>
    <w:rsid w:val="009268E5"/>
    <w:rsid w:val="009269A0"/>
    <w:rsid w:val="0092747B"/>
    <w:rsid w:val="00927495"/>
    <w:rsid w:val="009277F8"/>
    <w:rsid w:val="00930022"/>
    <w:rsid w:val="00930188"/>
    <w:rsid w:val="00931E83"/>
    <w:rsid w:val="0093254A"/>
    <w:rsid w:val="0093267D"/>
    <w:rsid w:val="00933168"/>
    <w:rsid w:val="00933DCE"/>
    <w:rsid w:val="00933E0F"/>
    <w:rsid w:val="00933F64"/>
    <w:rsid w:val="00933F7E"/>
    <w:rsid w:val="0093451B"/>
    <w:rsid w:val="00934809"/>
    <w:rsid w:val="0093510C"/>
    <w:rsid w:val="0093568F"/>
    <w:rsid w:val="0093590D"/>
    <w:rsid w:val="00935D80"/>
    <w:rsid w:val="0093620A"/>
    <w:rsid w:val="00936E22"/>
    <w:rsid w:val="009378DB"/>
    <w:rsid w:val="0093799E"/>
    <w:rsid w:val="00937CD9"/>
    <w:rsid w:val="00937E1E"/>
    <w:rsid w:val="009401D1"/>
    <w:rsid w:val="0094030E"/>
    <w:rsid w:val="009403BC"/>
    <w:rsid w:val="009405AF"/>
    <w:rsid w:val="00940DD0"/>
    <w:rsid w:val="00940DFE"/>
    <w:rsid w:val="009413E2"/>
    <w:rsid w:val="00941B58"/>
    <w:rsid w:val="00941DD8"/>
    <w:rsid w:val="00941F19"/>
    <w:rsid w:val="0094256D"/>
    <w:rsid w:val="00942C9F"/>
    <w:rsid w:val="009430A0"/>
    <w:rsid w:val="009439C2"/>
    <w:rsid w:val="00944984"/>
    <w:rsid w:val="00944E47"/>
    <w:rsid w:val="00945837"/>
    <w:rsid w:val="00945C24"/>
    <w:rsid w:val="00945C53"/>
    <w:rsid w:val="00946304"/>
    <w:rsid w:val="00947145"/>
    <w:rsid w:val="0095005C"/>
    <w:rsid w:val="0095007A"/>
    <w:rsid w:val="0095042B"/>
    <w:rsid w:val="009508A0"/>
    <w:rsid w:val="0095182A"/>
    <w:rsid w:val="00951880"/>
    <w:rsid w:val="00951F3F"/>
    <w:rsid w:val="009521B5"/>
    <w:rsid w:val="009521ED"/>
    <w:rsid w:val="009531AE"/>
    <w:rsid w:val="0095371F"/>
    <w:rsid w:val="0095466A"/>
    <w:rsid w:val="00954D85"/>
    <w:rsid w:val="00955C7F"/>
    <w:rsid w:val="00955EC7"/>
    <w:rsid w:val="00957D36"/>
    <w:rsid w:val="00960260"/>
    <w:rsid w:val="009602A0"/>
    <w:rsid w:val="00960464"/>
    <w:rsid w:val="009606B7"/>
    <w:rsid w:val="00960E75"/>
    <w:rsid w:val="009610A7"/>
    <w:rsid w:val="00961840"/>
    <w:rsid w:val="00961B2E"/>
    <w:rsid w:val="00962709"/>
    <w:rsid w:val="0096283B"/>
    <w:rsid w:val="00962D80"/>
    <w:rsid w:val="00962ECC"/>
    <w:rsid w:val="00962F61"/>
    <w:rsid w:val="00963113"/>
    <w:rsid w:val="0096355C"/>
    <w:rsid w:val="00963F68"/>
    <w:rsid w:val="00964211"/>
    <w:rsid w:val="00964622"/>
    <w:rsid w:val="0096504C"/>
    <w:rsid w:val="0096551E"/>
    <w:rsid w:val="00965648"/>
    <w:rsid w:val="00965789"/>
    <w:rsid w:val="009658B1"/>
    <w:rsid w:val="0096612D"/>
    <w:rsid w:val="0096635E"/>
    <w:rsid w:val="00966DD7"/>
    <w:rsid w:val="009670E1"/>
    <w:rsid w:val="00970E2F"/>
    <w:rsid w:val="00971622"/>
    <w:rsid w:val="00971635"/>
    <w:rsid w:val="009718EA"/>
    <w:rsid w:val="00972354"/>
    <w:rsid w:val="0097244D"/>
    <w:rsid w:val="009726EA"/>
    <w:rsid w:val="009730E7"/>
    <w:rsid w:val="009735E2"/>
    <w:rsid w:val="00973A21"/>
    <w:rsid w:val="009742F2"/>
    <w:rsid w:val="009743EF"/>
    <w:rsid w:val="009750E2"/>
    <w:rsid w:val="00975221"/>
    <w:rsid w:val="00975257"/>
    <w:rsid w:val="009755C7"/>
    <w:rsid w:val="009758A0"/>
    <w:rsid w:val="00976016"/>
    <w:rsid w:val="00976045"/>
    <w:rsid w:val="009768D6"/>
    <w:rsid w:val="00976C24"/>
    <w:rsid w:val="0097716E"/>
    <w:rsid w:val="009777CE"/>
    <w:rsid w:val="00977D56"/>
    <w:rsid w:val="00980850"/>
    <w:rsid w:val="00980EA8"/>
    <w:rsid w:val="00981063"/>
    <w:rsid w:val="0098199F"/>
    <w:rsid w:val="00981BB2"/>
    <w:rsid w:val="00981E2A"/>
    <w:rsid w:val="00982426"/>
    <w:rsid w:val="0098286D"/>
    <w:rsid w:val="00982ADD"/>
    <w:rsid w:val="00983CB3"/>
    <w:rsid w:val="00983D08"/>
    <w:rsid w:val="00983EC8"/>
    <w:rsid w:val="00984325"/>
    <w:rsid w:val="0098444E"/>
    <w:rsid w:val="009854EB"/>
    <w:rsid w:val="009860F7"/>
    <w:rsid w:val="009863D3"/>
    <w:rsid w:val="009865A1"/>
    <w:rsid w:val="00986906"/>
    <w:rsid w:val="00986B3E"/>
    <w:rsid w:val="009878CC"/>
    <w:rsid w:val="009878FC"/>
    <w:rsid w:val="00987E8F"/>
    <w:rsid w:val="00990206"/>
    <w:rsid w:val="00990C5F"/>
    <w:rsid w:val="00991393"/>
    <w:rsid w:val="009919D8"/>
    <w:rsid w:val="00991A57"/>
    <w:rsid w:val="00991EB3"/>
    <w:rsid w:val="00992210"/>
    <w:rsid w:val="009928C2"/>
    <w:rsid w:val="0099369B"/>
    <w:rsid w:val="009938A6"/>
    <w:rsid w:val="00993950"/>
    <w:rsid w:val="009947A1"/>
    <w:rsid w:val="00995880"/>
    <w:rsid w:val="00995A44"/>
    <w:rsid w:val="00995D43"/>
    <w:rsid w:val="00995DC4"/>
    <w:rsid w:val="009966B6"/>
    <w:rsid w:val="009978EE"/>
    <w:rsid w:val="00997F4A"/>
    <w:rsid w:val="009A055E"/>
    <w:rsid w:val="009A0637"/>
    <w:rsid w:val="009A1D64"/>
    <w:rsid w:val="009A1F8A"/>
    <w:rsid w:val="009A2699"/>
    <w:rsid w:val="009A2D16"/>
    <w:rsid w:val="009A451E"/>
    <w:rsid w:val="009A4C17"/>
    <w:rsid w:val="009A4D7A"/>
    <w:rsid w:val="009A5117"/>
    <w:rsid w:val="009A52A2"/>
    <w:rsid w:val="009A5D0C"/>
    <w:rsid w:val="009A61A1"/>
    <w:rsid w:val="009A6B04"/>
    <w:rsid w:val="009B03B7"/>
    <w:rsid w:val="009B04E2"/>
    <w:rsid w:val="009B0671"/>
    <w:rsid w:val="009B0704"/>
    <w:rsid w:val="009B09C0"/>
    <w:rsid w:val="009B1041"/>
    <w:rsid w:val="009B1190"/>
    <w:rsid w:val="009B15AA"/>
    <w:rsid w:val="009B1699"/>
    <w:rsid w:val="009B22B8"/>
    <w:rsid w:val="009B3565"/>
    <w:rsid w:val="009B3584"/>
    <w:rsid w:val="009B37FC"/>
    <w:rsid w:val="009B3FF6"/>
    <w:rsid w:val="009B4669"/>
    <w:rsid w:val="009B5B7F"/>
    <w:rsid w:val="009B6E77"/>
    <w:rsid w:val="009B7040"/>
    <w:rsid w:val="009B74B0"/>
    <w:rsid w:val="009B79A0"/>
    <w:rsid w:val="009B7B5D"/>
    <w:rsid w:val="009B7FCB"/>
    <w:rsid w:val="009C1685"/>
    <w:rsid w:val="009C1EBD"/>
    <w:rsid w:val="009C1F98"/>
    <w:rsid w:val="009C21EC"/>
    <w:rsid w:val="009C2FFD"/>
    <w:rsid w:val="009C3048"/>
    <w:rsid w:val="009C313D"/>
    <w:rsid w:val="009C3A00"/>
    <w:rsid w:val="009C3BF5"/>
    <w:rsid w:val="009C409C"/>
    <w:rsid w:val="009C5514"/>
    <w:rsid w:val="009C6001"/>
    <w:rsid w:val="009C6078"/>
    <w:rsid w:val="009C65A1"/>
    <w:rsid w:val="009C6AFD"/>
    <w:rsid w:val="009C6C07"/>
    <w:rsid w:val="009C6E82"/>
    <w:rsid w:val="009C7522"/>
    <w:rsid w:val="009C7692"/>
    <w:rsid w:val="009C7F3A"/>
    <w:rsid w:val="009D0CC1"/>
    <w:rsid w:val="009D1586"/>
    <w:rsid w:val="009D1712"/>
    <w:rsid w:val="009D1B91"/>
    <w:rsid w:val="009D24CF"/>
    <w:rsid w:val="009D3766"/>
    <w:rsid w:val="009D4384"/>
    <w:rsid w:val="009D44D4"/>
    <w:rsid w:val="009D46E0"/>
    <w:rsid w:val="009D480C"/>
    <w:rsid w:val="009D4A20"/>
    <w:rsid w:val="009D53AF"/>
    <w:rsid w:val="009D5BB3"/>
    <w:rsid w:val="009D5DDC"/>
    <w:rsid w:val="009D5E40"/>
    <w:rsid w:val="009D65DE"/>
    <w:rsid w:val="009D72BA"/>
    <w:rsid w:val="009D7E94"/>
    <w:rsid w:val="009E0054"/>
    <w:rsid w:val="009E02EE"/>
    <w:rsid w:val="009E0A5A"/>
    <w:rsid w:val="009E114A"/>
    <w:rsid w:val="009E1462"/>
    <w:rsid w:val="009E14D7"/>
    <w:rsid w:val="009E16DF"/>
    <w:rsid w:val="009E1B91"/>
    <w:rsid w:val="009E1CE1"/>
    <w:rsid w:val="009E1DEC"/>
    <w:rsid w:val="009E1EE5"/>
    <w:rsid w:val="009E247B"/>
    <w:rsid w:val="009E25F4"/>
    <w:rsid w:val="009E3BB3"/>
    <w:rsid w:val="009E4420"/>
    <w:rsid w:val="009E4688"/>
    <w:rsid w:val="009E4927"/>
    <w:rsid w:val="009E4CCD"/>
    <w:rsid w:val="009E50EA"/>
    <w:rsid w:val="009E5DBC"/>
    <w:rsid w:val="009E68D6"/>
    <w:rsid w:val="009E70D1"/>
    <w:rsid w:val="009E7534"/>
    <w:rsid w:val="009E79BD"/>
    <w:rsid w:val="009F1015"/>
    <w:rsid w:val="009F11CC"/>
    <w:rsid w:val="009F13D6"/>
    <w:rsid w:val="009F1510"/>
    <w:rsid w:val="009F1BE0"/>
    <w:rsid w:val="009F1F03"/>
    <w:rsid w:val="009F2826"/>
    <w:rsid w:val="009F2889"/>
    <w:rsid w:val="009F2B12"/>
    <w:rsid w:val="009F31AB"/>
    <w:rsid w:val="009F3B9D"/>
    <w:rsid w:val="009F42ED"/>
    <w:rsid w:val="009F514E"/>
    <w:rsid w:val="009F56C2"/>
    <w:rsid w:val="009F5808"/>
    <w:rsid w:val="009F59EC"/>
    <w:rsid w:val="009F5FFA"/>
    <w:rsid w:val="009F65CD"/>
    <w:rsid w:val="009F6785"/>
    <w:rsid w:val="009F6851"/>
    <w:rsid w:val="009F7570"/>
    <w:rsid w:val="009F77C1"/>
    <w:rsid w:val="00A00E51"/>
    <w:rsid w:val="00A010E8"/>
    <w:rsid w:val="00A0117E"/>
    <w:rsid w:val="00A012C7"/>
    <w:rsid w:val="00A01559"/>
    <w:rsid w:val="00A015B7"/>
    <w:rsid w:val="00A016DC"/>
    <w:rsid w:val="00A02050"/>
    <w:rsid w:val="00A03132"/>
    <w:rsid w:val="00A03321"/>
    <w:rsid w:val="00A03420"/>
    <w:rsid w:val="00A0362C"/>
    <w:rsid w:val="00A03780"/>
    <w:rsid w:val="00A03C65"/>
    <w:rsid w:val="00A03F07"/>
    <w:rsid w:val="00A04FDF"/>
    <w:rsid w:val="00A055FE"/>
    <w:rsid w:val="00A05C4F"/>
    <w:rsid w:val="00A05F20"/>
    <w:rsid w:val="00A06317"/>
    <w:rsid w:val="00A063B1"/>
    <w:rsid w:val="00A064E5"/>
    <w:rsid w:val="00A06B4E"/>
    <w:rsid w:val="00A070E0"/>
    <w:rsid w:val="00A07558"/>
    <w:rsid w:val="00A10517"/>
    <w:rsid w:val="00A107CB"/>
    <w:rsid w:val="00A10837"/>
    <w:rsid w:val="00A11392"/>
    <w:rsid w:val="00A113DF"/>
    <w:rsid w:val="00A12178"/>
    <w:rsid w:val="00A12D70"/>
    <w:rsid w:val="00A12E92"/>
    <w:rsid w:val="00A13B14"/>
    <w:rsid w:val="00A13C51"/>
    <w:rsid w:val="00A1424B"/>
    <w:rsid w:val="00A144B0"/>
    <w:rsid w:val="00A148A9"/>
    <w:rsid w:val="00A14C25"/>
    <w:rsid w:val="00A15128"/>
    <w:rsid w:val="00A1527B"/>
    <w:rsid w:val="00A152AD"/>
    <w:rsid w:val="00A152DB"/>
    <w:rsid w:val="00A1599E"/>
    <w:rsid w:val="00A1681E"/>
    <w:rsid w:val="00A17862"/>
    <w:rsid w:val="00A17A7C"/>
    <w:rsid w:val="00A200F1"/>
    <w:rsid w:val="00A20263"/>
    <w:rsid w:val="00A20A68"/>
    <w:rsid w:val="00A21524"/>
    <w:rsid w:val="00A21B17"/>
    <w:rsid w:val="00A221C3"/>
    <w:rsid w:val="00A224BC"/>
    <w:rsid w:val="00A22668"/>
    <w:rsid w:val="00A22831"/>
    <w:rsid w:val="00A228C5"/>
    <w:rsid w:val="00A22A84"/>
    <w:rsid w:val="00A233F1"/>
    <w:rsid w:val="00A24209"/>
    <w:rsid w:val="00A24DD1"/>
    <w:rsid w:val="00A25393"/>
    <w:rsid w:val="00A2578B"/>
    <w:rsid w:val="00A25A89"/>
    <w:rsid w:val="00A25C02"/>
    <w:rsid w:val="00A26358"/>
    <w:rsid w:val="00A2681E"/>
    <w:rsid w:val="00A26AF7"/>
    <w:rsid w:val="00A26C3A"/>
    <w:rsid w:val="00A27198"/>
    <w:rsid w:val="00A27212"/>
    <w:rsid w:val="00A273BD"/>
    <w:rsid w:val="00A27A91"/>
    <w:rsid w:val="00A27CBD"/>
    <w:rsid w:val="00A30CC2"/>
    <w:rsid w:val="00A312FC"/>
    <w:rsid w:val="00A31CAA"/>
    <w:rsid w:val="00A31E70"/>
    <w:rsid w:val="00A324C7"/>
    <w:rsid w:val="00A32CE5"/>
    <w:rsid w:val="00A32F49"/>
    <w:rsid w:val="00A330B3"/>
    <w:rsid w:val="00A33AC7"/>
    <w:rsid w:val="00A33ACA"/>
    <w:rsid w:val="00A34144"/>
    <w:rsid w:val="00A3506E"/>
    <w:rsid w:val="00A35A3A"/>
    <w:rsid w:val="00A35ACF"/>
    <w:rsid w:val="00A35D58"/>
    <w:rsid w:val="00A36180"/>
    <w:rsid w:val="00A36467"/>
    <w:rsid w:val="00A370F1"/>
    <w:rsid w:val="00A372D9"/>
    <w:rsid w:val="00A37D48"/>
    <w:rsid w:val="00A4011C"/>
    <w:rsid w:val="00A40472"/>
    <w:rsid w:val="00A405D4"/>
    <w:rsid w:val="00A40ED6"/>
    <w:rsid w:val="00A41AB3"/>
    <w:rsid w:val="00A41B2D"/>
    <w:rsid w:val="00A424F2"/>
    <w:rsid w:val="00A42C9E"/>
    <w:rsid w:val="00A42F64"/>
    <w:rsid w:val="00A43411"/>
    <w:rsid w:val="00A44015"/>
    <w:rsid w:val="00A463E9"/>
    <w:rsid w:val="00A474F1"/>
    <w:rsid w:val="00A479F6"/>
    <w:rsid w:val="00A47C2C"/>
    <w:rsid w:val="00A51187"/>
    <w:rsid w:val="00A520B6"/>
    <w:rsid w:val="00A52BA6"/>
    <w:rsid w:val="00A53E73"/>
    <w:rsid w:val="00A54C49"/>
    <w:rsid w:val="00A55382"/>
    <w:rsid w:val="00A55505"/>
    <w:rsid w:val="00A5602D"/>
    <w:rsid w:val="00A56A7A"/>
    <w:rsid w:val="00A56E44"/>
    <w:rsid w:val="00A56ED4"/>
    <w:rsid w:val="00A56F5F"/>
    <w:rsid w:val="00A57089"/>
    <w:rsid w:val="00A57738"/>
    <w:rsid w:val="00A5777F"/>
    <w:rsid w:val="00A5789F"/>
    <w:rsid w:val="00A57945"/>
    <w:rsid w:val="00A57D4D"/>
    <w:rsid w:val="00A60583"/>
    <w:rsid w:val="00A60BC9"/>
    <w:rsid w:val="00A60E61"/>
    <w:rsid w:val="00A60F47"/>
    <w:rsid w:val="00A61103"/>
    <w:rsid w:val="00A615B7"/>
    <w:rsid w:val="00A624DA"/>
    <w:rsid w:val="00A62688"/>
    <w:rsid w:val="00A62706"/>
    <w:rsid w:val="00A62D91"/>
    <w:rsid w:val="00A6399C"/>
    <w:rsid w:val="00A63BD5"/>
    <w:rsid w:val="00A6509F"/>
    <w:rsid w:val="00A651E3"/>
    <w:rsid w:val="00A657CE"/>
    <w:rsid w:val="00A658C4"/>
    <w:rsid w:val="00A65A4C"/>
    <w:rsid w:val="00A65B14"/>
    <w:rsid w:val="00A66322"/>
    <w:rsid w:val="00A66835"/>
    <w:rsid w:val="00A671E2"/>
    <w:rsid w:val="00A67794"/>
    <w:rsid w:val="00A67B89"/>
    <w:rsid w:val="00A67C2A"/>
    <w:rsid w:val="00A67E3B"/>
    <w:rsid w:val="00A70614"/>
    <w:rsid w:val="00A709A4"/>
    <w:rsid w:val="00A70C01"/>
    <w:rsid w:val="00A7151D"/>
    <w:rsid w:val="00A71E2E"/>
    <w:rsid w:val="00A720AA"/>
    <w:rsid w:val="00A72376"/>
    <w:rsid w:val="00A7247C"/>
    <w:rsid w:val="00A7269A"/>
    <w:rsid w:val="00A73992"/>
    <w:rsid w:val="00A73AFE"/>
    <w:rsid w:val="00A73F47"/>
    <w:rsid w:val="00A74A9B"/>
    <w:rsid w:val="00A74D30"/>
    <w:rsid w:val="00A75739"/>
    <w:rsid w:val="00A75A64"/>
    <w:rsid w:val="00A8056B"/>
    <w:rsid w:val="00A80746"/>
    <w:rsid w:val="00A80F62"/>
    <w:rsid w:val="00A81F89"/>
    <w:rsid w:val="00A8263F"/>
    <w:rsid w:val="00A828CC"/>
    <w:rsid w:val="00A830BA"/>
    <w:rsid w:val="00A836BD"/>
    <w:rsid w:val="00A838F9"/>
    <w:rsid w:val="00A83EC8"/>
    <w:rsid w:val="00A8403F"/>
    <w:rsid w:val="00A847C3"/>
    <w:rsid w:val="00A84B09"/>
    <w:rsid w:val="00A84B25"/>
    <w:rsid w:val="00A85BBE"/>
    <w:rsid w:val="00A85F7D"/>
    <w:rsid w:val="00A86ED9"/>
    <w:rsid w:val="00A8721C"/>
    <w:rsid w:val="00A8732B"/>
    <w:rsid w:val="00A875AC"/>
    <w:rsid w:val="00A90115"/>
    <w:rsid w:val="00A91590"/>
    <w:rsid w:val="00A91612"/>
    <w:rsid w:val="00A9292D"/>
    <w:rsid w:val="00A932AF"/>
    <w:rsid w:val="00A9335A"/>
    <w:rsid w:val="00A93CA7"/>
    <w:rsid w:val="00A94977"/>
    <w:rsid w:val="00A95129"/>
    <w:rsid w:val="00A95CD3"/>
    <w:rsid w:val="00A96A8F"/>
    <w:rsid w:val="00A96B40"/>
    <w:rsid w:val="00A96F47"/>
    <w:rsid w:val="00A9789D"/>
    <w:rsid w:val="00A97978"/>
    <w:rsid w:val="00A97D4E"/>
    <w:rsid w:val="00AA025F"/>
    <w:rsid w:val="00AA0B20"/>
    <w:rsid w:val="00AA0DCC"/>
    <w:rsid w:val="00AA1C3E"/>
    <w:rsid w:val="00AA1F38"/>
    <w:rsid w:val="00AA29EE"/>
    <w:rsid w:val="00AA3358"/>
    <w:rsid w:val="00AA34A8"/>
    <w:rsid w:val="00AA38D7"/>
    <w:rsid w:val="00AA3E26"/>
    <w:rsid w:val="00AA45DD"/>
    <w:rsid w:val="00AA705B"/>
    <w:rsid w:val="00AA7392"/>
    <w:rsid w:val="00AA74F5"/>
    <w:rsid w:val="00AA787B"/>
    <w:rsid w:val="00AA7912"/>
    <w:rsid w:val="00AA7F46"/>
    <w:rsid w:val="00AB0A57"/>
    <w:rsid w:val="00AB0DF3"/>
    <w:rsid w:val="00AB112B"/>
    <w:rsid w:val="00AB12A0"/>
    <w:rsid w:val="00AB27E9"/>
    <w:rsid w:val="00AB30AA"/>
    <w:rsid w:val="00AB31FD"/>
    <w:rsid w:val="00AB3ABB"/>
    <w:rsid w:val="00AB3E29"/>
    <w:rsid w:val="00AB472C"/>
    <w:rsid w:val="00AB4E80"/>
    <w:rsid w:val="00AB5350"/>
    <w:rsid w:val="00AB5C77"/>
    <w:rsid w:val="00AB611B"/>
    <w:rsid w:val="00AB6F76"/>
    <w:rsid w:val="00AC0058"/>
    <w:rsid w:val="00AC00F6"/>
    <w:rsid w:val="00AC0A55"/>
    <w:rsid w:val="00AC0DC9"/>
    <w:rsid w:val="00AC1266"/>
    <w:rsid w:val="00AC17F1"/>
    <w:rsid w:val="00AC1967"/>
    <w:rsid w:val="00AC1AE7"/>
    <w:rsid w:val="00AC1B0F"/>
    <w:rsid w:val="00AC274A"/>
    <w:rsid w:val="00AC28D4"/>
    <w:rsid w:val="00AC2CE7"/>
    <w:rsid w:val="00AC3687"/>
    <w:rsid w:val="00AC377E"/>
    <w:rsid w:val="00AC385A"/>
    <w:rsid w:val="00AC3A38"/>
    <w:rsid w:val="00AC40AE"/>
    <w:rsid w:val="00AC4154"/>
    <w:rsid w:val="00AC42C1"/>
    <w:rsid w:val="00AC59DA"/>
    <w:rsid w:val="00AC683D"/>
    <w:rsid w:val="00AC74FD"/>
    <w:rsid w:val="00AD13F4"/>
    <w:rsid w:val="00AD19AC"/>
    <w:rsid w:val="00AD1D1A"/>
    <w:rsid w:val="00AD1EF9"/>
    <w:rsid w:val="00AD2687"/>
    <w:rsid w:val="00AD3123"/>
    <w:rsid w:val="00AD3258"/>
    <w:rsid w:val="00AD34B3"/>
    <w:rsid w:val="00AD361A"/>
    <w:rsid w:val="00AD3693"/>
    <w:rsid w:val="00AD3930"/>
    <w:rsid w:val="00AD3F6F"/>
    <w:rsid w:val="00AD450F"/>
    <w:rsid w:val="00AD4602"/>
    <w:rsid w:val="00AD47ED"/>
    <w:rsid w:val="00AD48D9"/>
    <w:rsid w:val="00AD4E3E"/>
    <w:rsid w:val="00AD5459"/>
    <w:rsid w:val="00AD55AF"/>
    <w:rsid w:val="00AD5CEA"/>
    <w:rsid w:val="00AD5DC7"/>
    <w:rsid w:val="00AD6140"/>
    <w:rsid w:val="00AD73E5"/>
    <w:rsid w:val="00AE037F"/>
    <w:rsid w:val="00AE0B80"/>
    <w:rsid w:val="00AE1350"/>
    <w:rsid w:val="00AE13AA"/>
    <w:rsid w:val="00AE1A0B"/>
    <w:rsid w:val="00AE1BCE"/>
    <w:rsid w:val="00AE216B"/>
    <w:rsid w:val="00AE262E"/>
    <w:rsid w:val="00AE2754"/>
    <w:rsid w:val="00AE3A3A"/>
    <w:rsid w:val="00AE3CD8"/>
    <w:rsid w:val="00AE4033"/>
    <w:rsid w:val="00AE4526"/>
    <w:rsid w:val="00AE5172"/>
    <w:rsid w:val="00AE5286"/>
    <w:rsid w:val="00AE5AB5"/>
    <w:rsid w:val="00AE5C9C"/>
    <w:rsid w:val="00AE63B7"/>
    <w:rsid w:val="00AE67D2"/>
    <w:rsid w:val="00AE6983"/>
    <w:rsid w:val="00AE69D2"/>
    <w:rsid w:val="00AE6B0E"/>
    <w:rsid w:val="00AE6F9D"/>
    <w:rsid w:val="00AF025A"/>
    <w:rsid w:val="00AF044F"/>
    <w:rsid w:val="00AF0491"/>
    <w:rsid w:val="00AF08D7"/>
    <w:rsid w:val="00AF0D61"/>
    <w:rsid w:val="00AF0EE5"/>
    <w:rsid w:val="00AF15DC"/>
    <w:rsid w:val="00AF20FE"/>
    <w:rsid w:val="00AF3048"/>
    <w:rsid w:val="00AF358E"/>
    <w:rsid w:val="00AF39D0"/>
    <w:rsid w:val="00AF3F7F"/>
    <w:rsid w:val="00AF3F86"/>
    <w:rsid w:val="00AF45B0"/>
    <w:rsid w:val="00AF4CBF"/>
    <w:rsid w:val="00AF530D"/>
    <w:rsid w:val="00AF5575"/>
    <w:rsid w:val="00AF55B2"/>
    <w:rsid w:val="00AF57D6"/>
    <w:rsid w:val="00AF5835"/>
    <w:rsid w:val="00AF5E29"/>
    <w:rsid w:val="00AF6420"/>
    <w:rsid w:val="00AF6603"/>
    <w:rsid w:val="00AF6759"/>
    <w:rsid w:val="00AF6946"/>
    <w:rsid w:val="00AF69D2"/>
    <w:rsid w:val="00AF6E7D"/>
    <w:rsid w:val="00AF7049"/>
    <w:rsid w:val="00AF721D"/>
    <w:rsid w:val="00AF7254"/>
    <w:rsid w:val="00AF7DE5"/>
    <w:rsid w:val="00B0051E"/>
    <w:rsid w:val="00B0096A"/>
    <w:rsid w:val="00B009A2"/>
    <w:rsid w:val="00B00B92"/>
    <w:rsid w:val="00B01531"/>
    <w:rsid w:val="00B01550"/>
    <w:rsid w:val="00B015DF"/>
    <w:rsid w:val="00B01906"/>
    <w:rsid w:val="00B01A0A"/>
    <w:rsid w:val="00B01A48"/>
    <w:rsid w:val="00B021DF"/>
    <w:rsid w:val="00B02559"/>
    <w:rsid w:val="00B02A2D"/>
    <w:rsid w:val="00B0311D"/>
    <w:rsid w:val="00B03570"/>
    <w:rsid w:val="00B048BA"/>
    <w:rsid w:val="00B04C91"/>
    <w:rsid w:val="00B04E9B"/>
    <w:rsid w:val="00B05115"/>
    <w:rsid w:val="00B056F4"/>
    <w:rsid w:val="00B058DD"/>
    <w:rsid w:val="00B060A1"/>
    <w:rsid w:val="00B06483"/>
    <w:rsid w:val="00B06725"/>
    <w:rsid w:val="00B068A6"/>
    <w:rsid w:val="00B06D75"/>
    <w:rsid w:val="00B074D2"/>
    <w:rsid w:val="00B075BD"/>
    <w:rsid w:val="00B07AE1"/>
    <w:rsid w:val="00B10D20"/>
    <w:rsid w:val="00B11434"/>
    <w:rsid w:val="00B118FE"/>
    <w:rsid w:val="00B11BFB"/>
    <w:rsid w:val="00B121FB"/>
    <w:rsid w:val="00B13430"/>
    <w:rsid w:val="00B13678"/>
    <w:rsid w:val="00B1376D"/>
    <w:rsid w:val="00B13790"/>
    <w:rsid w:val="00B13BC9"/>
    <w:rsid w:val="00B14123"/>
    <w:rsid w:val="00B14315"/>
    <w:rsid w:val="00B14506"/>
    <w:rsid w:val="00B146D6"/>
    <w:rsid w:val="00B14932"/>
    <w:rsid w:val="00B1523E"/>
    <w:rsid w:val="00B15878"/>
    <w:rsid w:val="00B15EE0"/>
    <w:rsid w:val="00B15F3D"/>
    <w:rsid w:val="00B15F8C"/>
    <w:rsid w:val="00B16C0D"/>
    <w:rsid w:val="00B173E1"/>
    <w:rsid w:val="00B1762A"/>
    <w:rsid w:val="00B17881"/>
    <w:rsid w:val="00B20FC3"/>
    <w:rsid w:val="00B21D92"/>
    <w:rsid w:val="00B21D9A"/>
    <w:rsid w:val="00B2200D"/>
    <w:rsid w:val="00B220E6"/>
    <w:rsid w:val="00B22767"/>
    <w:rsid w:val="00B23676"/>
    <w:rsid w:val="00B23990"/>
    <w:rsid w:val="00B23B96"/>
    <w:rsid w:val="00B23C0B"/>
    <w:rsid w:val="00B23CE8"/>
    <w:rsid w:val="00B23EF0"/>
    <w:rsid w:val="00B23F2C"/>
    <w:rsid w:val="00B25188"/>
    <w:rsid w:val="00B25B7D"/>
    <w:rsid w:val="00B2694C"/>
    <w:rsid w:val="00B26C22"/>
    <w:rsid w:val="00B272C5"/>
    <w:rsid w:val="00B27BE9"/>
    <w:rsid w:val="00B3191A"/>
    <w:rsid w:val="00B31F61"/>
    <w:rsid w:val="00B32023"/>
    <w:rsid w:val="00B3258F"/>
    <w:rsid w:val="00B32916"/>
    <w:rsid w:val="00B32DDA"/>
    <w:rsid w:val="00B33414"/>
    <w:rsid w:val="00B34894"/>
    <w:rsid w:val="00B348B7"/>
    <w:rsid w:val="00B35774"/>
    <w:rsid w:val="00B35775"/>
    <w:rsid w:val="00B35A9D"/>
    <w:rsid w:val="00B35E33"/>
    <w:rsid w:val="00B374BC"/>
    <w:rsid w:val="00B37EA8"/>
    <w:rsid w:val="00B40197"/>
    <w:rsid w:val="00B40BCA"/>
    <w:rsid w:val="00B41742"/>
    <w:rsid w:val="00B41B44"/>
    <w:rsid w:val="00B426B4"/>
    <w:rsid w:val="00B427F0"/>
    <w:rsid w:val="00B42A3D"/>
    <w:rsid w:val="00B42D1E"/>
    <w:rsid w:val="00B436F9"/>
    <w:rsid w:val="00B43A0E"/>
    <w:rsid w:val="00B44455"/>
    <w:rsid w:val="00B444EF"/>
    <w:rsid w:val="00B4458C"/>
    <w:rsid w:val="00B44974"/>
    <w:rsid w:val="00B45746"/>
    <w:rsid w:val="00B45C3A"/>
    <w:rsid w:val="00B469A2"/>
    <w:rsid w:val="00B471F0"/>
    <w:rsid w:val="00B4731C"/>
    <w:rsid w:val="00B47801"/>
    <w:rsid w:val="00B47B20"/>
    <w:rsid w:val="00B47E61"/>
    <w:rsid w:val="00B500CE"/>
    <w:rsid w:val="00B504A6"/>
    <w:rsid w:val="00B5094D"/>
    <w:rsid w:val="00B51526"/>
    <w:rsid w:val="00B515B1"/>
    <w:rsid w:val="00B515F8"/>
    <w:rsid w:val="00B51801"/>
    <w:rsid w:val="00B521EE"/>
    <w:rsid w:val="00B52F50"/>
    <w:rsid w:val="00B5335E"/>
    <w:rsid w:val="00B53A45"/>
    <w:rsid w:val="00B54479"/>
    <w:rsid w:val="00B54834"/>
    <w:rsid w:val="00B5492D"/>
    <w:rsid w:val="00B54997"/>
    <w:rsid w:val="00B555FA"/>
    <w:rsid w:val="00B556BA"/>
    <w:rsid w:val="00B557D1"/>
    <w:rsid w:val="00B56E6F"/>
    <w:rsid w:val="00B5762A"/>
    <w:rsid w:val="00B57AB2"/>
    <w:rsid w:val="00B60A1C"/>
    <w:rsid w:val="00B60CD5"/>
    <w:rsid w:val="00B60D43"/>
    <w:rsid w:val="00B60F8D"/>
    <w:rsid w:val="00B610AD"/>
    <w:rsid w:val="00B61A20"/>
    <w:rsid w:val="00B61BF1"/>
    <w:rsid w:val="00B62560"/>
    <w:rsid w:val="00B62610"/>
    <w:rsid w:val="00B62CB1"/>
    <w:rsid w:val="00B62FBE"/>
    <w:rsid w:val="00B63079"/>
    <w:rsid w:val="00B63CF4"/>
    <w:rsid w:val="00B63DFE"/>
    <w:rsid w:val="00B6401D"/>
    <w:rsid w:val="00B641D4"/>
    <w:rsid w:val="00B64273"/>
    <w:rsid w:val="00B642EB"/>
    <w:rsid w:val="00B64469"/>
    <w:rsid w:val="00B64B2C"/>
    <w:rsid w:val="00B64EBE"/>
    <w:rsid w:val="00B64ECC"/>
    <w:rsid w:val="00B658EE"/>
    <w:rsid w:val="00B65A2C"/>
    <w:rsid w:val="00B65CAC"/>
    <w:rsid w:val="00B66DCB"/>
    <w:rsid w:val="00B676E2"/>
    <w:rsid w:val="00B6783E"/>
    <w:rsid w:val="00B67947"/>
    <w:rsid w:val="00B67BF7"/>
    <w:rsid w:val="00B67CB6"/>
    <w:rsid w:val="00B67DD6"/>
    <w:rsid w:val="00B67F58"/>
    <w:rsid w:val="00B70284"/>
    <w:rsid w:val="00B70BEF"/>
    <w:rsid w:val="00B70D7E"/>
    <w:rsid w:val="00B718ED"/>
    <w:rsid w:val="00B719EF"/>
    <w:rsid w:val="00B71C58"/>
    <w:rsid w:val="00B71D34"/>
    <w:rsid w:val="00B71FFB"/>
    <w:rsid w:val="00B72066"/>
    <w:rsid w:val="00B72AFB"/>
    <w:rsid w:val="00B72F9A"/>
    <w:rsid w:val="00B7364C"/>
    <w:rsid w:val="00B738CD"/>
    <w:rsid w:val="00B73C81"/>
    <w:rsid w:val="00B73DFB"/>
    <w:rsid w:val="00B744C7"/>
    <w:rsid w:val="00B7497D"/>
    <w:rsid w:val="00B74B3C"/>
    <w:rsid w:val="00B75453"/>
    <w:rsid w:val="00B757A3"/>
    <w:rsid w:val="00B75811"/>
    <w:rsid w:val="00B7720B"/>
    <w:rsid w:val="00B77C31"/>
    <w:rsid w:val="00B8010F"/>
    <w:rsid w:val="00B80307"/>
    <w:rsid w:val="00B80F16"/>
    <w:rsid w:val="00B82837"/>
    <w:rsid w:val="00B8295E"/>
    <w:rsid w:val="00B83873"/>
    <w:rsid w:val="00B83AE3"/>
    <w:rsid w:val="00B83F7F"/>
    <w:rsid w:val="00B83FF1"/>
    <w:rsid w:val="00B84B11"/>
    <w:rsid w:val="00B84CCF"/>
    <w:rsid w:val="00B84E62"/>
    <w:rsid w:val="00B8511F"/>
    <w:rsid w:val="00B86799"/>
    <w:rsid w:val="00B86EFF"/>
    <w:rsid w:val="00B87877"/>
    <w:rsid w:val="00B87F0B"/>
    <w:rsid w:val="00B87F80"/>
    <w:rsid w:val="00B90024"/>
    <w:rsid w:val="00B90080"/>
    <w:rsid w:val="00B90B30"/>
    <w:rsid w:val="00B9104E"/>
    <w:rsid w:val="00B912D0"/>
    <w:rsid w:val="00B914EA"/>
    <w:rsid w:val="00B915C4"/>
    <w:rsid w:val="00B9166F"/>
    <w:rsid w:val="00B926D4"/>
    <w:rsid w:val="00B92900"/>
    <w:rsid w:val="00B92ED4"/>
    <w:rsid w:val="00B93141"/>
    <w:rsid w:val="00B93351"/>
    <w:rsid w:val="00B935D6"/>
    <w:rsid w:val="00B93902"/>
    <w:rsid w:val="00B93C4A"/>
    <w:rsid w:val="00B93E8E"/>
    <w:rsid w:val="00B93F52"/>
    <w:rsid w:val="00B948D6"/>
    <w:rsid w:val="00B94FBD"/>
    <w:rsid w:val="00B9526C"/>
    <w:rsid w:val="00B95404"/>
    <w:rsid w:val="00B95537"/>
    <w:rsid w:val="00B95B74"/>
    <w:rsid w:val="00B95BBE"/>
    <w:rsid w:val="00B96D19"/>
    <w:rsid w:val="00BA0085"/>
    <w:rsid w:val="00BA0BA3"/>
    <w:rsid w:val="00BA17DE"/>
    <w:rsid w:val="00BA1861"/>
    <w:rsid w:val="00BA1D65"/>
    <w:rsid w:val="00BA23D8"/>
    <w:rsid w:val="00BA24F1"/>
    <w:rsid w:val="00BA27A4"/>
    <w:rsid w:val="00BA281A"/>
    <w:rsid w:val="00BA2DE3"/>
    <w:rsid w:val="00BA2F62"/>
    <w:rsid w:val="00BA32A4"/>
    <w:rsid w:val="00BA3C57"/>
    <w:rsid w:val="00BA3E24"/>
    <w:rsid w:val="00BA40C1"/>
    <w:rsid w:val="00BA4FB5"/>
    <w:rsid w:val="00BA59CA"/>
    <w:rsid w:val="00BA611B"/>
    <w:rsid w:val="00BA64F3"/>
    <w:rsid w:val="00BA6A29"/>
    <w:rsid w:val="00BA6C21"/>
    <w:rsid w:val="00BA6CA5"/>
    <w:rsid w:val="00BA7BB1"/>
    <w:rsid w:val="00BB0844"/>
    <w:rsid w:val="00BB109C"/>
    <w:rsid w:val="00BB1471"/>
    <w:rsid w:val="00BB1BD1"/>
    <w:rsid w:val="00BB1EB3"/>
    <w:rsid w:val="00BB2011"/>
    <w:rsid w:val="00BB263D"/>
    <w:rsid w:val="00BB2D6C"/>
    <w:rsid w:val="00BB3213"/>
    <w:rsid w:val="00BB36A4"/>
    <w:rsid w:val="00BB36AF"/>
    <w:rsid w:val="00BB3815"/>
    <w:rsid w:val="00BB3EF4"/>
    <w:rsid w:val="00BB515F"/>
    <w:rsid w:val="00BB66A8"/>
    <w:rsid w:val="00BB69B8"/>
    <w:rsid w:val="00BB7A54"/>
    <w:rsid w:val="00BC0CAC"/>
    <w:rsid w:val="00BC12E1"/>
    <w:rsid w:val="00BC1D6E"/>
    <w:rsid w:val="00BC213B"/>
    <w:rsid w:val="00BC2753"/>
    <w:rsid w:val="00BC293D"/>
    <w:rsid w:val="00BC3374"/>
    <w:rsid w:val="00BC3900"/>
    <w:rsid w:val="00BC3EAA"/>
    <w:rsid w:val="00BC4218"/>
    <w:rsid w:val="00BC426B"/>
    <w:rsid w:val="00BC49C1"/>
    <w:rsid w:val="00BC4CB1"/>
    <w:rsid w:val="00BC520C"/>
    <w:rsid w:val="00BC53E6"/>
    <w:rsid w:val="00BC5948"/>
    <w:rsid w:val="00BC5A0C"/>
    <w:rsid w:val="00BC5A6C"/>
    <w:rsid w:val="00BC6267"/>
    <w:rsid w:val="00BC6859"/>
    <w:rsid w:val="00BC6EF5"/>
    <w:rsid w:val="00BC7074"/>
    <w:rsid w:val="00BC7709"/>
    <w:rsid w:val="00BC79DF"/>
    <w:rsid w:val="00BC7A93"/>
    <w:rsid w:val="00BC7E03"/>
    <w:rsid w:val="00BC7EE9"/>
    <w:rsid w:val="00BD028E"/>
    <w:rsid w:val="00BD051D"/>
    <w:rsid w:val="00BD0E22"/>
    <w:rsid w:val="00BD14B2"/>
    <w:rsid w:val="00BD190E"/>
    <w:rsid w:val="00BD1A3B"/>
    <w:rsid w:val="00BD3792"/>
    <w:rsid w:val="00BD408A"/>
    <w:rsid w:val="00BD47CE"/>
    <w:rsid w:val="00BD4825"/>
    <w:rsid w:val="00BD4AC2"/>
    <w:rsid w:val="00BD4B70"/>
    <w:rsid w:val="00BD4B8D"/>
    <w:rsid w:val="00BD4C89"/>
    <w:rsid w:val="00BD540E"/>
    <w:rsid w:val="00BD6AD5"/>
    <w:rsid w:val="00BD6C57"/>
    <w:rsid w:val="00BD6EA6"/>
    <w:rsid w:val="00BD73A6"/>
    <w:rsid w:val="00BD7596"/>
    <w:rsid w:val="00BD7F6B"/>
    <w:rsid w:val="00BE0611"/>
    <w:rsid w:val="00BE15D0"/>
    <w:rsid w:val="00BE176B"/>
    <w:rsid w:val="00BE1C0C"/>
    <w:rsid w:val="00BE2B36"/>
    <w:rsid w:val="00BE2DBB"/>
    <w:rsid w:val="00BE2EB5"/>
    <w:rsid w:val="00BE2F73"/>
    <w:rsid w:val="00BE3A30"/>
    <w:rsid w:val="00BE3A38"/>
    <w:rsid w:val="00BE3F20"/>
    <w:rsid w:val="00BE4A32"/>
    <w:rsid w:val="00BE4F0B"/>
    <w:rsid w:val="00BE50A4"/>
    <w:rsid w:val="00BE584C"/>
    <w:rsid w:val="00BE633D"/>
    <w:rsid w:val="00BE72C9"/>
    <w:rsid w:val="00BE78E9"/>
    <w:rsid w:val="00BF0277"/>
    <w:rsid w:val="00BF07A5"/>
    <w:rsid w:val="00BF0E78"/>
    <w:rsid w:val="00BF107F"/>
    <w:rsid w:val="00BF13E0"/>
    <w:rsid w:val="00BF2389"/>
    <w:rsid w:val="00BF24E7"/>
    <w:rsid w:val="00BF24F5"/>
    <w:rsid w:val="00BF2591"/>
    <w:rsid w:val="00BF28FB"/>
    <w:rsid w:val="00BF3970"/>
    <w:rsid w:val="00BF3D8B"/>
    <w:rsid w:val="00BF3FEC"/>
    <w:rsid w:val="00BF41AB"/>
    <w:rsid w:val="00BF48DD"/>
    <w:rsid w:val="00BF49D4"/>
    <w:rsid w:val="00BF4EEF"/>
    <w:rsid w:val="00BF5400"/>
    <w:rsid w:val="00BF574F"/>
    <w:rsid w:val="00BF5B46"/>
    <w:rsid w:val="00BF5FA5"/>
    <w:rsid w:val="00BF6162"/>
    <w:rsid w:val="00BF64A8"/>
    <w:rsid w:val="00BF6A9C"/>
    <w:rsid w:val="00BF6BDC"/>
    <w:rsid w:val="00BF7A9C"/>
    <w:rsid w:val="00BF7FE2"/>
    <w:rsid w:val="00C00058"/>
    <w:rsid w:val="00C002EB"/>
    <w:rsid w:val="00C00979"/>
    <w:rsid w:val="00C00AE2"/>
    <w:rsid w:val="00C014CA"/>
    <w:rsid w:val="00C015C3"/>
    <w:rsid w:val="00C0176C"/>
    <w:rsid w:val="00C0193D"/>
    <w:rsid w:val="00C01A8E"/>
    <w:rsid w:val="00C02227"/>
    <w:rsid w:val="00C0339E"/>
    <w:rsid w:val="00C039E9"/>
    <w:rsid w:val="00C03B7F"/>
    <w:rsid w:val="00C049B9"/>
    <w:rsid w:val="00C04AB2"/>
    <w:rsid w:val="00C04ABF"/>
    <w:rsid w:val="00C04EB4"/>
    <w:rsid w:val="00C0511B"/>
    <w:rsid w:val="00C05705"/>
    <w:rsid w:val="00C05882"/>
    <w:rsid w:val="00C05942"/>
    <w:rsid w:val="00C05CF5"/>
    <w:rsid w:val="00C0681B"/>
    <w:rsid w:val="00C06B23"/>
    <w:rsid w:val="00C06B60"/>
    <w:rsid w:val="00C07A1C"/>
    <w:rsid w:val="00C10134"/>
    <w:rsid w:val="00C1066E"/>
    <w:rsid w:val="00C11F8A"/>
    <w:rsid w:val="00C1203B"/>
    <w:rsid w:val="00C12360"/>
    <w:rsid w:val="00C12D95"/>
    <w:rsid w:val="00C12FEE"/>
    <w:rsid w:val="00C13868"/>
    <w:rsid w:val="00C13D5E"/>
    <w:rsid w:val="00C14179"/>
    <w:rsid w:val="00C141FF"/>
    <w:rsid w:val="00C1432A"/>
    <w:rsid w:val="00C149B4"/>
    <w:rsid w:val="00C1502B"/>
    <w:rsid w:val="00C15281"/>
    <w:rsid w:val="00C15F53"/>
    <w:rsid w:val="00C1611B"/>
    <w:rsid w:val="00C161AC"/>
    <w:rsid w:val="00C161B0"/>
    <w:rsid w:val="00C16479"/>
    <w:rsid w:val="00C1695D"/>
    <w:rsid w:val="00C16A73"/>
    <w:rsid w:val="00C16CCE"/>
    <w:rsid w:val="00C175F2"/>
    <w:rsid w:val="00C176E6"/>
    <w:rsid w:val="00C1788D"/>
    <w:rsid w:val="00C17F9B"/>
    <w:rsid w:val="00C201A9"/>
    <w:rsid w:val="00C206AC"/>
    <w:rsid w:val="00C20D45"/>
    <w:rsid w:val="00C21472"/>
    <w:rsid w:val="00C224C1"/>
    <w:rsid w:val="00C2271E"/>
    <w:rsid w:val="00C229C6"/>
    <w:rsid w:val="00C23199"/>
    <w:rsid w:val="00C23787"/>
    <w:rsid w:val="00C23EB3"/>
    <w:rsid w:val="00C23F06"/>
    <w:rsid w:val="00C23F33"/>
    <w:rsid w:val="00C23F40"/>
    <w:rsid w:val="00C2507D"/>
    <w:rsid w:val="00C252E0"/>
    <w:rsid w:val="00C25C89"/>
    <w:rsid w:val="00C25F24"/>
    <w:rsid w:val="00C26E44"/>
    <w:rsid w:val="00C27238"/>
    <w:rsid w:val="00C2742C"/>
    <w:rsid w:val="00C27B96"/>
    <w:rsid w:val="00C3025A"/>
    <w:rsid w:val="00C30539"/>
    <w:rsid w:val="00C306E2"/>
    <w:rsid w:val="00C30D8F"/>
    <w:rsid w:val="00C31017"/>
    <w:rsid w:val="00C3103A"/>
    <w:rsid w:val="00C31750"/>
    <w:rsid w:val="00C31AE0"/>
    <w:rsid w:val="00C31CDD"/>
    <w:rsid w:val="00C31ECD"/>
    <w:rsid w:val="00C3240B"/>
    <w:rsid w:val="00C32C18"/>
    <w:rsid w:val="00C336DB"/>
    <w:rsid w:val="00C33CF4"/>
    <w:rsid w:val="00C3432D"/>
    <w:rsid w:val="00C34557"/>
    <w:rsid w:val="00C34741"/>
    <w:rsid w:val="00C3529A"/>
    <w:rsid w:val="00C35CCD"/>
    <w:rsid w:val="00C364F5"/>
    <w:rsid w:val="00C36A46"/>
    <w:rsid w:val="00C36D65"/>
    <w:rsid w:val="00C37445"/>
    <w:rsid w:val="00C37B71"/>
    <w:rsid w:val="00C406BD"/>
    <w:rsid w:val="00C41194"/>
    <w:rsid w:val="00C42203"/>
    <w:rsid w:val="00C4259C"/>
    <w:rsid w:val="00C42A0B"/>
    <w:rsid w:val="00C4439C"/>
    <w:rsid w:val="00C45887"/>
    <w:rsid w:val="00C45945"/>
    <w:rsid w:val="00C45BCB"/>
    <w:rsid w:val="00C45C25"/>
    <w:rsid w:val="00C45D13"/>
    <w:rsid w:val="00C45F4B"/>
    <w:rsid w:val="00C46115"/>
    <w:rsid w:val="00C46640"/>
    <w:rsid w:val="00C46684"/>
    <w:rsid w:val="00C46816"/>
    <w:rsid w:val="00C46A3C"/>
    <w:rsid w:val="00C46D81"/>
    <w:rsid w:val="00C46F3D"/>
    <w:rsid w:val="00C475BD"/>
    <w:rsid w:val="00C47A33"/>
    <w:rsid w:val="00C50515"/>
    <w:rsid w:val="00C5077C"/>
    <w:rsid w:val="00C50BB2"/>
    <w:rsid w:val="00C50CAB"/>
    <w:rsid w:val="00C5135B"/>
    <w:rsid w:val="00C51E6F"/>
    <w:rsid w:val="00C52316"/>
    <w:rsid w:val="00C525DE"/>
    <w:rsid w:val="00C5262A"/>
    <w:rsid w:val="00C527A3"/>
    <w:rsid w:val="00C52983"/>
    <w:rsid w:val="00C5447E"/>
    <w:rsid w:val="00C54550"/>
    <w:rsid w:val="00C5478C"/>
    <w:rsid w:val="00C54D87"/>
    <w:rsid w:val="00C5517A"/>
    <w:rsid w:val="00C55419"/>
    <w:rsid w:val="00C555DC"/>
    <w:rsid w:val="00C55985"/>
    <w:rsid w:val="00C5614A"/>
    <w:rsid w:val="00C56284"/>
    <w:rsid w:val="00C5716B"/>
    <w:rsid w:val="00C6093F"/>
    <w:rsid w:val="00C60FBA"/>
    <w:rsid w:val="00C61E71"/>
    <w:rsid w:val="00C61E7D"/>
    <w:rsid w:val="00C6292D"/>
    <w:rsid w:val="00C62B6C"/>
    <w:rsid w:val="00C62C32"/>
    <w:rsid w:val="00C6332D"/>
    <w:rsid w:val="00C63710"/>
    <w:rsid w:val="00C6372F"/>
    <w:rsid w:val="00C6381A"/>
    <w:rsid w:val="00C63849"/>
    <w:rsid w:val="00C63889"/>
    <w:rsid w:val="00C63D3C"/>
    <w:rsid w:val="00C63E91"/>
    <w:rsid w:val="00C64A55"/>
    <w:rsid w:val="00C64AE9"/>
    <w:rsid w:val="00C64B9B"/>
    <w:rsid w:val="00C64ED9"/>
    <w:rsid w:val="00C6511B"/>
    <w:rsid w:val="00C65F94"/>
    <w:rsid w:val="00C661C2"/>
    <w:rsid w:val="00C661DE"/>
    <w:rsid w:val="00C66628"/>
    <w:rsid w:val="00C66734"/>
    <w:rsid w:val="00C66C16"/>
    <w:rsid w:val="00C66FDF"/>
    <w:rsid w:val="00C67310"/>
    <w:rsid w:val="00C67322"/>
    <w:rsid w:val="00C678CF"/>
    <w:rsid w:val="00C67922"/>
    <w:rsid w:val="00C67B33"/>
    <w:rsid w:val="00C706DC"/>
    <w:rsid w:val="00C718BB"/>
    <w:rsid w:val="00C71AA9"/>
    <w:rsid w:val="00C71C14"/>
    <w:rsid w:val="00C71C20"/>
    <w:rsid w:val="00C72222"/>
    <w:rsid w:val="00C722E6"/>
    <w:rsid w:val="00C72843"/>
    <w:rsid w:val="00C732AD"/>
    <w:rsid w:val="00C73D43"/>
    <w:rsid w:val="00C741B7"/>
    <w:rsid w:val="00C74F68"/>
    <w:rsid w:val="00C751B5"/>
    <w:rsid w:val="00C7565E"/>
    <w:rsid w:val="00C75A04"/>
    <w:rsid w:val="00C75D3A"/>
    <w:rsid w:val="00C75EB0"/>
    <w:rsid w:val="00C76126"/>
    <w:rsid w:val="00C76334"/>
    <w:rsid w:val="00C76AD9"/>
    <w:rsid w:val="00C76E0A"/>
    <w:rsid w:val="00C77412"/>
    <w:rsid w:val="00C7762E"/>
    <w:rsid w:val="00C80311"/>
    <w:rsid w:val="00C80485"/>
    <w:rsid w:val="00C80D6E"/>
    <w:rsid w:val="00C8114E"/>
    <w:rsid w:val="00C815B7"/>
    <w:rsid w:val="00C81B75"/>
    <w:rsid w:val="00C820F4"/>
    <w:rsid w:val="00C8305B"/>
    <w:rsid w:val="00C83DD5"/>
    <w:rsid w:val="00C84355"/>
    <w:rsid w:val="00C84756"/>
    <w:rsid w:val="00C84F8B"/>
    <w:rsid w:val="00C855C7"/>
    <w:rsid w:val="00C856CE"/>
    <w:rsid w:val="00C8592E"/>
    <w:rsid w:val="00C85A28"/>
    <w:rsid w:val="00C8610C"/>
    <w:rsid w:val="00C875BB"/>
    <w:rsid w:val="00C87913"/>
    <w:rsid w:val="00C87A13"/>
    <w:rsid w:val="00C87DA3"/>
    <w:rsid w:val="00C9146B"/>
    <w:rsid w:val="00C917A4"/>
    <w:rsid w:val="00C9193A"/>
    <w:rsid w:val="00C91A73"/>
    <w:rsid w:val="00C91E0E"/>
    <w:rsid w:val="00C91E46"/>
    <w:rsid w:val="00C91EE2"/>
    <w:rsid w:val="00C92C5B"/>
    <w:rsid w:val="00C92EFA"/>
    <w:rsid w:val="00C9325E"/>
    <w:rsid w:val="00C93628"/>
    <w:rsid w:val="00C9390C"/>
    <w:rsid w:val="00C941CE"/>
    <w:rsid w:val="00C94545"/>
    <w:rsid w:val="00C94A54"/>
    <w:rsid w:val="00C95B97"/>
    <w:rsid w:val="00C95CD1"/>
    <w:rsid w:val="00C95CF8"/>
    <w:rsid w:val="00C9622F"/>
    <w:rsid w:val="00C96316"/>
    <w:rsid w:val="00C97003"/>
    <w:rsid w:val="00C97EAC"/>
    <w:rsid w:val="00CA019F"/>
    <w:rsid w:val="00CA036B"/>
    <w:rsid w:val="00CA0684"/>
    <w:rsid w:val="00CA08E5"/>
    <w:rsid w:val="00CA0A7A"/>
    <w:rsid w:val="00CA18BE"/>
    <w:rsid w:val="00CA1E7D"/>
    <w:rsid w:val="00CA2C0B"/>
    <w:rsid w:val="00CA3A76"/>
    <w:rsid w:val="00CA3D00"/>
    <w:rsid w:val="00CA3D2E"/>
    <w:rsid w:val="00CA4B59"/>
    <w:rsid w:val="00CA4F69"/>
    <w:rsid w:val="00CA53EF"/>
    <w:rsid w:val="00CA57A1"/>
    <w:rsid w:val="00CA5B3D"/>
    <w:rsid w:val="00CA5BE2"/>
    <w:rsid w:val="00CA6050"/>
    <w:rsid w:val="00CA6131"/>
    <w:rsid w:val="00CA6411"/>
    <w:rsid w:val="00CA6B57"/>
    <w:rsid w:val="00CB0080"/>
    <w:rsid w:val="00CB0BEB"/>
    <w:rsid w:val="00CB2124"/>
    <w:rsid w:val="00CB295E"/>
    <w:rsid w:val="00CB2985"/>
    <w:rsid w:val="00CB2CDF"/>
    <w:rsid w:val="00CB2DDE"/>
    <w:rsid w:val="00CB3022"/>
    <w:rsid w:val="00CB5868"/>
    <w:rsid w:val="00CB5D2C"/>
    <w:rsid w:val="00CB5DE8"/>
    <w:rsid w:val="00CB6207"/>
    <w:rsid w:val="00CB66C4"/>
    <w:rsid w:val="00CB679B"/>
    <w:rsid w:val="00CB6963"/>
    <w:rsid w:val="00CB6A99"/>
    <w:rsid w:val="00CB7377"/>
    <w:rsid w:val="00CB7753"/>
    <w:rsid w:val="00CB7AA3"/>
    <w:rsid w:val="00CC0374"/>
    <w:rsid w:val="00CC0843"/>
    <w:rsid w:val="00CC08DD"/>
    <w:rsid w:val="00CC0D2F"/>
    <w:rsid w:val="00CC1983"/>
    <w:rsid w:val="00CC1D16"/>
    <w:rsid w:val="00CC2BD8"/>
    <w:rsid w:val="00CC31AE"/>
    <w:rsid w:val="00CC37FD"/>
    <w:rsid w:val="00CC4083"/>
    <w:rsid w:val="00CC4409"/>
    <w:rsid w:val="00CC4632"/>
    <w:rsid w:val="00CC4E8F"/>
    <w:rsid w:val="00CC4F60"/>
    <w:rsid w:val="00CC52C2"/>
    <w:rsid w:val="00CC559E"/>
    <w:rsid w:val="00CC6A56"/>
    <w:rsid w:val="00CD0B77"/>
    <w:rsid w:val="00CD0FD6"/>
    <w:rsid w:val="00CD1848"/>
    <w:rsid w:val="00CD196B"/>
    <w:rsid w:val="00CD1B86"/>
    <w:rsid w:val="00CD28F8"/>
    <w:rsid w:val="00CD2B82"/>
    <w:rsid w:val="00CD2CA7"/>
    <w:rsid w:val="00CD2F71"/>
    <w:rsid w:val="00CD390D"/>
    <w:rsid w:val="00CD428E"/>
    <w:rsid w:val="00CD473C"/>
    <w:rsid w:val="00CD5626"/>
    <w:rsid w:val="00CD6448"/>
    <w:rsid w:val="00CD68BA"/>
    <w:rsid w:val="00CD6D73"/>
    <w:rsid w:val="00CD6D83"/>
    <w:rsid w:val="00CD6DAA"/>
    <w:rsid w:val="00CD79C8"/>
    <w:rsid w:val="00CD7AFF"/>
    <w:rsid w:val="00CE022B"/>
    <w:rsid w:val="00CE0591"/>
    <w:rsid w:val="00CE06C7"/>
    <w:rsid w:val="00CE0BF0"/>
    <w:rsid w:val="00CE1256"/>
    <w:rsid w:val="00CE1B80"/>
    <w:rsid w:val="00CE2647"/>
    <w:rsid w:val="00CE2D2C"/>
    <w:rsid w:val="00CE3403"/>
    <w:rsid w:val="00CE3D64"/>
    <w:rsid w:val="00CE46DD"/>
    <w:rsid w:val="00CE4B17"/>
    <w:rsid w:val="00CE4DA5"/>
    <w:rsid w:val="00CE4E04"/>
    <w:rsid w:val="00CE4F29"/>
    <w:rsid w:val="00CE5230"/>
    <w:rsid w:val="00CE52EF"/>
    <w:rsid w:val="00CE5C26"/>
    <w:rsid w:val="00CE6085"/>
    <w:rsid w:val="00CE670E"/>
    <w:rsid w:val="00CE6807"/>
    <w:rsid w:val="00CE6B08"/>
    <w:rsid w:val="00CE6FF6"/>
    <w:rsid w:val="00CE7E8E"/>
    <w:rsid w:val="00CF0ABB"/>
    <w:rsid w:val="00CF1022"/>
    <w:rsid w:val="00CF15FB"/>
    <w:rsid w:val="00CF2909"/>
    <w:rsid w:val="00CF3D2C"/>
    <w:rsid w:val="00CF41E2"/>
    <w:rsid w:val="00CF43C1"/>
    <w:rsid w:val="00CF44FC"/>
    <w:rsid w:val="00CF4660"/>
    <w:rsid w:val="00CF4970"/>
    <w:rsid w:val="00CF49CF"/>
    <w:rsid w:val="00CF548D"/>
    <w:rsid w:val="00CF551E"/>
    <w:rsid w:val="00CF575D"/>
    <w:rsid w:val="00CF57D4"/>
    <w:rsid w:val="00CF6391"/>
    <w:rsid w:val="00CF69B7"/>
    <w:rsid w:val="00CF6C1D"/>
    <w:rsid w:val="00CF76C7"/>
    <w:rsid w:val="00CF7E9D"/>
    <w:rsid w:val="00CF7FAD"/>
    <w:rsid w:val="00D00033"/>
    <w:rsid w:val="00D00F20"/>
    <w:rsid w:val="00D018D8"/>
    <w:rsid w:val="00D01935"/>
    <w:rsid w:val="00D01BBE"/>
    <w:rsid w:val="00D01BE4"/>
    <w:rsid w:val="00D01EAA"/>
    <w:rsid w:val="00D02497"/>
    <w:rsid w:val="00D02610"/>
    <w:rsid w:val="00D034B9"/>
    <w:rsid w:val="00D03F22"/>
    <w:rsid w:val="00D04034"/>
    <w:rsid w:val="00D041D9"/>
    <w:rsid w:val="00D0476F"/>
    <w:rsid w:val="00D04F15"/>
    <w:rsid w:val="00D04FFF"/>
    <w:rsid w:val="00D05736"/>
    <w:rsid w:val="00D05DCF"/>
    <w:rsid w:val="00D05E0D"/>
    <w:rsid w:val="00D060BE"/>
    <w:rsid w:val="00D06554"/>
    <w:rsid w:val="00D066D1"/>
    <w:rsid w:val="00D10006"/>
    <w:rsid w:val="00D1193B"/>
    <w:rsid w:val="00D11E06"/>
    <w:rsid w:val="00D11E8D"/>
    <w:rsid w:val="00D11F08"/>
    <w:rsid w:val="00D12088"/>
    <w:rsid w:val="00D1211D"/>
    <w:rsid w:val="00D1224C"/>
    <w:rsid w:val="00D127DA"/>
    <w:rsid w:val="00D1320C"/>
    <w:rsid w:val="00D135A7"/>
    <w:rsid w:val="00D139D8"/>
    <w:rsid w:val="00D13FED"/>
    <w:rsid w:val="00D14E59"/>
    <w:rsid w:val="00D15E50"/>
    <w:rsid w:val="00D1653A"/>
    <w:rsid w:val="00D17182"/>
    <w:rsid w:val="00D1718C"/>
    <w:rsid w:val="00D1748C"/>
    <w:rsid w:val="00D1761B"/>
    <w:rsid w:val="00D17B71"/>
    <w:rsid w:val="00D2057A"/>
    <w:rsid w:val="00D2144C"/>
    <w:rsid w:val="00D21A9D"/>
    <w:rsid w:val="00D21B5F"/>
    <w:rsid w:val="00D21CC3"/>
    <w:rsid w:val="00D223D0"/>
    <w:rsid w:val="00D224E7"/>
    <w:rsid w:val="00D2368F"/>
    <w:rsid w:val="00D23E0B"/>
    <w:rsid w:val="00D24445"/>
    <w:rsid w:val="00D246C1"/>
    <w:rsid w:val="00D24AEC"/>
    <w:rsid w:val="00D25C94"/>
    <w:rsid w:val="00D2602C"/>
    <w:rsid w:val="00D26829"/>
    <w:rsid w:val="00D26A79"/>
    <w:rsid w:val="00D27395"/>
    <w:rsid w:val="00D279EB"/>
    <w:rsid w:val="00D27C24"/>
    <w:rsid w:val="00D30053"/>
    <w:rsid w:val="00D3012F"/>
    <w:rsid w:val="00D30140"/>
    <w:rsid w:val="00D304A8"/>
    <w:rsid w:val="00D30630"/>
    <w:rsid w:val="00D306E1"/>
    <w:rsid w:val="00D309FA"/>
    <w:rsid w:val="00D313E3"/>
    <w:rsid w:val="00D31428"/>
    <w:rsid w:val="00D317BD"/>
    <w:rsid w:val="00D3258F"/>
    <w:rsid w:val="00D3285A"/>
    <w:rsid w:val="00D33379"/>
    <w:rsid w:val="00D344F4"/>
    <w:rsid w:val="00D35036"/>
    <w:rsid w:val="00D35185"/>
    <w:rsid w:val="00D3533C"/>
    <w:rsid w:val="00D3630F"/>
    <w:rsid w:val="00D3635C"/>
    <w:rsid w:val="00D3664F"/>
    <w:rsid w:val="00D369E1"/>
    <w:rsid w:val="00D36A33"/>
    <w:rsid w:val="00D36B3E"/>
    <w:rsid w:val="00D36C9F"/>
    <w:rsid w:val="00D36CC4"/>
    <w:rsid w:val="00D36FD4"/>
    <w:rsid w:val="00D37622"/>
    <w:rsid w:val="00D37947"/>
    <w:rsid w:val="00D37FB1"/>
    <w:rsid w:val="00D402F2"/>
    <w:rsid w:val="00D412BF"/>
    <w:rsid w:val="00D41E49"/>
    <w:rsid w:val="00D4268B"/>
    <w:rsid w:val="00D42AD8"/>
    <w:rsid w:val="00D42B44"/>
    <w:rsid w:val="00D43E6D"/>
    <w:rsid w:val="00D44125"/>
    <w:rsid w:val="00D447F0"/>
    <w:rsid w:val="00D44E2A"/>
    <w:rsid w:val="00D4505B"/>
    <w:rsid w:val="00D45219"/>
    <w:rsid w:val="00D4534C"/>
    <w:rsid w:val="00D4555D"/>
    <w:rsid w:val="00D45B7D"/>
    <w:rsid w:val="00D4628F"/>
    <w:rsid w:val="00D469B1"/>
    <w:rsid w:val="00D46A8A"/>
    <w:rsid w:val="00D475EB"/>
    <w:rsid w:val="00D47E92"/>
    <w:rsid w:val="00D5012B"/>
    <w:rsid w:val="00D51187"/>
    <w:rsid w:val="00D5224E"/>
    <w:rsid w:val="00D52786"/>
    <w:rsid w:val="00D528BB"/>
    <w:rsid w:val="00D528DC"/>
    <w:rsid w:val="00D53CAF"/>
    <w:rsid w:val="00D53D42"/>
    <w:rsid w:val="00D53E73"/>
    <w:rsid w:val="00D54136"/>
    <w:rsid w:val="00D546E5"/>
    <w:rsid w:val="00D5471E"/>
    <w:rsid w:val="00D5473E"/>
    <w:rsid w:val="00D54964"/>
    <w:rsid w:val="00D54AD7"/>
    <w:rsid w:val="00D558B6"/>
    <w:rsid w:val="00D5617C"/>
    <w:rsid w:val="00D568E4"/>
    <w:rsid w:val="00D570CA"/>
    <w:rsid w:val="00D57B06"/>
    <w:rsid w:val="00D60018"/>
    <w:rsid w:val="00D6014B"/>
    <w:rsid w:val="00D603F1"/>
    <w:rsid w:val="00D607FF"/>
    <w:rsid w:val="00D618B5"/>
    <w:rsid w:val="00D618DC"/>
    <w:rsid w:val="00D61C09"/>
    <w:rsid w:val="00D62307"/>
    <w:rsid w:val="00D62961"/>
    <w:rsid w:val="00D62CE1"/>
    <w:rsid w:val="00D632A5"/>
    <w:rsid w:val="00D63805"/>
    <w:rsid w:val="00D63808"/>
    <w:rsid w:val="00D6383C"/>
    <w:rsid w:val="00D63896"/>
    <w:rsid w:val="00D6438F"/>
    <w:rsid w:val="00D6440A"/>
    <w:rsid w:val="00D6488A"/>
    <w:rsid w:val="00D64EF4"/>
    <w:rsid w:val="00D66CF0"/>
    <w:rsid w:val="00D66E68"/>
    <w:rsid w:val="00D67853"/>
    <w:rsid w:val="00D67E1F"/>
    <w:rsid w:val="00D67F29"/>
    <w:rsid w:val="00D707FB"/>
    <w:rsid w:val="00D70B5C"/>
    <w:rsid w:val="00D71A6D"/>
    <w:rsid w:val="00D73104"/>
    <w:rsid w:val="00D736F6"/>
    <w:rsid w:val="00D746C7"/>
    <w:rsid w:val="00D74F30"/>
    <w:rsid w:val="00D74FB4"/>
    <w:rsid w:val="00D7525F"/>
    <w:rsid w:val="00D75658"/>
    <w:rsid w:val="00D75D5B"/>
    <w:rsid w:val="00D7752B"/>
    <w:rsid w:val="00D80132"/>
    <w:rsid w:val="00D801F5"/>
    <w:rsid w:val="00D805F0"/>
    <w:rsid w:val="00D807B5"/>
    <w:rsid w:val="00D80F46"/>
    <w:rsid w:val="00D81524"/>
    <w:rsid w:val="00D81B73"/>
    <w:rsid w:val="00D820C0"/>
    <w:rsid w:val="00D824EF"/>
    <w:rsid w:val="00D82CE2"/>
    <w:rsid w:val="00D83076"/>
    <w:rsid w:val="00D835CB"/>
    <w:rsid w:val="00D84433"/>
    <w:rsid w:val="00D8455A"/>
    <w:rsid w:val="00D84855"/>
    <w:rsid w:val="00D84D3E"/>
    <w:rsid w:val="00D85301"/>
    <w:rsid w:val="00D85B97"/>
    <w:rsid w:val="00D85E82"/>
    <w:rsid w:val="00D8663C"/>
    <w:rsid w:val="00D86644"/>
    <w:rsid w:val="00D87847"/>
    <w:rsid w:val="00D9067B"/>
    <w:rsid w:val="00D90A21"/>
    <w:rsid w:val="00D90A6E"/>
    <w:rsid w:val="00D917F9"/>
    <w:rsid w:val="00D91BEA"/>
    <w:rsid w:val="00D922AB"/>
    <w:rsid w:val="00D92762"/>
    <w:rsid w:val="00D92891"/>
    <w:rsid w:val="00D92B92"/>
    <w:rsid w:val="00D9349F"/>
    <w:rsid w:val="00D935DD"/>
    <w:rsid w:val="00D93BD1"/>
    <w:rsid w:val="00D94990"/>
    <w:rsid w:val="00D952A1"/>
    <w:rsid w:val="00D9583C"/>
    <w:rsid w:val="00D95D37"/>
    <w:rsid w:val="00D9604B"/>
    <w:rsid w:val="00D961BF"/>
    <w:rsid w:val="00D9638D"/>
    <w:rsid w:val="00D96422"/>
    <w:rsid w:val="00D96619"/>
    <w:rsid w:val="00D96A56"/>
    <w:rsid w:val="00D9793D"/>
    <w:rsid w:val="00D97DD9"/>
    <w:rsid w:val="00DA03D4"/>
    <w:rsid w:val="00DA0926"/>
    <w:rsid w:val="00DA0CA2"/>
    <w:rsid w:val="00DA1035"/>
    <w:rsid w:val="00DA1344"/>
    <w:rsid w:val="00DA174F"/>
    <w:rsid w:val="00DA1AAA"/>
    <w:rsid w:val="00DA1C7C"/>
    <w:rsid w:val="00DA1F00"/>
    <w:rsid w:val="00DA2436"/>
    <w:rsid w:val="00DA2C0A"/>
    <w:rsid w:val="00DA2F87"/>
    <w:rsid w:val="00DA3996"/>
    <w:rsid w:val="00DA3B5D"/>
    <w:rsid w:val="00DA3CD1"/>
    <w:rsid w:val="00DA4ADB"/>
    <w:rsid w:val="00DA4C4A"/>
    <w:rsid w:val="00DA4DFA"/>
    <w:rsid w:val="00DA5425"/>
    <w:rsid w:val="00DA617E"/>
    <w:rsid w:val="00DA63B1"/>
    <w:rsid w:val="00DA744C"/>
    <w:rsid w:val="00DA7459"/>
    <w:rsid w:val="00DA750C"/>
    <w:rsid w:val="00DA785D"/>
    <w:rsid w:val="00DB00C8"/>
    <w:rsid w:val="00DB03E5"/>
    <w:rsid w:val="00DB06F7"/>
    <w:rsid w:val="00DB0713"/>
    <w:rsid w:val="00DB134A"/>
    <w:rsid w:val="00DB1616"/>
    <w:rsid w:val="00DB235B"/>
    <w:rsid w:val="00DB25D9"/>
    <w:rsid w:val="00DB2627"/>
    <w:rsid w:val="00DB3606"/>
    <w:rsid w:val="00DB3B7D"/>
    <w:rsid w:val="00DB4666"/>
    <w:rsid w:val="00DB4721"/>
    <w:rsid w:val="00DB49A5"/>
    <w:rsid w:val="00DB59B8"/>
    <w:rsid w:val="00DB59C6"/>
    <w:rsid w:val="00DB5A70"/>
    <w:rsid w:val="00DB5FBF"/>
    <w:rsid w:val="00DB660A"/>
    <w:rsid w:val="00DB7C9F"/>
    <w:rsid w:val="00DC0D6C"/>
    <w:rsid w:val="00DC0E55"/>
    <w:rsid w:val="00DC131B"/>
    <w:rsid w:val="00DC1F5D"/>
    <w:rsid w:val="00DC295C"/>
    <w:rsid w:val="00DC3577"/>
    <w:rsid w:val="00DC3A53"/>
    <w:rsid w:val="00DC3C2C"/>
    <w:rsid w:val="00DC3E54"/>
    <w:rsid w:val="00DC482A"/>
    <w:rsid w:val="00DC4D00"/>
    <w:rsid w:val="00DC6046"/>
    <w:rsid w:val="00DC61D9"/>
    <w:rsid w:val="00DC65B0"/>
    <w:rsid w:val="00DC76B6"/>
    <w:rsid w:val="00DC79EE"/>
    <w:rsid w:val="00DD0515"/>
    <w:rsid w:val="00DD069D"/>
    <w:rsid w:val="00DD1279"/>
    <w:rsid w:val="00DD1669"/>
    <w:rsid w:val="00DD275C"/>
    <w:rsid w:val="00DD2BFE"/>
    <w:rsid w:val="00DD2CB5"/>
    <w:rsid w:val="00DD2EE5"/>
    <w:rsid w:val="00DD3058"/>
    <w:rsid w:val="00DD3702"/>
    <w:rsid w:val="00DD38FA"/>
    <w:rsid w:val="00DD3CB7"/>
    <w:rsid w:val="00DD4FDE"/>
    <w:rsid w:val="00DD5054"/>
    <w:rsid w:val="00DD5735"/>
    <w:rsid w:val="00DD725D"/>
    <w:rsid w:val="00DD79FB"/>
    <w:rsid w:val="00DD7C54"/>
    <w:rsid w:val="00DD7D4A"/>
    <w:rsid w:val="00DD7E1C"/>
    <w:rsid w:val="00DE02E4"/>
    <w:rsid w:val="00DE076C"/>
    <w:rsid w:val="00DE0918"/>
    <w:rsid w:val="00DE092A"/>
    <w:rsid w:val="00DE13A8"/>
    <w:rsid w:val="00DE1477"/>
    <w:rsid w:val="00DE358D"/>
    <w:rsid w:val="00DE3ED9"/>
    <w:rsid w:val="00DE4E4A"/>
    <w:rsid w:val="00DE50DD"/>
    <w:rsid w:val="00DE57A6"/>
    <w:rsid w:val="00DE5CF2"/>
    <w:rsid w:val="00DE6237"/>
    <w:rsid w:val="00DE659B"/>
    <w:rsid w:val="00DE6901"/>
    <w:rsid w:val="00DE69AA"/>
    <w:rsid w:val="00DE69DB"/>
    <w:rsid w:val="00DE6CB1"/>
    <w:rsid w:val="00DE766E"/>
    <w:rsid w:val="00DF07F4"/>
    <w:rsid w:val="00DF0947"/>
    <w:rsid w:val="00DF0AF1"/>
    <w:rsid w:val="00DF11EF"/>
    <w:rsid w:val="00DF147D"/>
    <w:rsid w:val="00DF19FE"/>
    <w:rsid w:val="00DF22D1"/>
    <w:rsid w:val="00DF2384"/>
    <w:rsid w:val="00DF3026"/>
    <w:rsid w:val="00DF387C"/>
    <w:rsid w:val="00DF401D"/>
    <w:rsid w:val="00DF4117"/>
    <w:rsid w:val="00DF424E"/>
    <w:rsid w:val="00DF46E0"/>
    <w:rsid w:val="00DF4E76"/>
    <w:rsid w:val="00DF4F08"/>
    <w:rsid w:val="00DF50F5"/>
    <w:rsid w:val="00DF5389"/>
    <w:rsid w:val="00DF55E5"/>
    <w:rsid w:val="00DF590F"/>
    <w:rsid w:val="00DF5FDB"/>
    <w:rsid w:val="00DF66AD"/>
    <w:rsid w:val="00DF67A3"/>
    <w:rsid w:val="00DF69B1"/>
    <w:rsid w:val="00DF7216"/>
    <w:rsid w:val="00DF7611"/>
    <w:rsid w:val="00DF7D45"/>
    <w:rsid w:val="00DF7D88"/>
    <w:rsid w:val="00E000C8"/>
    <w:rsid w:val="00E001DE"/>
    <w:rsid w:val="00E0148C"/>
    <w:rsid w:val="00E016D8"/>
    <w:rsid w:val="00E017AE"/>
    <w:rsid w:val="00E01B46"/>
    <w:rsid w:val="00E01EFC"/>
    <w:rsid w:val="00E01F01"/>
    <w:rsid w:val="00E01FFD"/>
    <w:rsid w:val="00E0243A"/>
    <w:rsid w:val="00E025EE"/>
    <w:rsid w:val="00E02D9F"/>
    <w:rsid w:val="00E0336F"/>
    <w:rsid w:val="00E035B8"/>
    <w:rsid w:val="00E04B14"/>
    <w:rsid w:val="00E04C7A"/>
    <w:rsid w:val="00E05324"/>
    <w:rsid w:val="00E060F9"/>
    <w:rsid w:val="00E06B24"/>
    <w:rsid w:val="00E0752B"/>
    <w:rsid w:val="00E079B0"/>
    <w:rsid w:val="00E1052B"/>
    <w:rsid w:val="00E105DF"/>
    <w:rsid w:val="00E1082A"/>
    <w:rsid w:val="00E10DF7"/>
    <w:rsid w:val="00E120AD"/>
    <w:rsid w:val="00E128AA"/>
    <w:rsid w:val="00E12CA1"/>
    <w:rsid w:val="00E13AEB"/>
    <w:rsid w:val="00E13BCD"/>
    <w:rsid w:val="00E13C2F"/>
    <w:rsid w:val="00E13D13"/>
    <w:rsid w:val="00E143A4"/>
    <w:rsid w:val="00E144C8"/>
    <w:rsid w:val="00E1461E"/>
    <w:rsid w:val="00E14F93"/>
    <w:rsid w:val="00E15302"/>
    <w:rsid w:val="00E15371"/>
    <w:rsid w:val="00E15429"/>
    <w:rsid w:val="00E158B5"/>
    <w:rsid w:val="00E15906"/>
    <w:rsid w:val="00E15953"/>
    <w:rsid w:val="00E15A67"/>
    <w:rsid w:val="00E15ECB"/>
    <w:rsid w:val="00E16820"/>
    <w:rsid w:val="00E17808"/>
    <w:rsid w:val="00E17CD9"/>
    <w:rsid w:val="00E17E4A"/>
    <w:rsid w:val="00E201E5"/>
    <w:rsid w:val="00E20658"/>
    <w:rsid w:val="00E20E92"/>
    <w:rsid w:val="00E20E93"/>
    <w:rsid w:val="00E20F3C"/>
    <w:rsid w:val="00E2154F"/>
    <w:rsid w:val="00E2160F"/>
    <w:rsid w:val="00E21903"/>
    <w:rsid w:val="00E22515"/>
    <w:rsid w:val="00E233C0"/>
    <w:rsid w:val="00E23F2A"/>
    <w:rsid w:val="00E24F37"/>
    <w:rsid w:val="00E24FC2"/>
    <w:rsid w:val="00E250EA"/>
    <w:rsid w:val="00E261D8"/>
    <w:rsid w:val="00E26326"/>
    <w:rsid w:val="00E26DCA"/>
    <w:rsid w:val="00E26FE3"/>
    <w:rsid w:val="00E27988"/>
    <w:rsid w:val="00E305D1"/>
    <w:rsid w:val="00E30E2A"/>
    <w:rsid w:val="00E30F2B"/>
    <w:rsid w:val="00E30F7D"/>
    <w:rsid w:val="00E310A9"/>
    <w:rsid w:val="00E31116"/>
    <w:rsid w:val="00E3122D"/>
    <w:rsid w:val="00E31285"/>
    <w:rsid w:val="00E31670"/>
    <w:rsid w:val="00E31979"/>
    <w:rsid w:val="00E32430"/>
    <w:rsid w:val="00E327CF"/>
    <w:rsid w:val="00E32A12"/>
    <w:rsid w:val="00E33006"/>
    <w:rsid w:val="00E3309C"/>
    <w:rsid w:val="00E33660"/>
    <w:rsid w:val="00E3391F"/>
    <w:rsid w:val="00E33A25"/>
    <w:rsid w:val="00E34018"/>
    <w:rsid w:val="00E34221"/>
    <w:rsid w:val="00E348F1"/>
    <w:rsid w:val="00E34DCA"/>
    <w:rsid w:val="00E34E2A"/>
    <w:rsid w:val="00E3512D"/>
    <w:rsid w:val="00E3519B"/>
    <w:rsid w:val="00E357FA"/>
    <w:rsid w:val="00E35808"/>
    <w:rsid w:val="00E35A06"/>
    <w:rsid w:val="00E35F01"/>
    <w:rsid w:val="00E3622D"/>
    <w:rsid w:val="00E36CA4"/>
    <w:rsid w:val="00E36FD4"/>
    <w:rsid w:val="00E3739F"/>
    <w:rsid w:val="00E400F2"/>
    <w:rsid w:val="00E4023C"/>
    <w:rsid w:val="00E40863"/>
    <w:rsid w:val="00E40AEF"/>
    <w:rsid w:val="00E4120D"/>
    <w:rsid w:val="00E41873"/>
    <w:rsid w:val="00E42677"/>
    <w:rsid w:val="00E42E6B"/>
    <w:rsid w:val="00E4316A"/>
    <w:rsid w:val="00E4408F"/>
    <w:rsid w:val="00E44A01"/>
    <w:rsid w:val="00E451F9"/>
    <w:rsid w:val="00E459D5"/>
    <w:rsid w:val="00E45A2D"/>
    <w:rsid w:val="00E46A71"/>
    <w:rsid w:val="00E46B33"/>
    <w:rsid w:val="00E46C91"/>
    <w:rsid w:val="00E47CB1"/>
    <w:rsid w:val="00E47D4A"/>
    <w:rsid w:val="00E50BDB"/>
    <w:rsid w:val="00E50BEA"/>
    <w:rsid w:val="00E50D33"/>
    <w:rsid w:val="00E51287"/>
    <w:rsid w:val="00E51B9A"/>
    <w:rsid w:val="00E52679"/>
    <w:rsid w:val="00E52E62"/>
    <w:rsid w:val="00E52F00"/>
    <w:rsid w:val="00E53076"/>
    <w:rsid w:val="00E53236"/>
    <w:rsid w:val="00E53B23"/>
    <w:rsid w:val="00E54F4A"/>
    <w:rsid w:val="00E551C2"/>
    <w:rsid w:val="00E55337"/>
    <w:rsid w:val="00E55489"/>
    <w:rsid w:val="00E555BE"/>
    <w:rsid w:val="00E556C4"/>
    <w:rsid w:val="00E565C1"/>
    <w:rsid w:val="00E56A7D"/>
    <w:rsid w:val="00E56CB6"/>
    <w:rsid w:val="00E57068"/>
    <w:rsid w:val="00E572E5"/>
    <w:rsid w:val="00E5773F"/>
    <w:rsid w:val="00E57BB7"/>
    <w:rsid w:val="00E60031"/>
    <w:rsid w:val="00E6075F"/>
    <w:rsid w:val="00E60876"/>
    <w:rsid w:val="00E60FE5"/>
    <w:rsid w:val="00E615C0"/>
    <w:rsid w:val="00E6170E"/>
    <w:rsid w:val="00E6191E"/>
    <w:rsid w:val="00E61B3E"/>
    <w:rsid w:val="00E61D9A"/>
    <w:rsid w:val="00E61DEF"/>
    <w:rsid w:val="00E6220F"/>
    <w:rsid w:val="00E62471"/>
    <w:rsid w:val="00E631CD"/>
    <w:rsid w:val="00E65928"/>
    <w:rsid w:val="00E65BDE"/>
    <w:rsid w:val="00E65F8A"/>
    <w:rsid w:val="00E66109"/>
    <w:rsid w:val="00E6639D"/>
    <w:rsid w:val="00E67C0C"/>
    <w:rsid w:val="00E70585"/>
    <w:rsid w:val="00E70BAF"/>
    <w:rsid w:val="00E72500"/>
    <w:rsid w:val="00E72893"/>
    <w:rsid w:val="00E73408"/>
    <w:rsid w:val="00E73534"/>
    <w:rsid w:val="00E7359E"/>
    <w:rsid w:val="00E73974"/>
    <w:rsid w:val="00E7468E"/>
    <w:rsid w:val="00E74D81"/>
    <w:rsid w:val="00E75855"/>
    <w:rsid w:val="00E75877"/>
    <w:rsid w:val="00E75933"/>
    <w:rsid w:val="00E75DD1"/>
    <w:rsid w:val="00E75F0D"/>
    <w:rsid w:val="00E76C1C"/>
    <w:rsid w:val="00E80608"/>
    <w:rsid w:val="00E806E7"/>
    <w:rsid w:val="00E80847"/>
    <w:rsid w:val="00E80FB0"/>
    <w:rsid w:val="00E83543"/>
    <w:rsid w:val="00E8356A"/>
    <w:rsid w:val="00E83FD3"/>
    <w:rsid w:val="00E84AFA"/>
    <w:rsid w:val="00E856A1"/>
    <w:rsid w:val="00E85908"/>
    <w:rsid w:val="00E86597"/>
    <w:rsid w:val="00E86EAD"/>
    <w:rsid w:val="00E875DD"/>
    <w:rsid w:val="00E87A9B"/>
    <w:rsid w:val="00E87E89"/>
    <w:rsid w:val="00E87FD8"/>
    <w:rsid w:val="00E90188"/>
    <w:rsid w:val="00E902D5"/>
    <w:rsid w:val="00E90967"/>
    <w:rsid w:val="00E90B0B"/>
    <w:rsid w:val="00E90CC4"/>
    <w:rsid w:val="00E9176D"/>
    <w:rsid w:val="00E91D02"/>
    <w:rsid w:val="00E9204F"/>
    <w:rsid w:val="00E920F3"/>
    <w:rsid w:val="00E934AE"/>
    <w:rsid w:val="00E9356A"/>
    <w:rsid w:val="00E937A0"/>
    <w:rsid w:val="00E9395A"/>
    <w:rsid w:val="00E93F12"/>
    <w:rsid w:val="00E93F73"/>
    <w:rsid w:val="00E93FB2"/>
    <w:rsid w:val="00E94089"/>
    <w:rsid w:val="00E94F47"/>
    <w:rsid w:val="00E967FF"/>
    <w:rsid w:val="00E96BBA"/>
    <w:rsid w:val="00E96CC6"/>
    <w:rsid w:val="00E96EBE"/>
    <w:rsid w:val="00E9704A"/>
    <w:rsid w:val="00E9706B"/>
    <w:rsid w:val="00E977BF"/>
    <w:rsid w:val="00EA0023"/>
    <w:rsid w:val="00EA0255"/>
    <w:rsid w:val="00EA0B12"/>
    <w:rsid w:val="00EA10A0"/>
    <w:rsid w:val="00EA12B3"/>
    <w:rsid w:val="00EA1CA5"/>
    <w:rsid w:val="00EA1FB5"/>
    <w:rsid w:val="00EA2FA3"/>
    <w:rsid w:val="00EA304B"/>
    <w:rsid w:val="00EA306B"/>
    <w:rsid w:val="00EA35CA"/>
    <w:rsid w:val="00EA3754"/>
    <w:rsid w:val="00EA4030"/>
    <w:rsid w:val="00EA46C7"/>
    <w:rsid w:val="00EA4F00"/>
    <w:rsid w:val="00EA591C"/>
    <w:rsid w:val="00EA6066"/>
    <w:rsid w:val="00EA6718"/>
    <w:rsid w:val="00EA6753"/>
    <w:rsid w:val="00EA6EE0"/>
    <w:rsid w:val="00EA7B78"/>
    <w:rsid w:val="00EA7E41"/>
    <w:rsid w:val="00EA7F1C"/>
    <w:rsid w:val="00EB0D75"/>
    <w:rsid w:val="00EB0EA5"/>
    <w:rsid w:val="00EB14B7"/>
    <w:rsid w:val="00EB180C"/>
    <w:rsid w:val="00EB2439"/>
    <w:rsid w:val="00EB2495"/>
    <w:rsid w:val="00EB3A6F"/>
    <w:rsid w:val="00EB41C6"/>
    <w:rsid w:val="00EB42B7"/>
    <w:rsid w:val="00EB44DC"/>
    <w:rsid w:val="00EB534B"/>
    <w:rsid w:val="00EB5445"/>
    <w:rsid w:val="00EB6155"/>
    <w:rsid w:val="00EB6703"/>
    <w:rsid w:val="00EB68A5"/>
    <w:rsid w:val="00EB6BD6"/>
    <w:rsid w:val="00EB6C27"/>
    <w:rsid w:val="00EB7F38"/>
    <w:rsid w:val="00EC011E"/>
    <w:rsid w:val="00EC0CF6"/>
    <w:rsid w:val="00EC145F"/>
    <w:rsid w:val="00EC20AA"/>
    <w:rsid w:val="00EC2542"/>
    <w:rsid w:val="00EC2890"/>
    <w:rsid w:val="00EC2C9B"/>
    <w:rsid w:val="00EC3514"/>
    <w:rsid w:val="00EC37E2"/>
    <w:rsid w:val="00EC3848"/>
    <w:rsid w:val="00EC44C4"/>
    <w:rsid w:val="00EC45AA"/>
    <w:rsid w:val="00EC4D6E"/>
    <w:rsid w:val="00EC539D"/>
    <w:rsid w:val="00EC56A3"/>
    <w:rsid w:val="00EC5B51"/>
    <w:rsid w:val="00EC5D60"/>
    <w:rsid w:val="00EC6984"/>
    <w:rsid w:val="00EC6A98"/>
    <w:rsid w:val="00EC6C78"/>
    <w:rsid w:val="00EC6CF8"/>
    <w:rsid w:val="00EC731D"/>
    <w:rsid w:val="00EC7E63"/>
    <w:rsid w:val="00ED01AD"/>
    <w:rsid w:val="00ED11B3"/>
    <w:rsid w:val="00ED1376"/>
    <w:rsid w:val="00ED17BC"/>
    <w:rsid w:val="00ED2A23"/>
    <w:rsid w:val="00ED2B1A"/>
    <w:rsid w:val="00ED2C68"/>
    <w:rsid w:val="00ED3299"/>
    <w:rsid w:val="00ED461F"/>
    <w:rsid w:val="00ED54A5"/>
    <w:rsid w:val="00ED5DC6"/>
    <w:rsid w:val="00ED61FE"/>
    <w:rsid w:val="00ED6A66"/>
    <w:rsid w:val="00ED6B5B"/>
    <w:rsid w:val="00ED6BF0"/>
    <w:rsid w:val="00ED7425"/>
    <w:rsid w:val="00ED75FC"/>
    <w:rsid w:val="00ED798D"/>
    <w:rsid w:val="00EE01B3"/>
    <w:rsid w:val="00EE0367"/>
    <w:rsid w:val="00EE07A9"/>
    <w:rsid w:val="00EE11A1"/>
    <w:rsid w:val="00EE18FC"/>
    <w:rsid w:val="00EE1A2C"/>
    <w:rsid w:val="00EE27EC"/>
    <w:rsid w:val="00EE3111"/>
    <w:rsid w:val="00EE3173"/>
    <w:rsid w:val="00EE3210"/>
    <w:rsid w:val="00EE3292"/>
    <w:rsid w:val="00EE32E0"/>
    <w:rsid w:val="00EE32EC"/>
    <w:rsid w:val="00EE3796"/>
    <w:rsid w:val="00EE4001"/>
    <w:rsid w:val="00EE42DC"/>
    <w:rsid w:val="00EE48CD"/>
    <w:rsid w:val="00EE4BE1"/>
    <w:rsid w:val="00EE4BE8"/>
    <w:rsid w:val="00EE51FA"/>
    <w:rsid w:val="00EE522D"/>
    <w:rsid w:val="00EE554C"/>
    <w:rsid w:val="00EE61F2"/>
    <w:rsid w:val="00EE6B43"/>
    <w:rsid w:val="00EE6F19"/>
    <w:rsid w:val="00EE7238"/>
    <w:rsid w:val="00EE769C"/>
    <w:rsid w:val="00EF0461"/>
    <w:rsid w:val="00EF1128"/>
    <w:rsid w:val="00EF1531"/>
    <w:rsid w:val="00EF19E6"/>
    <w:rsid w:val="00EF24B8"/>
    <w:rsid w:val="00EF2590"/>
    <w:rsid w:val="00EF2DAD"/>
    <w:rsid w:val="00EF2E0E"/>
    <w:rsid w:val="00EF34BF"/>
    <w:rsid w:val="00EF35A8"/>
    <w:rsid w:val="00EF5624"/>
    <w:rsid w:val="00EF5645"/>
    <w:rsid w:val="00EF5E2E"/>
    <w:rsid w:val="00EF6867"/>
    <w:rsid w:val="00EF6CE6"/>
    <w:rsid w:val="00EF6ED9"/>
    <w:rsid w:val="00EF6F5D"/>
    <w:rsid w:val="00EF6FC2"/>
    <w:rsid w:val="00EF7352"/>
    <w:rsid w:val="00F00110"/>
    <w:rsid w:val="00F00831"/>
    <w:rsid w:val="00F00DC4"/>
    <w:rsid w:val="00F0135B"/>
    <w:rsid w:val="00F028D8"/>
    <w:rsid w:val="00F030A0"/>
    <w:rsid w:val="00F03AF0"/>
    <w:rsid w:val="00F04279"/>
    <w:rsid w:val="00F0489C"/>
    <w:rsid w:val="00F04D49"/>
    <w:rsid w:val="00F05094"/>
    <w:rsid w:val="00F06163"/>
    <w:rsid w:val="00F06539"/>
    <w:rsid w:val="00F07534"/>
    <w:rsid w:val="00F07604"/>
    <w:rsid w:val="00F077A1"/>
    <w:rsid w:val="00F1008E"/>
    <w:rsid w:val="00F101D9"/>
    <w:rsid w:val="00F108F9"/>
    <w:rsid w:val="00F10DF0"/>
    <w:rsid w:val="00F10F2D"/>
    <w:rsid w:val="00F12593"/>
    <w:rsid w:val="00F12CA8"/>
    <w:rsid w:val="00F14366"/>
    <w:rsid w:val="00F14585"/>
    <w:rsid w:val="00F14AD5"/>
    <w:rsid w:val="00F14C56"/>
    <w:rsid w:val="00F15281"/>
    <w:rsid w:val="00F15405"/>
    <w:rsid w:val="00F1663D"/>
    <w:rsid w:val="00F16D36"/>
    <w:rsid w:val="00F17199"/>
    <w:rsid w:val="00F17422"/>
    <w:rsid w:val="00F1795B"/>
    <w:rsid w:val="00F17BCC"/>
    <w:rsid w:val="00F17EF0"/>
    <w:rsid w:val="00F21063"/>
    <w:rsid w:val="00F21F92"/>
    <w:rsid w:val="00F2337D"/>
    <w:rsid w:val="00F244B2"/>
    <w:rsid w:val="00F24873"/>
    <w:rsid w:val="00F24CAF"/>
    <w:rsid w:val="00F24CD0"/>
    <w:rsid w:val="00F24F42"/>
    <w:rsid w:val="00F25DAB"/>
    <w:rsid w:val="00F268DD"/>
    <w:rsid w:val="00F2712D"/>
    <w:rsid w:val="00F271B2"/>
    <w:rsid w:val="00F27D38"/>
    <w:rsid w:val="00F300D2"/>
    <w:rsid w:val="00F302EE"/>
    <w:rsid w:val="00F30616"/>
    <w:rsid w:val="00F309C5"/>
    <w:rsid w:val="00F310C4"/>
    <w:rsid w:val="00F313C3"/>
    <w:rsid w:val="00F315CA"/>
    <w:rsid w:val="00F31BA0"/>
    <w:rsid w:val="00F31D21"/>
    <w:rsid w:val="00F31F2B"/>
    <w:rsid w:val="00F323C6"/>
    <w:rsid w:val="00F327C6"/>
    <w:rsid w:val="00F32DCA"/>
    <w:rsid w:val="00F346E8"/>
    <w:rsid w:val="00F34753"/>
    <w:rsid w:val="00F34B7E"/>
    <w:rsid w:val="00F34E4A"/>
    <w:rsid w:val="00F34EC3"/>
    <w:rsid w:val="00F354AD"/>
    <w:rsid w:val="00F35F8F"/>
    <w:rsid w:val="00F35FC5"/>
    <w:rsid w:val="00F365D5"/>
    <w:rsid w:val="00F366D5"/>
    <w:rsid w:val="00F36C65"/>
    <w:rsid w:val="00F36FF2"/>
    <w:rsid w:val="00F37342"/>
    <w:rsid w:val="00F37577"/>
    <w:rsid w:val="00F37D8B"/>
    <w:rsid w:val="00F40AC1"/>
    <w:rsid w:val="00F40CDF"/>
    <w:rsid w:val="00F40F3C"/>
    <w:rsid w:val="00F41A02"/>
    <w:rsid w:val="00F42878"/>
    <w:rsid w:val="00F42A1D"/>
    <w:rsid w:val="00F42A9A"/>
    <w:rsid w:val="00F43282"/>
    <w:rsid w:val="00F436F1"/>
    <w:rsid w:val="00F43831"/>
    <w:rsid w:val="00F43CE6"/>
    <w:rsid w:val="00F4468F"/>
    <w:rsid w:val="00F4482F"/>
    <w:rsid w:val="00F45841"/>
    <w:rsid w:val="00F46104"/>
    <w:rsid w:val="00F46942"/>
    <w:rsid w:val="00F4695A"/>
    <w:rsid w:val="00F46E67"/>
    <w:rsid w:val="00F470C8"/>
    <w:rsid w:val="00F4723F"/>
    <w:rsid w:val="00F47809"/>
    <w:rsid w:val="00F47A18"/>
    <w:rsid w:val="00F47A8D"/>
    <w:rsid w:val="00F47B3E"/>
    <w:rsid w:val="00F47C58"/>
    <w:rsid w:val="00F5023A"/>
    <w:rsid w:val="00F50DDF"/>
    <w:rsid w:val="00F51189"/>
    <w:rsid w:val="00F51BDA"/>
    <w:rsid w:val="00F5306A"/>
    <w:rsid w:val="00F53A46"/>
    <w:rsid w:val="00F5406C"/>
    <w:rsid w:val="00F549E2"/>
    <w:rsid w:val="00F54D6E"/>
    <w:rsid w:val="00F550CD"/>
    <w:rsid w:val="00F5535C"/>
    <w:rsid w:val="00F55569"/>
    <w:rsid w:val="00F55C52"/>
    <w:rsid w:val="00F55CA1"/>
    <w:rsid w:val="00F56CA7"/>
    <w:rsid w:val="00F575A2"/>
    <w:rsid w:val="00F57B00"/>
    <w:rsid w:val="00F602E3"/>
    <w:rsid w:val="00F6030C"/>
    <w:rsid w:val="00F607C3"/>
    <w:rsid w:val="00F60E72"/>
    <w:rsid w:val="00F61D66"/>
    <w:rsid w:val="00F61D69"/>
    <w:rsid w:val="00F61D97"/>
    <w:rsid w:val="00F61DD4"/>
    <w:rsid w:val="00F6203C"/>
    <w:rsid w:val="00F63FF4"/>
    <w:rsid w:val="00F63FFF"/>
    <w:rsid w:val="00F64404"/>
    <w:rsid w:val="00F64CB9"/>
    <w:rsid w:val="00F64D02"/>
    <w:rsid w:val="00F664FF"/>
    <w:rsid w:val="00F66915"/>
    <w:rsid w:val="00F670F4"/>
    <w:rsid w:val="00F675C6"/>
    <w:rsid w:val="00F67F85"/>
    <w:rsid w:val="00F7071E"/>
    <w:rsid w:val="00F7098D"/>
    <w:rsid w:val="00F71081"/>
    <w:rsid w:val="00F714CA"/>
    <w:rsid w:val="00F719C9"/>
    <w:rsid w:val="00F71B7D"/>
    <w:rsid w:val="00F71DF7"/>
    <w:rsid w:val="00F728E2"/>
    <w:rsid w:val="00F72AE4"/>
    <w:rsid w:val="00F72C8B"/>
    <w:rsid w:val="00F72D6D"/>
    <w:rsid w:val="00F7338D"/>
    <w:rsid w:val="00F734AF"/>
    <w:rsid w:val="00F73B82"/>
    <w:rsid w:val="00F73C98"/>
    <w:rsid w:val="00F74557"/>
    <w:rsid w:val="00F74D4D"/>
    <w:rsid w:val="00F74E89"/>
    <w:rsid w:val="00F74EC4"/>
    <w:rsid w:val="00F74F16"/>
    <w:rsid w:val="00F75A99"/>
    <w:rsid w:val="00F75D76"/>
    <w:rsid w:val="00F7692B"/>
    <w:rsid w:val="00F77848"/>
    <w:rsid w:val="00F77B5B"/>
    <w:rsid w:val="00F77D38"/>
    <w:rsid w:val="00F77EB9"/>
    <w:rsid w:val="00F801A5"/>
    <w:rsid w:val="00F8023B"/>
    <w:rsid w:val="00F80328"/>
    <w:rsid w:val="00F80357"/>
    <w:rsid w:val="00F80548"/>
    <w:rsid w:val="00F80DD2"/>
    <w:rsid w:val="00F8101F"/>
    <w:rsid w:val="00F81BD4"/>
    <w:rsid w:val="00F81F2E"/>
    <w:rsid w:val="00F82539"/>
    <w:rsid w:val="00F82A86"/>
    <w:rsid w:val="00F8329A"/>
    <w:rsid w:val="00F832E4"/>
    <w:rsid w:val="00F83C66"/>
    <w:rsid w:val="00F83CDE"/>
    <w:rsid w:val="00F842F6"/>
    <w:rsid w:val="00F8479E"/>
    <w:rsid w:val="00F85171"/>
    <w:rsid w:val="00F8676C"/>
    <w:rsid w:val="00F86A4B"/>
    <w:rsid w:val="00F875B5"/>
    <w:rsid w:val="00F87721"/>
    <w:rsid w:val="00F900E8"/>
    <w:rsid w:val="00F90745"/>
    <w:rsid w:val="00F90A44"/>
    <w:rsid w:val="00F90AB2"/>
    <w:rsid w:val="00F90D2E"/>
    <w:rsid w:val="00F913FC"/>
    <w:rsid w:val="00F91625"/>
    <w:rsid w:val="00F91AFA"/>
    <w:rsid w:val="00F92821"/>
    <w:rsid w:val="00F92ACA"/>
    <w:rsid w:val="00F93293"/>
    <w:rsid w:val="00F934C4"/>
    <w:rsid w:val="00F937BC"/>
    <w:rsid w:val="00F93960"/>
    <w:rsid w:val="00F93F31"/>
    <w:rsid w:val="00F93FDB"/>
    <w:rsid w:val="00F94ECA"/>
    <w:rsid w:val="00F958F1"/>
    <w:rsid w:val="00F959A2"/>
    <w:rsid w:val="00F95EDF"/>
    <w:rsid w:val="00F96182"/>
    <w:rsid w:val="00F96191"/>
    <w:rsid w:val="00F961BA"/>
    <w:rsid w:val="00F9657B"/>
    <w:rsid w:val="00F96998"/>
    <w:rsid w:val="00F96E4F"/>
    <w:rsid w:val="00F96F5A"/>
    <w:rsid w:val="00F97120"/>
    <w:rsid w:val="00FA02FB"/>
    <w:rsid w:val="00FA0314"/>
    <w:rsid w:val="00FA1088"/>
    <w:rsid w:val="00FA10DC"/>
    <w:rsid w:val="00FA13B3"/>
    <w:rsid w:val="00FA177D"/>
    <w:rsid w:val="00FA1C9F"/>
    <w:rsid w:val="00FA1D11"/>
    <w:rsid w:val="00FA1F8A"/>
    <w:rsid w:val="00FA23F0"/>
    <w:rsid w:val="00FA24FB"/>
    <w:rsid w:val="00FA28F6"/>
    <w:rsid w:val="00FA2F41"/>
    <w:rsid w:val="00FA34A4"/>
    <w:rsid w:val="00FA3579"/>
    <w:rsid w:val="00FA3AC6"/>
    <w:rsid w:val="00FA3E0D"/>
    <w:rsid w:val="00FA4B1E"/>
    <w:rsid w:val="00FA4EC2"/>
    <w:rsid w:val="00FA4F86"/>
    <w:rsid w:val="00FA5BC5"/>
    <w:rsid w:val="00FA67D2"/>
    <w:rsid w:val="00FA6A4A"/>
    <w:rsid w:val="00FA6C54"/>
    <w:rsid w:val="00FA760F"/>
    <w:rsid w:val="00FA7EF0"/>
    <w:rsid w:val="00FB06AF"/>
    <w:rsid w:val="00FB07A6"/>
    <w:rsid w:val="00FB095B"/>
    <w:rsid w:val="00FB0A13"/>
    <w:rsid w:val="00FB0F5A"/>
    <w:rsid w:val="00FB103E"/>
    <w:rsid w:val="00FB1394"/>
    <w:rsid w:val="00FB23F4"/>
    <w:rsid w:val="00FB2AD5"/>
    <w:rsid w:val="00FB2E98"/>
    <w:rsid w:val="00FB3128"/>
    <w:rsid w:val="00FB36FB"/>
    <w:rsid w:val="00FB3A70"/>
    <w:rsid w:val="00FB468C"/>
    <w:rsid w:val="00FB4865"/>
    <w:rsid w:val="00FB6F9A"/>
    <w:rsid w:val="00FC0332"/>
    <w:rsid w:val="00FC0352"/>
    <w:rsid w:val="00FC038E"/>
    <w:rsid w:val="00FC0CB7"/>
    <w:rsid w:val="00FC12C4"/>
    <w:rsid w:val="00FC14B4"/>
    <w:rsid w:val="00FC16E7"/>
    <w:rsid w:val="00FC2367"/>
    <w:rsid w:val="00FC30CF"/>
    <w:rsid w:val="00FC3466"/>
    <w:rsid w:val="00FC3FEC"/>
    <w:rsid w:val="00FC3FFD"/>
    <w:rsid w:val="00FC4917"/>
    <w:rsid w:val="00FC491D"/>
    <w:rsid w:val="00FC4FB5"/>
    <w:rsid w:val="00FC5190"/>
    <w:rsid w:val="00FC5796"/>
    <w:rsid w:val="00FC5B19"/>
    <w:rsid w:val="00FC5CB7"/>
    <w:rsid w:val="00FC5D76"/>
    <w:rsid w:val="00FC5DDC"/>
    <w:rsid w:val="00FC5ED7"/>
    <w:rsid w:val="00FC60B7"/>
    <w:rsid w:val="00FC63FA"/>
    <w:rsid w:val="00FC6719"/>
    <w:rsid w:val="00FC6C16"/>
    <w:rsid w:val="00FC6E0C"/>
    <w:rsid w:val="00FC757B"/>
    <w:rsid w:val="00FC7604"/>
    <w:rsid w:val="00FD0627"/>
    <w:rsid w:val="00FD0905"/>
    <w:rsid w:val="00FD0DDB"/>
    <w:rsid w:val="00FD1F3D"/>
    <w:rsid w:val="00FD2C00"/>
    <w:rsid w:val="00FD2CBE"/>
    <w:rsid w:val="00FD2F21"/>
    <w:rsid w:val="00FD39AA"/>
    <w:rsid w:val="00FD468F"/>
    <w:rsid w:val="00FD470E"/>
    <w:rsid w:val="00FD4755"/>
    <w:rsid w:val="00FD4ADC"/>
    <w:rsid w:val="00FD53AB"/>
    <w:rsid w:val="00FD59FC"/>
    <w:rsid w:val="00FD5BF0"/>
    <w:rsid w:val="00FD60E4"/>
    <w:rsid w:val="00FD632C"/>
    <w:rsid w:val="00FD6738"/>
    <w:rsid w:val="00FD6ACC"/>
    <w:rsid w:val="00FE0269"/>
    <w:rsid w:val="00FE1990"/>
    <w:rsid w:val="00FE1FD4"/>
    <w:rsid w:val="00FE2075"/>
    <w:rsid w:val="00FE2822"/>
    <w:rsid w:val="00FE2DDB"/>
    <w:rsid w:val="00FE31C6"/>
    <w:rsid w:val="00FE34EE"/>
    <w:rsid w:val="00FE3711"/>
    <w:rsid w:val="00FE3750"/>
    <w:rsid w:val="00FE3FFF"/>
    <w:rsid w:val="00FE4124"/>
    <w:rsid w:val="00FE41D8"/>
    <w:rsid w:val="00FE41E1"/>
    <w:rsid w:val="00FE54B4"/>
    <w:rsid w:val="00FE5B72"/>
    <w:rsid w:val="00FE5C9F"/>
    <w:rsid w:val="00FE6205"/>
    <w:rsid w:val="00FE6645"/>
    <w:rsid w:val="00FE6CF6"/>
    <w:rsid w:val="00FE739F"/>
    <w:rsid w:val="00FE746D"/>
    <w:rsid w:val="00FE7493"/>
    <w:rsid w:val="00FE750F"/>
    <w:rsid w:val="00FE7C1C"/>
    <w:rsid w:val="00FF0AEA"/>
    <w:rsid w:val="00FF0DAC"/>
    <w:rsid w:val="00FF0F48"/>
    <w:rsid w:val="00FF1332"/>
    <w:rsid w:val="00FF1F65"/>
    <w:rsid w:val="00FF22E1"/>
    <w:rsid w:val="00FF2B09"/>
    <w:rsid w:val="00FF300E"/>
    <w:rsid w:val="00FF3096"/>
    <w:rsid w:val="00FF31A1"/>
    <w:rsid w:val="00FF3C1B"/>
    <w:rsid w:val="00FF3FC4"/>
    <w:rsid w:val="00FF486C"/>
    <w:rsid w:val="00FF4B87"/>
    <w:rsid w:val="00FF4F0C"/>
    <w:rsid w:val="00FF534A"/>
    <w:rsid w:val="00FF5365"/>
    <w:rsid w:val="00FF5914"/>
    <w:rsid w:val="00FF5B11"/>
    <w:rsid w:val="00FF5E4C"/>
    <w:rsid w:val="00FF60D0"/>
    <w:rsid w:val="00FF631F"/>
    <w:rsid w:val="00FF6365"/>
    <w:rsid w:val="00FF677B"/>
    <w:rsid w:val="00FF6CD2"/>
    <w:rsid w:val="00FF75B2"/>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line="480" w:lineRule="auto"/>
      <w:ind w:firstLine="720"/>
      <w:jc w:val="center"/>
      <w:outlineLvl w:val="0"/>
    </w:pPr>
    <w:rPr>
      <w:b/>
    </w:rPr>
  </w:style>
  <w:style w:type="paragraph" w:styleId="Heading2">
    <w:name w:val="heading 2"/>
    <w:basedOn w:val="Normal"/>
    <w:next w:val="Normal"/>
    <w:link w:val="Heading2Char"/>
    <w:uiPriority w:val="9"/>
    <w:qFormat/>
    <w:pPr>
      <w:keepNext/>
      <w:spacing w:line="480" w:lineRule="auto"/>
      <w:jc w:val="center"/>
      <w:outlineLvl w:val="1"/>
    </w:pPr>
    <w:rPr>
      <w:b/>
    </w:rPr>
  </w:style>
  <w:style w:type="paragraph" w:styleId="Heading3">
    <w:name w:val="heading 3"/>
    <w:basedOn w:val="Normal"/>
    <w:next w:val="Normal"/>
    <w:link w:val="Heading3Char"/>
    <w:qFormat/>
    <w:rsid w:val="009610A7"/>
    <w:pPr>
      <w:keepNext/>
      <w:ind w:left="1440" w:firstLine="720"/>
      <w:outlineLvl w:val="2"/>
    </w:pPr>
    <w:rPr>
      <w:i/>
      <w:iCs/>
      <w:sz w:val="20"/>
    </w:rPr>
  </w:style>
  <w:style w:type="paragraph" w:styleId="Heading4">
    <w:name w:val="heading 4"/>
    <w:basedOn w:val="Normal"/>
    <w:next w:val="Normal"/>
    <w:link w:val="Heading4Char"/>
    <w:qFormat/>
    <w:rsid w:val="009610A7"/>
    <w:pPr>
      <w:keepNext/>
      <w:spacing w:line="480" w:lineRule="auto"/>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otnoteReference">
    <w:name w:val="footnote reference"/>
    <w:uiPriority w:val="99"/>
    <w:rPr>
      <w:vertAlign w:val="superscript"/>
    </w:rPr>
  </w:style>
  <w:style w:type="paragraph" w:customStyle="1" w:styleId="JEHarticletext">
    <w:name w:val="JEH article text"/>
    <w:basedOn w:val="Normal"/>
    <w:pPr>
      <w:tabs>
        <w:tab w:val="left" w:pos="240"/>
        <w:tab w:val="center" w:pos="3480"/>
        <w:tab w:val="right" w:pos="6960"/>
      </w:tabs>
      <w:jc w:val="both"/>
    </w:pPr>
  </w:style>
  <w:style w:type="character" w:customStyle="1" w:styleId="Heading3Char">
    <w:name w:val="Heading 3 Char"/>
    <w:link w:val="Heading3"/>
    <w:rsid w:val="009610A7"/>
    <w:rPr>
      <w:i/>
      <w:iCs/>
      <w:szCs w:val="24"/>
    </w:rPr>
  </w:style>
  <w:style w:type="character" w:customStyle="1" w:styleId="Heading4Char">
    <w:name w:val="Heading 4 Char"/>
    <w:link w:val="Heading4"/>
    <w:rsid w:val="009610A7"/>
    <w:rPr>
      <w:b/>
      <w:bCs/>
    </w:rPr>
  </w:style>
  <w:style w:type="paragraph" w:styleId="EndnoteText">
    <w:name w:val="endnote text"/>
    <w:basedOn w:val="Normal"/>
    <w:link w:val="EndnoteTextChar"/>
    <w:semiHidden/>
    <w:rsid w:val="009610A7"/>
    <w:pPr>
      <w:widowControl w:val="0"/>
    </w:pPr>
    <w:rPr>
      <w:snapToGrid w:val="0"/>
      <w:sz w:val="20"/>
      <w:szCs w:val="20"/>
    </w:rPr>
  </w:style>
  <w:style w:type="character" w:customStyle="1" w:styleId="EndnoteTextChar">
    <w:name w:val="Endnote Text Char"/>
    <w:link w:val="EndnoteText"/>
    <w:semiHidden/>
    <w:rsid w:val="009610A7"/>
    <w:rPr>
      <w:snapToGrid w:val="0"/>
    </w:rPr>
  </w:style>
  <w:style w:type="character" w:styleId="Hyperlink">
    <w:name w:val="Hyperlink"/>
    <w:uiPriority w:val="99"/>
    <w:rsid w:val="009610A7"/>
    <w:rPr>
      <w:color w:val="0000FF"/>
      <w:u w:val="single"/>
    </w:rPr>
  </w:style>
  <w:style w:type="paragraph" w:styleId="BodyText">
    <w:name w:val="Body Text"/>
    <w:basedOn w:val="Normal"/>
    <w:link w:val="BodyTextChar"/>
    <w:rsid w:val="009610A7"/>
    <w:pPr>
      <w:widowControl w:val="0"/>
      <w:tabs>
        <w:tab w:val="left" w:pos="-720"/>
      </w:tabs>
      <w:suppressAutoHyphens/>
      <w:spacing w:line="480" w:lineRule="auto"/>
    </w:pPr>
    <w:rPr>
      <w:snapToGrid w:val="0"/>
      <w:sz w:val="20"/>
      <w:szCs w:val="20"/>
    </w:rPr>
  </w:style>
  <w:style w:type="character" w:customStyle="1" w:styleId="BodyTextChar">
    <w:name w:val="Body Text Char"/>
    <w:link w:val="BodyText"/>
    <w:rsid w:val="009610A7"/>
    <w:rPr>
      <w:snapToGrid w:val="0"/>
    </w:rPr>
  </w:style>
  <w:style w:type="paragraph" w:styleId="BodyTextIndent">
    <w:name w:val="Body Text Indent"/>
    <w:basedOn w:val="Normal"/>
    <w:link w:val="BodyTextIndentChar"/>
    <w:rsid w:val="009610A7"/>
    <w:pPr>
      <w:widowControl w:val="0"/>
      <w:spacing w:line="480" w:lineRule="auto"/>
      <w:ind w:firstLine="720"/>
    </w:pPr>
    <w:rPr>
      <w:snapToGrid w:val="0"/>
      <w:sz w:val="20"/>
      <w:szCs w:val="20"/>
    </w:rPr>
  </w:style>
  <w:style w:type="character" w:customStyle="1" w:styleId="BodyTextIndentChar">
    <w:name w:val="Body Text Indent Char"/>
    <w:link w:val="BodyTextIndent"/>
    <w:rsid w:val="009610A7"/>
    <w:rPr>
      <w:snapToGrid w:val="0"/>
    </w:rPr>
  </w:style>
  <w:style w:type="paragraph" w:styleId="BodyTextIndent3">
    <w:name w:val="Body Text Indent 3"/>
    <w:basedOn w:val="Normal"/>
    <w:link w:val="BodyTextIndent3Char"/>
    <w:rsid w:val="009610A7"/>
    <w:pPr>
      <w:widowControl w:val="0"/>
      <w:spacing w:line="480" w:lineRule="auto"/>
      <w:ind w:left="720"/>
    </w:pPr>
    <w:rPr>
      <w:snapToGrid w:val="0"/>
      <w:sz w:val="20"/>
      <w:szCs w:val="20"/>
    </w:rPr>
  </w:style>
  <w:style w:type="character" w:customStyle="1" w:styleId="BodyTextIndent3Char">
    <w:name w:val="Body Text Indent 3 Char"/>
    <w:link w:val="BodyTextIndent3"/>
    <w:rsid w:val="009610A7"/>
    <w:rPr>
      <w:snapToGrid w:val="0"/>
    </w:rPr>
  </w:style>
  <w:style w:type="character" w:styleId="EndnoteReference">
    <w:name w:val="endnote reference"/>
    <w:semiHidden/>
    <w:rsid w:val="009610A7"/>
    <w:rPr>
      <w:vertAlign w:val="superscript"/>
    </w:rPr>
  </w:style>
  <w:style w:type="paragraph" w:styleId="BalloonText">
    <w:name w:val="Balloon Text"/>
    <w:basedOn w:val="Normal"/>
    <w:link w:val="BalloonTextChar"/>
    <w:uiPriority w:val="99"/>
    <w:semiHidden/>
    <w:rsid w:val="009610A7"/>
    <w:rPr>
      <w:rFonts w:ascii="Tahoma" w:hAnsi="Tahoma" w:cs="Tahoma"/>
      <w:sz w:val="16"/>
      <w:szCs w:val="16"/>
    </w:rPr>
  </w:style>
  <w:style w:type="character" w:customStyle="1" w:styleId="BalloonTextChar">
    <w:name w:val="Balloon Text Char"/>
    <w:link w:val="BalloonText"/>
    <w:uiPriority w:val="99"/>
    <w:semiHidden/>
    <w:rsid w:val="009610A7"/>
    <w:rPr>
      <w:rFonts w:ascii="Tahoma" w:hAnsi="Tahoma" w:cs="Tahoma"/>
      <w:sz w:val="16"/>
      <w:szCs w:val="16"/>
    </w:rPr>
  </w:style>
  <w:style w:type="character" w:styleId="FollowedHyperlink">
    <w:name w:val="FollowedHyperlink"/>
    <w:rsid w:val="009610A7"/>
    <w:rPr>
      <w:color w:val="800080"/>
      <w:u w:val="single"/>
    </w:rPr>
  </w:style>
  <w:style w:type="character" w:customStyle="1" w:styleId="FootnoteTextChar">
    <w:name w:val="Footnote Text Char"/>
    <w:link w:val="FootnoteText"/>
    <w:uiPriority w:val="99"/>
    <w:rsid w:val="00951F3F"/>
  </w:style>
  <w:style w:type="character" w:styleId="PlaceholderText">
    <w:name w:val="Placeholder Text"/>
    <w:uiPriority w:val="99"/>
    <w:semiHidden/>
    <w:rsid w:val="00951F3F"/>
    <w:rPr>
      <w:color w:val="808080"/>
    </w:rPr>
  </w:style>
  <w:style w:type="paragraph" w:styleId="ListParagraph">
    <w:name w:val="List Paragraph"/>
    <w:basedOn w:val="Normal"/>
    <w:link w:val="ListParagraphChar"/>
    <w:uiPriority w:val="34"/>
    <w:qFormat/>
    <w:rsid w:val="00951F3F"/>
    <w:pPr>
      <w:widowControl w:val="0"/>
      <w:autoSpaceDE w:val="0"/>
      <w:autoSpaceDN w:val="0"/>
      <w:adjustRightInd w:val="0"/>
      <w:ind w:left="720"/>
      <w:contextualSpacing/>
    </w:pPr>
    <w:rPr>
      <w:rFonts w:ascii="Calibri" w:hAnsi="Calibri" w:cs="Calibri"/>
    </w:rPr>
  </w:style>
  <w:style w:type="character" w:customStyle="1" w:styleId="HeaderChar">
    <w:name w:val="Header Char"/>
    <w:link w:val="Header"/>
    <w:uiPriority w:val="99"/>
    <w:rsid w:val="00951F3F"/>
    <w:rPr>
      <w:sz w:val="24"/>
      <w:szCs w:val="24"/>
    </w:rPr>
  </w:style>
  <w:style w:type="character" w:customStyle="1" w:styleId="FooterChar">
    <w:name w:val="Footer Char"/>
    <w:link w:val="Footer"/>
    <w:uiPriority w:val="99"/>
    <w:rsid w:val="00951F3F"/>
    <w:rPr>
      <w:sz w:val="24"/>
      <w:szCs w:val="24"/>
    </w:rPr>
  </w:style>
  <w:style w:type="paragraph" w:customStyle="1" w:styleId="NormalBlack">
    <w:name w:val="Normal + Black"/>
    <w:aliases w:val="First line:  0.5&quot;,Line spacing:  1.5 lines"/>
    <w:basedOn w:val="Header"/>
    <w:rsid w:val="00575AF1"/>
    <w:pPr>
      <w:tabs>
        <w:tab w:val="clear" w:pos="4320"/>
        <w:tab w:val="clear" w:pos="8640"/>
      </w:tabs>
      <w:spacing w:line="360" w:lineRule="auto"/>
      <w:ind w:firstLine="720"/>
    </w:pPr>
    <w:rPr>
      <w:color w:val="000000"/>
    </w:rPr>
  </w:style>
  <w:style w:type="character" w:customStyle="1" w:styleId="title4">
    <w:name w:val="title4"/>
    <w:rsid w:val="00A1681E"/>
    <w:rPr>
      <w:rFonts w:ascii="Helvetica" w:hAnsi="Helvetica" w:hint="default"/>
      <w:b/>
      <w:bCs/>
      <w:vanish w:val="0"/>
      <w:webHidden w:val="0"/>
      <w:color w:val="000000"/>
      <w:sz w:val="18"/>
      <w:szCs w:val="18"/>
      <w:bdr w:val="none" w:sz="0" w:space="0" w:color="auto" w:frame="1"/>
      <w:shd w:val="clear" w:color="auto" w:fill="auto"/>
      <w:specVanish w:val="0"/>
    </w:rPr>
  </w:style>
  <w:style w:type="paragraph" w:styleId="BodyTextIndent2">
    <w:name w:val="Body Text Indent 2"/>
    <w:basedOn w:val="Normal"/>
    <w:link w:val="BodyTextIndent2Char"/>
    <w:rsid w:val="00363168"/>
    <w:pPr>
      <w:tabs>
        <w:tab w:val="left" w:pos="-1440"/>
      </w:tabs>
      <w:ind w:left="7920" w:hanging="7920"/>
    </w:pPr>
  </w:style>
  <w:style w:type="character" w:customStyle="1" w:styleId="BodyTextIndent2Char">
    <w:name w:val="Body Text Indent 2 Char"/>
    <w:link w:val="BodyTextIndent2"/>
    <w:rsid w:val="00363168"/>
    <w:rPr>
      <w:sz w:val="24"/>
      <w:szCs w:val="24"/>
    </w:rPr>
  </w:style>
  <w:style w:type="paragraph" w:customStyle="1" w:styleId="xl25">
    <w:name w:val="xl25"/>
    <w:basedOn w:val="Normal"/>
    <w:rsid w:val="00363168"/>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rsid w:val="00363168"/>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363168"/>
    <w:pPr>
      <w:ind w:left="720" w:right="900"/>
    </w:pPr>
    <w:rPr>
      <w:sz w:val="20"/>
    </w:rPr>
  </w:style>
  <w:style w:type="paragraph" w:styleId="BodyText2">
    <w:name w:val="Body Text 2"/>
    <w:basedOn w:val="Normal"/>
    <w:link w:val="BodyText2Char"/>
    <w:rsid w:val="00363168"/>
    <w:pPr>
      <w:autoSpaceDE w:val="0"/>
      <w:autoSpaceDN w:val="0"/>
      <w:adjustRightInd w:val="0"/>
    </w:pPr>
    <w:rPr>
      <w:sz w:val="20"/>
    </w:rPr>
  </w:style>
  <w:style w:type="character" w:customStyle="1" w:styleId="BodyText2Char">
    <w:name w:val="Body Text 2 Char"/>
    <w:link w:val="BodyText2"/>
    <w:rsid w:val="00363168"/>
    <w:rPr>
      <w:szCs w:val="24"/>
    </w:rPr>
  </w:style>
  <w:style w:type="paragraph" w:styleId="NormalWeb">
    <w:name w:val="Normal (Web)"/>
    <w:basedOn w:val="Normal"/>
    <w:rsid w:val="00363168"/>
    <w:pPr>
      <w:spacing w:before="100" w:beforeAutospacing="1" w:after="100" w:afterAutospacing="1"/>
    </w:pPr>
    <w:rPr>
      <w:rFonts w:ascii="Verdana" w:eastAsia="Arial Unicode MS" w:hAnsi="Verdana" w:cs="Arial Unicode MS"/>
      <w:sz w:val="20"/>
      <w:szCs w:val="20"/>
    </w:rPr>
  </w:style>
  <w:style w:type="table" w:styleId="TableGrid">
    <w:name w:val="Table Grid"/>
    <w:basedOn w:val="TableNormal"/>
    <w:rsid w:val="0036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363168"/>
    <w:rPr>
      <w:sz w:val="16"/>
      <w:szCs w:val="16"/>
    </w:rPr>
  </w:style>
  <w:style w:type="paragraph" w:styleId="CommentText">
    <w:name w:val="annotation text"/>
    <w:basedOn w:val="Normal"/>
    <w:link w:val="CommentTextChar"/>
    <w:uiPriority w:val="99"/>
    <w:rsid w:val="00363168"/>
    <w:rPr>
      <w:sz w:val="20"/>
      <w:szCs w:val="20"/>
    </w:rPr>
  </w:style>
  <w:style w:type="character" w:customStyle="1" w:styleId="CommentTextChar">
    <w:name w:val="Comment Text Char"/>
    <w:basedOn w:val="DefaultParagraphFont"/>
    <w:link w:val="CommentText"/>
    <w:uiPriority w:val="99"/>
    <w:rsid w:val="00363168"/>
  </w:style>
  <w:style w:type="paragraph" w:styleId="CommentSubject">
    <w:name w:val="annotation subject"/>
    <w:basedOn w:val="CommentText"/>
    <w:next w:val="CommentText"/>
    <w:link w:val="CommentSubjectChar"/>
    <w:uiPriority w:val="99"/>
    <w:rsid w:val="00363168"/>
    <w:rPr>
      <w:b/>
      <w:bCs/>
    </w:rPr>
  </w:style>
  <w:style w:type="character" w:customStyle="1" w:styleId="CommentSubjectChar">
    <w:name w:val="Comment Subject Char"/>
    <w:link w:val="CommentSubject"/>
    <w:uiPriority w:val="99"/>
    <w:rsid w:val="00363168"/>
    <w:rPr>
      <w:b/>
      <w:bCs/>
    </w:rPr>
  </w:style>
  <w:style w:type="character" w:customStyle="1" w:styleId="FootnoteTextChar1">
    <w:name w:val="Footnote Text Char1"/>
    <w:locked/>
    <w:rsid w:val="00854E7A"/>
    <w:rPr>
      <w:lang w:val="en-US" w:eastAsia="en-US" w:bidi="ar-SA"/>
    </w:rPr>
  </w:style>
  <w:style w:type="paragraph" w:customStyle="1" w:styleId="msolistparagraph0">
    <w:name w:val="msolistparagraph"/>
    <w:basedOn w:val="Normal"/>
    <w:rsid w:val="00854E7A"/>
    <w:pPr>
      <w:spacing w:line="480" w:lineRule="auto"/>
      <w:ind w:left="720"/>
    </w:pPr>
  </w:style>
  <w:style w:type="character" w:customStyle="1" w:styleId="CharChar2">
    <w:name w:val="Char Char2"/>
    <w:semiHidden/>
    <w:rsid w:val="00854E7A"/>
    <w:rPr>
      <w:rFonts w:ascii="Times New Roman" w:eastAsia="Times New Roman" w:hAnsi="Times New Roman" w:cs="Times New Roman"/>
      <w:sz w:val="20"/>
      <w:szCs w:val="20"/>
      <w:lang w:eastAsia="en-US"/>
    </w:rPr>
  </w:style>
  <w:style w:type="paragraph" w:styleId="Revision">
    <w:name w:val="Revision"/>
    <w:hidden/>
    <w:uiPriority w:val="99"/>
    <w:semiHidden/>
    <w:rsid w:val="00854E7A"/>
    <w:pPr>
      <w:spacing w:line="480" w:lineRule="auto"/>
    </w:pPr>
    <w:rPr>
      <w:sz w:val="24"/>
      <w:szCs w:val="24"/>
    </w:rPr>
  </w:style>
  <w:style w:type="table" w:styleId="TableClassic1">
    <w:name w:val="Table Classic 1"/>
    <w:basedOn w:val="TableNormal"/>
    <w:rsid w:val="00854E7A"/>
    <w:pPr>
      <w:spacing w:line="480" w:lineRule="auto"/>
    </w:pPr>
    <w:rPr>
      <w:lang w:val="nl-NL" w:eastAsia="nl-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
    <w:name w:val="Table"/>
    <w:basedOn w:val="Normal"/>
    <w:qFormat/>
    <w:rsid w:val="00EB44DC"/>
    <w:pPr>
      <w:widowControl w:val="0"/>
      <w:jc w:val="center"/>
    </w:pPr>
    <w:rPr>
      <w:rFonts w:cs="Calibri"/>
      <w:color w:val="000000"/>
      <w:sz w:val="22"/>
      <w:szCs w:val="22"/>
    </w:rPr>
  </w:style>
  <w:style w:type="paragraph" w:customStyle="1" w:styleId="Dataset">
    <w:name w:val="Dataset"/>
    <w:basedOn w:val="ListParagraph"/>
    <w:link w:val="DatasetChar"/>
    <w:qFormat/>
    <w:rsid w:val="0027359B"/>
    <w:pPr>
      <w:widowControl/>
      <w:numPr>
        <w:numId w:val="44"/>
      </w:numPr>
      <w:autoSpaceDE/>
      <w:autoSpaceDN/>
      <w:adjustRightInd/>
      <w:ind w:left="360"/>
    </w:pPr>
    <w:rPr>
      <w:rFonts w:ascii="Times New Roman" w:eastAsia="MS Mincho" w:hAnsi="Times New Roman" w:cs="Times New Roman"/>
      <w:b/>
    </w:rPr>
  </w:style>
  <w:style w:type="character" w:customStyle="1" w:styleId="ListParagraphChar">
    <w:name w:val="List Paragraph Char"/>
    <w:link w:val="ListParagraph"/>
    <w:uiPriority w:val="34"/>
    <w:rsid w:val="0027359B"/>
    <w:rPr>
      <w:rFonts w:ascii="Calibri" w:hAnsi="Calibri" w:cs="Calibri"/>
      <w:sz w:val="24"/>
      <w:szCs w:val="24"/>
    </w:rPr>
  </w:style>
  <w:style w:type="character" w:customStyle="1" w:styleId="DatasetChar">
    <w:name w:val="Dataset Char"/>
    <w:link w:val="Dataset"/>
    <w:rsid w:val="0027359B"/>
    <w:rPr>
      <w:rFonts w:eastAsia="MS Mincho"/>
      <w:b/>
      <w:sz w:val="24"/>
      <w:szCs w:val="24"/>
    </w:rPr>
  </w:style>
  <w:style w:type="character" w:customStyle="1" w:styleId="Heading2Char">
    <w:name w:val="Heading 2 Char"/>
    <w:link w:val="Heading2"/>
    <w:uiPriority w:val="9"/>
    <w:rsid w:val="0027359B"/>
    <w:rPr>
      <w:b/>
      <w:sz w:val="24"/>
      <w:szCs w:val="24"/>
    </w:rPr>
  </w:style>
  <w:style w:type="character" w:customStyle="1" w:styleId="Heading1Char">
    <w:name w:val="Heading 1 Char"/>
    <w:link w:val="Heading1"/>
    <w:uiPriority w:val="9"/>
    <w:rsid w:val="0027359B"/>
    <w:rPr>
      <w:b/>
      <w:sz w:val="24"/>
      <w:szCs w:val="24"/>
    </w:rPr>
  </w:style>
  <w:style w:type="paragraph" w:customStyle="1" w:styleId="References">
    <w:name w:val="References"/>
    <w:basedOn w:val="Normal"/>
    <w:link w:val="ReferencesChar"/>
    <w:qFormat/>
    <w:rsid w:val="0027359B"/>
    <w:pPr>
      <w:widowControl w:val="0"/>
      <w:autoSpaceDE w:val="0"/>
      <w:autoSpaceDN w:val="0"/>
      <w:adjustRightInd w:val="0"/>
      <w:spacing w:after="120"/>
      <w:ind w:left="360" w:hanging="360"/>
    </w:pPr>
    <w:rPr>
      <w:rFonts w:eastAsia="MS Mincho" w:cs="Linux Libertine"/>
      <w:sz w:val="20"/>
      <w:szCs w:val="22"/>
    </w:rPr>
  </w:style>
  <w:style w:type="paragraph" w:customStyle="1" w:styleId="Notes">
    <w:name w:val="Notes"/>
    <w:basedOn w:val="Normal"/>
    <w:qFormat/>
    <w:rsid w:val="0027359B"/>
    <w:pPr>
      <w:jc w:val="both"/>
    </w:pPr>
    <w:rPr>
      <w:sz w:val="20"/>
    </w:rPr>
  </w:style>
  <w:style w:type="character" w:customStyle="1" w:styleId="ReferencesChar">
    <w:name w:val="References Char"/>
    <w:link w:val="References"/>
    <w:rsid w:val="0027359B"/>
    <w:rPr>
      <w:rFonts w:eastAsia="MS Mincho" w:cs="Linux Libertine"/>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line="480" w:lineRule="auto"/>
      <w:ind w:firstLine="720"/>
      <w:jc w:val="center"/>
      <w:outlineLvl w:val="0"/>
    </w:pPr>
    <w:rPr>
      <w:b/>
    </w:rPr>
  </w:style>
  <w:style w:type="paragraph" w:styleId="Heading2">
    <w:name w:val="heading 2"/>
    <w:basedOn w:val="Normal"/>
    <w:next w:val="Normal"/>
    <w:link w:val="Heading2Char"/>
    <w:uiPriority w:val="9"/>
    <w:qFormat/>
    <w:pPr>
      <w:keepNext/>
      <w:spacing w:line="480" w:lineRule="auto"/>
      <w:jc w:val="center"/>
      <w:outlineLvl w:val="1"/>
    </w:pPr>
    <w:rPr>
      <w:b/>
    </w:rPr>
  </w:style>
  <w:style w:type="paragraph" w:styleId="Heading3">
    <w:name w:val="heading 3"/>
    <w:basedOn w:val="Normal"/>
    <w:next w:val="Normal"/>
    <w:link w:val="Heading3Char"/>
    <w:qFormat/>
    <w:rsid w:val="009610A7"/>
    <w:pPr>
      <w:keepNext/>
      <w:ind w:left="1440" w:firstLine="720"/>
      <w:outlineLvl w:val="2"/>
    </w:pPr>
    <w:rPr>
      <w:i/>
      <w:iCs/>
      <w:sz w:val="20"/>
    </w:rPr>
  </w:style>
  <w:style w:type="paragraph" w:styleId="Heading4">
    <w:name w:val="heading 4"/>
    <w:basedOn w:val="Normal"/>
    <w:next w:val="Normal"/>
    <w:link w:val="Heading4Char"/>
    <w:qFormat/>
    <w:rsid w:val="009610A7"/>
    <w:pPr>
      <w:keepNext/>
      <w:spacing w:line="480" w:lineRule="auto"/>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otnoteReference">
    <w:name w:val="footnote reference"/>
    <w:uiPriority w:val="99"/>
    <w:rPr>
      <w:vertAlign w:val="superscript"/>
    </w:rPr>
  </w:style>
  <w:style w:type="paragraph" w:customStyle="1" w:styleId="JEHarticletext">
    <w:name w:val="JEH article text"/>
    <w:basedOn w:val="Normal"/>
    <w:pPr>
      <w:tabs>
        <w:tab w:val="left" w:pos="240"/>
        <w:tab w:val="center" w:pos="3480"/>
        <w:tab w:val="right" w:pos="6960"/>
      </w:tabs>
      <w:jc w:val="both"/>
    </w:pPr>
  </w:style>
  <w:style w:type="character" w:customStyle="1" w:styleId="Heading3Char">
    <w:name w:val="Heading 3 Char"/>
    <w:link w:val="Heading3"/>
    <w:rsid w:val="009610A7"/>
    <w:rPr>
      <w:i/>
      <w:iCs/>
      <w:szCs w:val="24"/>
    </w:rPr>
  </w:style>
  <w:style w:type="character" w:customStyle="1" w:styleId="Heading4Char">
    <w:name w:val="Heading 4 Char"/>
    <w:link w:val="Heading4"/>
    <w:rsid w:val="009610A7"/>
    <w:rPr>
      <w:b/>
      <w:bCs/>
    </w:rPr>
  </w:style>
  <w:style w:type="paragraph" w:styleId="EndnoteText">
    <w:name w:val="endnote text"/>
    <w:basedOn w:val="Normal"/>
    <w:link w:val="EndnoteTextChar"/>
    <w:semiHidden/>
    <w:rsid w:val="009610A7"/>
    <w:pPr>
      <w:widowControl w:val="0"/>
    </w:pPr>
    <w:rPr>
      <w:snapToGrid w:val="0"/>
      <w:sz w:val="20"/>
      <w:szCs w:val="20"/>
    </w:rPr>
  </w:style>
  <w:style w:type="character" w:customStyle="1" w:styleId="EndnoteTextChar">
    <w:name w:val="Endnote Text Char"/>
    <w:link w:val="EndnoteText"/>
    <w:semiHidden/>
    <w:rsid w:val="009610A7"/>
    <w:rPr>
      <w:snapToGrid w:val="0"/>
    </w:rPr>
  </w:style>
  <w:style w:type="character" w:styleId="Hyperlink">
    <w:name w:val="Hyperlink"/>
    <w:uiPriority w:val="99"/>
    <w:rsid w:val="009610A7"/>
    <w:rPr>
      <w:color w:val="0000FF"/>
      <w:u w:val="single"/>
    </w:rPr>
  </w:style>
  <w:style w:type="paragraph" w:styleId="BodyText">
    <w:name w:val="Body Text"/>
    <w:basedOn w:val="Normal"/>
    <w:link w:val="BodyTextChar"/>
    <w:rsid w:val="009610A7"/>
    <w:pPr>
      <w:widowControl w:val="0"/>
      <w:tabs>
        <w:tab w:val="left" w:pos="-720"/>
      </w:tabs>
      <w:suppressAutoHyphens/>
      <w:spacing w:line="480" w:lineRule="auto"/>
    </w:pPr>
    <w:rPr>
      <w:snapToGrid w:val="0"/>
      <w:sz w:val="20"/>
      <w:szCs w:val="20"/>
    </w:rPr>
  </w:style>
  <w:style w:type="character" w:customStyle="1" w:styleId="BodyTextChar">
    <w:name w:val="Body Text Char"/>
    <w:link w:val="BodyText"/>
    <w:rsid w:val="009610A7"/>
    <w:rPr>
      <w:snapToGrid w:val="0"/>
    </w:rPr>
  </w:style>
  <w:style w:type="paragraph" w:styleId="BodyTextIndent">
    <w:name w:val="Body Text Indent"/>
    <w:basedOn w:val="Normal"/>
    <w:link w:val="BodyTextIndentChar"/>
    <w:rsid w:val="009610A7"/>
    <w:pPr>
      <w:widowControl w:val="0"/>
      <w:spacing w:line="480" w:lineRule="auto"/>
      <w:ind w:firstLine="720"/>
    </w:pPr>
    <w:rPr>
      <w:snapToGrid w:val="0"/>
      <w:sz w:val="20"/>
      <w:szCs w:val="20"/>
    </w:rPr>
  </w:style>
  <w:style w:type="character" w:customStyle="1" w:styleId="BodyTextIndentChar">
    <w:name w:val="Body Text Indent Char"/>
    <w:link w:val="BodyTextIndent"/>
    <w:rsid w:val="009610A7"/>
    <w:rPr>
      <w:snapToGrid w:val="0"/>
    </w:rPr>
  </w:style>
  <w:style w:type="paragraph" w:styleId="BodyTextIndent3">
    <w:name w:val="Body Text Indent 3"/>
    <w:basedOn w:val="Normal"/>
    <w:link w:val="BodyTextIndent3Char"/>
    <w:rsid w:val="009610A7"/>
    <w:pPr>
      <w:widowControl w:val="0"/>
      <w:spacing w:line="480" w:lineRule="auto"/>
      <w:ind w:left="720"/>
    </w:pPr>
    <w:rPr>
      <w:snapToGrid w:val="0"/>
      <w:sz w:val="20"/>
      <w:szCs w:val="20"/>
    </w:rPr>
  </w:style>
  <w:style w:type="character" w:customStyle="1" w:styleId="BodyTextIndent3Char">
    <w:name w:val="Body Text Indent 3 Char"/>
    <w:link w:val="BodyTextIndent3"/>
    <w:rsid w:val="009610A7"/>
    <w:rPr>
      <w:snapToGrid w:val="0"/>
    </w:rPr>
  </w:style>
  <w:style w:type="character" w:styleId="EndnoteReference">
    <w:name w:val="endnote reference"/>
    <w:semiHidden/>
    <w:rsid w:val="009610A7"/>
    <w:rPr>
      <w:vertAlign w:val="superscript"/>
    </w:rPr>
  </w:style>
  <w:style w:type="paragraph" w:styleId="BalloonText">
    <w:name w:val="Balloon Text"/>
    <w:basedOn w:val="Normal"/>
    <w:link w:val="BalloonTextChar"/>
    <w:uiPriority w:val="99"/>
    <w:semiHidden/>
    <w:rsid w:val="009610A7"/>
    <w:rPr>
      <w:rFonts w:ascii="Tahoma" w:hAnsi="Tahoma" w:cs="Tahoma"/>
      <w:sz w:val="16"/>
      <w:szCs w:val="16"/>
    </w:rPr>
  </w:style>
  <w:style w:type="character" w:customStyle="1" w:styleId="BalloonTextChar">
    <w:name w:val="Balloon Text Char"/>
    <w:link w:val="BalloonText"/>
    <w:uiPriority w:val="99"/>
    <w:semiHidden/>
    <w:rsid w:val="009610A7"/>
    <w:rPr>
      <w:rFonts w:ascii="Tahoma" w:hAnsi="Tahoma" w:cs="Tahoma"/>
      <w:sz w:val="16"/>
      <w:szCs w:val="16"/>
    </w:rPr>
  </w:style>
  <w:style w:type="character" w:styleId="FollowedHyperlink">
    <w:name w:val="FollowedHyperlink"/>
    <w:rsid w:val="009610A7"/>
    <w:rPr>
      <w:color w:val="800080"/>
      <w:u w:val="single"/>
    </w:rPr>
  </w:style>
  <w:style w:type="character" w:customStyle="1" w:styleId="FootnoteTextChar">
    <w:name w:val="Footnote Text Char"/>
    <w:link w:val="FootnoteText"/>
    <w:uiPriority w:val="99"/>
    <w:rsid w:val="00951F3F"/>
  </w:style>
  <w:style w:type="character" w:styleId="PlaceholderText">
    <w:name w:val="Placeholder Text"/>
    <w:uiPriority w:val="99"/>
    <w:semiHidden/>
    <w:rsid w:val="00951F3F"/>
    <w:rPr>
      <w:color w:val="808080"/>
    </w:rPr>
  </w:style>
  <w:style w:type="paragraph" w:styleId="ListParagraph">
    <w:name w:val="List Paragraph"/>
    <w:basedOn w:val="Normal"/>
    <w:link w:val="ListParagraphChar"/>
    <w:uiPriority w:val="34"/>
    <w:qFormat/>
    <w:rsid w:val="00951F3F"/>
    <w:pPr>
      <w:widowControl w:val="0"/>
      <w:autoSpaceDE w:val="0"/>
      <w:autoSpaceDN w:val="0"/>
      <w:adjustRightInd w:val="0"/>
      <w:ind w:left="720"/>
      <w:contextualSpacing/>
    </w:pPr>
    <w:rPr>
      <w:rFonts w:ascii="Calibri" w:hAnsi="Calibri" w:cs="Calibri"/>
    </w:rPr>
  </w:style>
  <w:style w:type="character" w:customStyle="1" w:styleId="HeaderChar">
    <w:name w:val="Header Char"/>
    <w:link w:val="Header"/>
    <w:uiPriority w:val="99"/>
    <w:rsid w:val="00951F3F"/>
    <w:rPr>
      <w:sz w:val="24"/>
      <w:szCs w:val="24"/>
    </w:rPr>
  </w:style>
  <w:style w:type="character" w:customStyle="1" w:styleId="FooterChar">
    <w:name w:val="Footer Char"/>
    <w:link w:val="Footer"/>
    <w:uiPriority w:val="99"/>
    <w:rsid w:val="00951F3F"/>
    <w:rPr>
      <w:sz w:val="24"/>
      <w:szCs w:val="24"/>
    </w:rPr>
  </w:style>
  <w:style w:type="paragraph" w:customStyle="1" w:styleId="NormalBlack">
    <w:name w:val="Normal + Black"/>
    <w:aliases w:val="First line:  0.5&quot;,Line spacing:  1.5 lines"/>
    <w:basedOn w:val="Header"/>
    <w:rsid w:val="00575AF1"/>
    <w:pPr>
      <w:tabs>
        <w:tab w:val="clear" w:pos="4320"/>
        <w:tab w:val="clear" w:pos="8640"/>
      </w:tabs>
      <w:spacing w:line="360" w:lineRule="auto"/>
      <w:ind w:firstLine="720"/>
    </w:pPr>
    <w:rPr>
      <w:color w:val="000000"/>
    </w:rPr>
  </w:style>
  <w:style w:type="character" w:customStyle="1" w:styleId="title4">
    <w:name w:val="title4"/>
    <w:rsid w:val="00A1681E"/>
    <w:rPr>
      <w:rFonts w:ascii="Helvetica" w:hAnsi="Helvetica" w:hint="default"/>
      <w:b/>
      <w:bCs/>
      <w:vanish w:val="0"/>
      <w:webHidden w:val="0"/>
      <w:color w:val="000000"/>
      <w:sz w:val="18"/>
      <w:szCs w:val="18"/>
      <w:bdr w:val="none" w:sz="0" w:space="0" w:color="auto" w:frame="1"/>
      <w:shd w:val="clear" w:color="auto" w:fill="auto"/>
      <w:specVanish w:val="0"/>
    </w:rPr>
  </w:style>
  <w:style w:type="paragraph" w:styleId="BodyTextIndent2">
    <w:name w:val="Body Text Indent 2"/>
    <w:basedOn w:val="Normal"/>
    <w:link w:val="BodyTextIndent2Char"/>
    <w:rsid w:val="00363168"/>
    <w:pPr>
      <w:tabs>
        <w:tab w:val="left" w:pos="-1440"/>
      </w:tabs>
      <w:ind w:left="7920" w:hanging="7920"/>
    </w:pPr>
  </w:style>
  <w:style w:type="character" w:customStyle="1" w:styleId="BodyTextIndent2Char">
    <w:name w:val="Body Text Indent 2 Char"/>
    <w:link w:val="BodyTextIndent2"/>
    <w:rsid w:val="00363168"/>
    <w:rPr>
      <w:sz w:val="24"/>
      <w:szCs w:val="24"/>
    </w:rPr>
  </w:style>
  <w:style w:type="paragraph" w:customStyle="1" w:styleId="xl25">
    <w:name w:val="xl25"/>
    <w:basedOn w:val="Normal"/>
    <w:rsid w:val="00363168"/>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rsid w:val="00363168"/>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363168"/>
    <w:pPr>
      <w:ind w:left="720" w:right="900"/>
    </w:pPr>
    <w:rPr>
      <w:sz w:val="20"/>
    </w:rPr>
  </w:style>
  <w:style w:type="paragraph" w:styleId="BodyText2">
    <w:name w:val="Body Text 2"/>
    <w:basedOn w:val="Normal"/>
    <w:link w:val="BodyText2Char"/>
    <w:rsid w:val="00363168"/>
    <w:pPr>
      <w:autoSpaceDE w:val="0"/>
      <w:autoSpaceDN w:val="0"/>
      <w:adjustRightInd w:val="0"/>
    </w:pPr>
    <w:rPr>
      <w:sz w:val="20"/>
    </w:rPr>
  </w:style>
  <w:style w:type="character" w:customStyle="1" w:styleId="BodyText2Char">
    <w:name w:val="Body Text 2 Char"/>
    <w:link w:val="BodyText2"/>
    <w:rsid w:val="00363168"/>
    <w:rPr>
      <w:szCs w:val="24"/>
    </w:rPr>
  </w:style>
  <w:style w:type="paragraph" w:styleId="NormalWeb">
    <w:name w:val="Normal (Web)"/>
    <w:basedOn w:val="Normal"/>
    <w:rsid w:val="00363168"/>
    <w:pPr>
      <w:spacing w:before="100" w:beforeAutospacing="1" w:after="100" w:afterAutospacing="1"/>
    </w:pPr>
    <w:rPr>
      <w:rFonts w:ascii="Verdana" w:eastAsia="Arial Unicode MS" w:hAnsi="Verdana" w:cs="Arial Unicode MS"/>
      <w:sz w:val="20"/>
      <w:szCs w:val="20"/>
    </w:rPr>
  </w:style>
  <w:style w:type="table" w:styleId="TableGrid">
    <w:name w:val="Table Grid"/>
    <w:basedOn w:val="TableNormal"/>
    <w:rsid w:val="0036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363168"/>
    <w:rPr>
      <w:sz w:val="16"/>
      <w:szCs w:val="16"/>
    </w:rPr>
  </w:style>
  <w:style w:type="paragraph" w:styleId="CommentText">
    <w:name w:val="annotation text"/>
    <w:basedOn w:val="Normal"/>
    <w:link w:val="CommentTextChar"/>
    <w:uiPriority w:val="99"/>
    <w:rsid w:val="00363168"/>
    <w:rPr>
      <w:sz w:val="20"/>
      <w:szCs w:val="20"/>
    </w:rPr>
  </w:style>
  <w:style w:type="character" w:customStyle="1" w:styleId="CommentTextChar">
    <w:name w:val="Comment Text Char"/>
    <w:basedOn w:val="DefaultParagraphFont"/>
    <w:link w:val="CommentText"/>
    <w:uiPriority w:val="99"/>
    <w:rsid w:val="00363168"/>
  </w:style>
  <w:style w:type="paragraph" w:styleId="CommentSubject">
    <w:name w:val="annotation subject"/>
    <w:basedOn w:val="CommentText"/>
    <w:next w:val="CommentText"/>
    <w:link w:val="CommentSubjectChar"/>
    <w:uiPriority w:val="99"/>
    <w:rsid w:val="00363168"/>
    <w:rPr>
      <w:b/>
      <w:bCs/>
    </w:rPr>
  </w:style>
  <w:style w:type="character" w:customStyle="1" w:styleId="CommentSubjectChar">
    <w:name w:val="Comment Subject Char"/>
    <w:link w:val="CommentSubject"/>
    <w:uiPriority w:val="99"/>
    <w:rsid w:val="00363168"/>
    <w:rPr>
      <w:b/>
      <w:bCs/>
    </w:rPr>
  </w:style>
  <w:style w:type="character" w:customStyle="1" w:styleId="FootnoteTextChar1">
    <w:name w:val="Footnote Text Char1"/>
    <w:locked/>
    <w:rsid w:val="00854E7A"/>
    <w:rPr>
      <w:lang w:val="en-US" w:eastAsia="en-US" w:bidi="ar-SA"/>
    </w:rPr>
  </w:style>
  <w:style w:type="paragraph" w:customStyle="1" w:styleId="msolistparagraph0">
    <w:name w:val="msolistparagraph"/>
    <w:basedOn w:val="Normal"/>
    <w:rsid w:val="00854E7A"/>
    <w:pPr>
      <w:spacing w:line="480" w:lineRule="auto"/>
      <w:ind w:left="720"/>
    </w:pPr>
  </w:style>
  <w:style w:type="character" w:customStyle="1" w:styleId="CharChar2">
    <w:name w:val="Char Char2"/>
    <w:semiHidden/>
    <w:rsid w:val="00854E7A"/>
    <w:rPr>
      <w:rFonts w:ascii="Times New Roman" w:eastAsia="Times New Roman" w:hAnsi="Times New Roman" w:cs="Times New Roman"/>
      <w:sz w:val="20"/>
      <w:szCs w:val="20"/>
      <w:lang w:eastAsia="en-US"/>
    </w:rPr>
  </w:style>
  <w:style w:type="paragraph" w:styleId="Revision">
    <w:name w:val="Revision"/>
    <w:hidden/>
    <w:uiPriority w:val="99"/>
    <w:semiHidden/>
    <w:rsid w:val="00854E7A"/>
    <w:pPr>
      <w:spacing w:line="480" w:lineRule="auto"/>
    </w:pPr>
    <w:rPr>
      <w:sz w:val="24"/>
      <w:szCs w:val="24"/>
    </w:rPr>
  </w:style>
  <w:style w:type="table" w:styleId="TableClassic1">
    <w:name w:val="Table Classic 1"/>
    <w:basedOn w:val="TableNormal"/>
    <w:rsid w:val="00854E7A"/>
    <w:pPr>
      <w:spacing w:line="480" w:lineRule="auto"/>
    </w:pPr>
    <w:rPr>
      <w:lang w:val="nl-NL" w:eastAsia="nl-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
    <w:name w:val="Table"/>
    <w:basedOn w:val="Normal"/>
    <w:qFormat/>
    <w:rsid w:val="00EB44DC"/>
    <w:pPr>
      <w:widowControl w:val="0"/>
      <w:jc w:val="center"/>
    </w:pPr>
    <w:rPr>
      <w:rFonts w:cs="Calibri"/>
      <w:color w:val="000000"/>
      <w:sz w:val="22"/>
      <w:szCs w:val="22"/>
    </w:rPr>
  </w:style>
  <w:style w:type="paragraph" w:customStyle="1" w:styleId="Dataset">
    <w:name w:val="Dataset"/>
    <w:basedOn w:val="ListParagraph"/>
    <w:link w:val="DatasetChar"/>
    <w:qFormat/>
    <w:rsid w:val="0027359B"/>
    <w:pPr>
      <w:widowControl/>
      <w:numPr>
        <w:numId w:val="44"/>
      </w:numPr>
      <w:autoSpaceDE/>
      <w:autoSpaceDN/>
      <w:adjustRightInd/>
      <w:ind w:left="360"/>
    </w:pPr>
    <w:rPr>
      <w:rFonts w:ascii="Times New Roman" w:eastAsia="MS Mincho" w:hAnsi="Times New Roman" w:cs="Times New Roman"/>
      <w:b/>
    </w:rPr>
  </w:style>
  <w:style w:type="character" w:customStyle="1" w:styleId="ListParagraphChar">
    <w:name w:val="List Paragraph Char"/>
    <w:link w:val="ListParagraph"/>
    <w:uiPriority w:val="34"/>
    <w:rsid w:val="0027359B"/>
    <w:rPr>
      <w:rFonts w:ascii="Calibri" w:hAnsi="Calibri" w:cs="Calibri"/>
      <w:sz w:val="24"/>
      <w:szCs w:val="24"/>
    </w:rPr>
  </w:style>
  <w:style w:type="character" w:customStyle="1" w:styleId="DatasetChar">
    <w:name w:val="Dataset Char"/>
    <w:link w:val="Dataset"/>
    <w:rsid w:val="0027359B"/>
    <w:rPr>
      <w:rFonts w:eastAsia="MS Mincho"/>
      <w:b/>
      <w:sz w:val="24"/>
      <w:szCs w:val="24"/>
    </w:rPr>
  </w:style>
  <w:style w:type="character" w:customStyle="1" w:styleId="Heading2Char">
    <w:name w:val="Heading 2 Char"/>
    <w:link w:val="Heading2"/>
    <w:uiPriority w:val="9"/>
    <w:rsid w:val="0027359B"/>
    <w:rPr>
      <w:b/>
      <w:sz w:val="24"/>
      <w:szCs w:val="24"/>
    </w:rPr>
  </w:style>
  <w:style w:type="character" w:customStyle="1" w:styleId="Heading1Char">
    <w:name w:val="Heading 1 Char"/>
    <w:link w:val="Heading1"/>
    <w:uiPriority w:val="9"/>
    <w:rsid w:val="0027359B"/>
    <w:rPr>
      <w:b/>
      <w:sz w:val="24"/>
      <w:szCs w:val="24"/>
    </w:rPr>
  </w:style>
  <w:style w:type="paragraph" w:customStyle="1" w:styleId="References">
    <w:name w:val="References"/>
    <w:basedOn w:val="Normal"/>
    <w:link w:val="ReferencesChar"/>
    <w:qFormat/>
    <w:rsid w:val="0027359B"/>
    <w:pPr>
      <w:widowControl w:val="0"/>
      <w:autoSpaceDE w:val="0"/>
      <w:autoSpaceDN w:val="0"/>
      <w:adjustRightInd w:val="0"/>
      <w:spacing w:after="120"/>
      <w:ind w:left="360" w:hanging="360"/>
    </w:pPr>
    <w:rPr>
      <w:rFonts w:eastAsia="MS Mincho" w:cs="Linux Libertine"/>
      <w:sz w:val="20"/>
      <w:szCs w:val="22"/>
    </w:rPr>
  </w:style>
  <w:style w:type="paragraph" w:customStyle="1" w:styleId="Notes">
    <w:name w:val="Notes"/>
    <w:basedOn w:val="Normal"/>
    <w:qFormat/>
    <w:rsid w:val="0027359B"/>
    <w:pPr>
      <w:jc w:val="both"/>
    </w:pPr>
    <w:rPr>
      <w:sz w:val="20"/>
    </w:rPr>
  </w:style>
  <w:style w:type="character" w:customStyle="1" w:styleId="ReferencesChar">
    <w:name w:val="References Char"/>
    <w:link w:val="References"/>
    <w:rsid w:val="0027359B"/>
    <w:rPr>
      <w:rFonts w:eastAsia="MS Mincho" w:cs="Linux Libertin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804">
      <w:bodyDiv w:val="1"/>
      <w:marLeft w:val="0"/>
      <w:marRight w:val="0"/>
      <w:marTop w:val="0"/>
      <w:marBottom w:val="0"/>
      <w:divBdr>
        <w:top w:val="none" w:sz="0" w:space="0" w:color="auto"/>
        <w:left w:val="none" w:sz="0" w:space="0" w:color="auto"/>
        <w:bottom w:val="none" w:sz="0" w:space="0" w:color="auto"/>
        <w:right w:val="none" w:sz="0" w:space="0" w:color="auto"/>
      </w:divBdr>
    </w:div>
    <w:div w:id="469515214">
      <w:bodyDiv w:val="1"/>
      <w:marLeft w:val="0"/>
      <w:marRight w:val="0"/>
      <w:marTop w:val="0"/>
      <w:marBottom w:val="0"/>
      <w:divBdr>
        <w:top w:val="none" w:sz="0" w:space="0" w:color="auto"/>
        <w:left w:val="none" w:sz="0" w:space="0" w:color="auto"/>
        <w:bottom w:val="none" w:sz="0" w:space="0" w:color="auto"/>
        <w:right w:val="none" w:sz="0" w:space="0" w:color="auto"/>
      </w:divBdr>
    </w:div>
    <w:div w:id="469633799">
      <w:bodyDiv w:val="1"/>
      <w:marLeft w:val="0"/>
      <w:marRight w:val="0"/>
      <w:marTop w:val="0"/>
      <w:marBottom w:val="0"/>
      <w:divBdr>
        <w:top w:val="none" w:sz="0" w:space="0" w:color="auto"/>
        <w:left w:val="none" w:sz="0" w:space="0" w:color="auto"/>
        <w:bottom w:val="none" w:sz="0" w:space="0" w:color="auto"/>
        <w:right w:val="none" w:sz="0" w:space="0" w:color="auto"/>
      </w:divBdr>
    </w:div>
    <w:div w:id="601424977">
      <w:bodyDiv w:val="1"/>
      <w:marLeft w:val="0"/>
      <w:marRight w:val="0"/>
      <w:marTop w:val="0"/>
      <w:marBottom w:val="0"/>
      <w:divBdr>
        <w:top w:val="none" w:sz="0" w:space="0" w:color="auto"/>
        <w:left w:val="none" w:sz="0" w:space="0" w:color="auto"/>
        <w:bottom w:val="none" w:sz="0" w:space="0" w:color="auto"/>
        <w:right w:val="none" w:sz="0" w:space="0" w:color="auto"/>
      </w:divBdr>
    </w:div>
    <w:div w:id="617566652">
      <w:bodyDiv w:val="1"/>
      <w:marLeft w:val="0"/>
      <w:marRight w:val="0"/>
      <w:marTop w:val="0"/>
      <w:marBottom w:val="0"/>
      <w:divBdr>
        <w:top w:val="none" w:sz="0" w:space="0" w:color="auto"/>
        <w:left w:val="none" w:sz="0" w:space="0" w:color="auto"/>
        <w:bottom w:val="none" w:sz="0" w:space="0" w:color="auto"/>
        <w:right w:val="none" w:sz="0" w:space="0" w:color="auto"/>
      </w:divBdr>
    </w:div>
    <w:div w:id="799300723">
      <w:bodyDiv w:val="1"/>
      <w:marLeft w:val="0"/>
      <w:marRight w:val="0"/>
      <w:marTop w:val="0"/>
      <w:marBottom w:val="0"/>
      <w:divBdr>
        <w:top w:val="none" w:sz="0" w:space="0" w:color="auto"/>
        <w:left w:val="none" w:sz="0" w:space="0" w:color="auto"/>
        <w:bottom w:val="none" w:sz="0" w:space="0" w:color="auto"/>
        <w:right w:val="none" w:sz="0" w:space="0" w:color="auto"/>
      </w:divBdr>
    </w:div>
    <w:div w:id="1291671115">
      <w:bodyDiv w:val="1"/>
      <w:marLeft w:val="0"/>
      <w:marRight w:val="0"/>
      <w:marTop w:val="0"/>
      <w:marBottom w:val="0"/>
      <w:divBdr>
        <w:top w:val="none" w:sz="0" w:space="0" w:color="auto"/>
        <w:left w:val="none" w:sz="0" w:space="0" w:color="auto"/>
        <w:bottom w:val="none" w:sz="0" w:space="0" w:color="auto"/>
        <w:right w:val="none" w:sz="0" w:space="0" w:color="auto"/>
      </w:divBdr>
    </w:div>
    <w:div w:id="1411655321">
      <w:bodyDiv w:val="1"/>
      <w:marLeft w:val="0"/>
      <w:marRight w:val="0"/>
      <w:marTop w:val="0"/>
      <w:marBottom w:val="0"/>
      <w:divBdr>
        <w:top w:val="none" w:sz="0" w:space="0" w:color="auto"/>
        <w:left w:val="none" w:sz="0" w:space="0" w:color="auto"/>
        <w:bottom w:val="none" w:sz="0" w:space="0" w:color="auto"/>
        <w:right w:val="none" w:sz="0" w:space="0" w:color="auto"/>
      </w:divBdr>
    </w:div>
    <w:div w:id="1451245477">
      <w:bodyDiv w:val="1"/>
      <w:marLeft w:val="0"/>
      <w:marRight w:val="0"/>
      <w:marTop w:val="0"/>
      <w:marBottom w:val="0"/>
      <w:divBdr>
        <w:top w:val="none" w:sz="0" w:space="0" w:color="auto"/>
        <w:left w:val="none" w:sz="0" w:space="0" w:color="auto"/>
        <w:bottom w:val="none" w:sz="0" w:space="0" w:color="auto"/>
        <w:right w:val="none" w:sz="0" w:space="0" w:color="auto"/>
      </w:divBdr>
    </w:div>
    <w:div w:id="1702584367">
      <w:bodyDiv w:val="1"/>
      <w:marLeft w:val="0"/>
      <w:marRight w:val="0"/>
      <w:marTop w:val="0"/>
      <w:marBottom w:val="0"/>
      <w:divBdr>
        <w:top w:val="none" w:sz="0" w:space="0" w:color="auto"/>
        <w:left w:val="none" w:sz="0" w:space="0" w:color="auto"/>
        <w:bottom w:val="none" w:sz="0" w:space="0" w:color="auto"/>
        <w:right w:val="none" w:sz="0" w:space="0" w:color="auto"/>
      </w:divBdr>
    </w:div>
    <w:div w:id="1978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D24EDD-323F-4C4B-B4F5-2F4B0F9E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THE ROLE OF ECONOMISTS IN WORLD WAR II</vt:lpstr>
    </vt:vector>
  </TitlesOfParts>
  <Company>University of Chicago GSB</Company>
  <LinksUpToDate>false</LinksUpToDate>
  <CharactersWithSpaces>36404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ECONOMISTS IN WORLD WAR II</dc:title>
  <dc:creator>smguglie</dc:creator>
  <cp:lastModifiedBy>Sabrina C. Boschetti</cp:lastModifiedBy>
  <cp:revision>69</cp:revision>
  <cp:lastPrinted>2014-04-07T19:35:00Z</cp:lastPrinted>
  <dcterms:created xsi:type="dcterms:W3CDTF">2014-04-04T21:32:00Z</dcterms:created>
  <dcterms:modified xsi:type="dcterms:W3CDTF">2014-04-07T19:41:00Z</dcterms:modified>
</cp:coreProperties>
</file>