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1D" w:rsidRDefault="00351C41" w:rsidP="00351C41">
      <w:pPr>
        <w:spacing w:after="0" w:line="240" w:lineRule="auto"/>
        <w:ind w:firstLine="0"/>
        <w:jc w:val="center"/>
        <w:rPr>
          <w:b/>
          <w:i/>
          <w:sz w:val="34"/>
          <w:szCs w:val="34"/>
        </w:rPr>
      </w:pPr>
      <w:bookmarkStart w:id="0" w:name="_GoBack"/>
      <w:bookmarkEnd w:id="0"/>
      <w:r w:rsidRPr="00351C41">
        <w:rPr>
          <w:i/>
          <w:sz w:val="34"/>
          <w:szCs w:val="34"/>
        </w:rPr>
        <w:t>Appendix: The Components of Agricultural Output</w:t>
      </w:r>
    </w:p>
    <w:p w:rsidR="00DD6E1D" w:rsidRPr="007458E6" w:rsidRDefault="00DD6E1D" w:rsidP="00DD6E1D">
      <w:pPr>
        <w:spacing w:after="0" w:line="240" w:lineRule="auto"/>
        <w:ind w:firstLine="0"/>
        <w:rPr>
          <w:sz w:val="34"/>
          <w:szCs w:val="34"/>
        </w:rPr>
      </w:pPr>
    </w:p>
    <w:p w:rsidR="008E0D9B" w:rsidRPr="00FF1531" w:rsidRDefault="00897166" w:rsidP="00897166">
      <w:pPr>
        <w:tabs>
          <w:tab w:val="left" w:pos="200"/>
        </w:tabs>
        <w:spacing w:after="0" w:line="240" w:lineRule="auto"/>
        <w:ind w:firstLine="0"/>
        <w:jc w:val="both"/>
        <w:rPr>
          <w:sz w:val="20"/>
          <w:szCs w:val="20"/>
        </w:rPr>
      </w:pPr>
      <w:r>
        <w:rPr>
          <w:sz w:val="20"/>
          <w:szCs w:val="20"/>
        </w:rPr>
        <w:tab/>
      </w:r>
      <w:r w:rsidR="008E0D9B" w:rsidRPr="00FF1531">
        <w:rPr>
          <w:sz w:val="20"/>
          <w:szCs w:val="20"/>
        </w:rPr>
        <w:t xml:space="preserve">Here we compare estimates for some of the non-cereal items that constituted agricultural output, and outline our proposed amendments. </w:t>
      </w:r>
    </w:p>
    <w:p w:rsidR="008E0D9B" w:rsidRPr="00FF1531" w:rsidRDefault="008E0D9B" w:rsidP="008E0D9B">
      <w:pPr>
        <w:spacing w:after="0" w:line="240" w:lineRule="auto"/>
        <w:ind w:firstLine="0"/>
        <w:jc w:val="both"/>
        <w:rPr>
          <w:sz w:val="20"/>
          <w:szCs w:val="20"/>
        </w:rPr>
      </w:pPr>
    </w:p>
    <w:p w:rsidR="008E0D9B" w:rsidRPr="00FF1531" w:rsidRDefault="00026BDC" w:rsidP="008E0D9B">
      <w:pPr>
        <w:spacing w:after="0" w:line="240" w:lineRule="auto"/>
        <w:ind w:firstLine="0"/>
        <w:jc w:val="both"/>
        <w:rPr>
          <w:sz w:val="20"/>
          <w:szCs w:val="20"/>
        </w:rPr>
      </w:pPr>
      <w:r w:rsidRPr="00FF1531">
        <w:rPr>
          <w:i/>
          <w:iCs/>
          <w:sz w:val="20"/>
          <w:szCs w:val="20"/>
        </w:rPr>
        <w:t>Beans and Peas</w:t>
      </w:r>
      <w:r w:rsidR="0016682E">
        <w:rPr>
          <w:sz w:val="20"/>
          <w:szCs w:val="20"/>
        </w:rPr>
        <w:t xml:space="preserve">: </w:t>
      </w:r>
      <w:r w:rsidR="00B9611D">
        <w:rPr>
          <w:sz w:val="20"/>
          <w:szCs w:val="20"/>
        </w:rPr>
        <w:t xml:space="preserve">Stephen </w:t>
      </w:r>
      <w:r w:rsidR="008E0D9B" w:rsidRPr="00FF1531">
        <w:rPr>
          <w:sz w:val="20"/>
          <w:szCs w:val="20"/>
        </w:rPr>
        <w:t>Broadberry</w:t>
      </w:r>
      <w:r w:rsidR="008E0D9B" w:rsidRPr="003E0561">
        <w:rPr>
          <w:i/>
          <w:sz w:val="20"/>
          <w:szCs w:val="20"/>
        </w:rPr>
        <w:t xml:space="preserve"> et</w:t>
      </w:r>
      <w:r w:rsidR="008E0D9B" w:rsidRPr="00FF1531">
        <w:rPr>
          <w:i/>
          <w:iCs/>
          <w:sz w:val="20"/>
          <w:szCs w:val="20"/>
        </w:rPr>
        <w:t xml:space="preserve"> al</w:t>
      </w:r>
      <w:r w:rsidR="008E0D9B" w:rsidRPr="00FF1531">
        <w:rPr>
          <w:sz w:val="20"/>
          <w:szCs w:val="20"/>
        </w:rPr>
        <w:t xml:space="preserve">.’s </w:t>
      </w:r>
      <w:r w:rsidR="00FA6C58" w:rsidRPr="002E6045">
        <w:rPr>
          <w:sz w:val="20"/>
          <w:szCs w:val="20"/>
        </w:rPr>
        <w:t>(</w:t>
      </w:r>
      <w:r w:rsidR="002E6045" w:rsidRPr="002E6045">
        <w:rPr>
          <w:sz w:val="20"/>
          <w:szCs w:val="20"/>
        </w:rPr>
        <w:t>2011a, p. 30</w:t>
      </w:r>
      <w:r w:rsidR="00FA6C58" w:rsidRPr="002E6045">
        <w:rPr>
          <w:sz w:val="20"/>
          <w:szCs w:val="20"/>
        </w:rPr>
        <w:t>)</w:t>
      </w:r>
      <w:r w:rsidR="00FA6C58">
        <w:rPr>
          <w:sz w:val="20"/>
          <w:szCs w:val="20"/>
        </w:rPr>
        <w:t xml:space="preserve"> </w:t>
      </w:r>
      <w:r w:rsidR="008E0D9B" w:rsidRPr="00FF1531">
        <w:rPr>
          <w:sz w:val="20"/>
          <w:szCs w:val="20"/>
        </w:rPr>
        <w:t>figure for the acreage under beans and peas in 1750 and 1800 is the most conservative of the four (Table 2).</w:t>
      </w:r>
      <w:r w:rsidR="00EE7E51">
        <w:rPr>
          <w:sz w:val="20"/>
          <w:szCs w:val="20"/>
        </w:rPr>
        <w:t xml:space="preserve"> </w:t>
      </w:r>
      <w:r w:rsidR="008E0D9B" w:rsidRPr="00FF1531">
        <w:rPr>
          <w:sz w:val="20"/>
          <w:szCs w:val="20"/>
        </w:rPr>
        <w:t>However, selecting acreages of 1.3 million for 1750 and 1800, rather than their 0.98 million and 0.83 million, respectively, would add only about 20 calories daily to their total for either date.</w:t>
      </w:r>
      <w:r w:rsidR="00EE7E51">
        <w:rPr>
          <w:sz w:val="20"/>
          <w:szCs w:val="20"/>
        </w:rPr>
        <w:t xml:space="preserve"> </w:t>
      </w:r>
      <w:r w:rsidR="008E0D9B" w:rsidRPr="00FF1531">
        <w:rPr>
          <w:sz w:val="20"/>
          <w:szCs w:val="20"/>
        </w:rPr>
        <w:t xml:space="preserve">We adjust accordingly (see </w:t>
      </w:r>
      <w:r w:rsidR="003E0561">
        <w:rPr>
          <w:sz w:val="20"/>
          <w:szCs w:val="20"/>
          <w:lang w:eastAsia="en-IE"/>
        </w:rPr>
        <w:t>Appendix</w:t>
      </w:r>
      <w:r w:rsidR="003E0561" w:rsidRPr="00FF1531">
        <w:rPr>
          <w:sz w:val="20"/>
          <w:szCs w:val="20"/>
        </w:rPr>
        <w:t xml:space="preserve"> </w:t>
      </w:r>
      <w:r w:rsidR="003E0561">
        <w:rPr>
          <w:sz w:val="20"/>
          <w:szCs w:val="20"/>
        </w:rPr>
        <w:t xml:space="preserve">Table </w:t>
      </w:r>
      <w:r w:rsidR="008E0D9B" w:rsidRPr="00FF1531">
        <w:rPr>
          <w:sz w:val="20"/>
          <w:szCs w:val="20"/>
        </w:rPr>
        <w:t>3).</w:t>
      </w:r>
    </w:p>
    <w:p w:rsidR="008E0D9B" w:rsidRPr="00FF1531" w:rsidRDefault="008E0D9B" w:rsidP="008E0D9B">
      <w:pPr>
        <w:spacing w:after="0" w:line="240" w:lineRule="auto"/>
        <w:ind w:firstLine="0"/>
        <w:jc w:val="both"/>
        <w:rPr>
          <w:sz w:val="20"/>
          <w:szCs w:val="20"/>
        </w:rPr>
      </w:pPr>
    </w:p>
    <w:p w:rsidR="008E0D9B" w:rsidRPr="00FF1531" w:rsidRDefault="0016682E" w:rsidP="008E0D9B">
      <w:pPr>
        <w:spacing w:after="0" w:line="240" w:lineRule="auto"/>
        <w:ind w:firstLine="0"/>
        <w:jc w:val="both"/>
        <w:rPr>
          <w:sz w:val="20"/>
          <w:szCs w:val="20"/>
        </w:rPr>
      </w:pPr>
      <w:r w:rsidRPr="00AE0367">
        <w:rPr>
          <w:i/>
          <w:iCs/>
          <w:spacing w:val="6"/>
          <w:sz w:val="20"/>
          <w:szCs w:val="20"/>
        </w:rPr>
        <w:t>Potatoes</w:t>
      </w:r>
      <w:r w:rsidRPr="00AE0367">
        <w:rPr>
          <w:spacing w:val="6"/>
          <w:sz w:val="20"/>
          <w:szCs w:val="20"/>
        </w:rPr>
        <w:t xml:space="preserve">: </w:t>
      </w:r>
      <w:r w:rsidR="008E0D9B" w:rsidRPr="00AE0367">
        <w:rPr>
          <w:spacing w:val="6"/>
          <w:sz w:val="20"/>
          <w:szCs w:val="20"/>
        </w:rPr>
        <w:t>Potatoes were not a significant part of the English diet until the late</w:t>
      </w:r>
      <w:r w:rsidR="008E0D9B" w:rsidRPr="00FF1531">
        <w:rPr>
          <w:sz w:val="20"/>
          <w:szCs w:val="20"/>
        </w:rPr>
        <w:t xml:space="preserve"> eighteenth century, so the rather different accounts of its calorific contribution in the four estimates do not affect the overall outcome much.</w:t>
      </w:r>
      <w:r w:rsidR="00EE7E51">
        <w:rPr>
          <w:sz w:val="20"/>
          <w:szCs w:val="20"/>
        </w:rPr>
        <w:t xml:space="preserve"> </w:t>
      </w:r>
      <w:r w:rsidR="006069CF">
        <w:rPr>
          <w:sz w:val="20"/>
          <w:szCs w:val="20"/>
        </w:rPr>
        <w:t xml:space="preserve">Roderick </w:t>
      </w:r>
      <w:r w:rsidR="008E0D9B" w:rsidRPr="00FF1531">
        <w:rPr>
          <w:sz w:val="20"/>
          <w:szCs w:val="20"/>
        </w:rPr>
        <w:t>Floud et</w:t>
      </w:r>
      <w:r w:rsidR="008E0D9B" w:rsidRPr="00FF1531">
        <w:rPr>
          <w:i/>
          <w:iCs/>
          <w:sz w:val="20"/>
          <w:szCs w:val="20"/>
        </w:rPr>
        <w:t xml:space="preserve"> al</w:t>
      </w:r>
      <w:r w:rsidR="008E0D9B" w:rsidRPr="00FF1531">
        <w:rPr>
          <w:sz w:val="20"/>
          <w:szCs w:val="20"/>
        </w:rPr>
        <w:t xml:space="preserve">. (2011, </w:t>
      </w:r>
      <w:r w:rsidR="009F5558" w:rsidRPr="0038292C">
        <w:rPr>
          <w:spacing w:val="12"/>
        </w:rPr>
        <w:br/>
      </w:r>
      <w:r w:rsidR="008E0D9B" w:rsidRPr="00FF1531">
        <w:rPr>
          <w:sz w:val="20"/>
          <w:szCs w:val="20"/>
        </w:rPr>
        <w:t xml:space="preserve">p. 2011) following the lead of Redcliffe Salaman (1949), reckon calorie supplies from potatoes at a daily average of 53 calories in 1700, 79 calories in 1750, and 154 calories in 1800. Broadberry </w:t>
      </w:r>
      <w:r w:rsidR="008E0D9B" w:rsidRPr="00FF1531">
        <w:rPr>
          <w:i/>
          <w:iCs/>
          <w:sz w:val="20"/>
          <w:szCs w:val="20"/>
        </w:rPr>
        <w:t>et al</w:t>
      </w:r>
      <w:r w:rsidR="008E0D9B" w:rsidRPr="00FF1531">
        <w:rPr>
          <w:sz w:val="20"/>
          <w:szCs w:val="20"/>
        </w:rPr>
        <w:t xml:space="preserve">. assume that output net of seed rose from 1.27 million bushels in the 1700s to 13.56 million bushels in the 1750s, and 26.7 million bushels in the 1800s. </w:t>
      </w:r>
      <w:r w:rsidR="00C83B20">
        <w:rPr>
          <w:sz w:val="20"/>
          <w:szCs w:val="20"/>
        </w:rPr>
        <w:t xml:space="preserve">Robert C. </w:t>
      </w:r>
      <w:r w:rsidR="008E0D9B" w:rsidRPr="00FF1531">
        <w:rPr>
          <w:sz w:val="20"/>
          <w:szCs w:val="20"/>
        </w:rPr>
        <w:t xml:space="preserve">Allen, following </w:t>
      </w:r>
      <w:r w:rsidR="00C83B20">
        <w:rPr>
          <w:sz w:val="20"/>
          <w:szCs w:val="20"/>
        </w:rPr>
        <w:t xml:space="preserve">Brian A. </w:t>
      </w:r>
      <w:r w:rsidR="008E0D9B" w:rsidRPr="00FF1531">
        <w:rPr>
          <w:sz w:val="20"/>
          <w:szCs w:val="20"/>
        </w:rPr>
        <w:t>Holderness (1989, p. 145), assumes that gross production, before deducting for seed, rose from 30 million bushels in 1750 to 45 million bushels in 1800.</w:t>
      </w:r>
      <w:r w:rsidR="00EE7E51">
        <w:rPr>
          <w:sz w:val="20"/>
          <w:szCs w:val="20"/>
        </w:rPr>
        <w:t xml:space="preserve"> </w:t>
      </w:r>
      <w:r w:rsidR="008E0D9B" w:rsidRPr="00FF1531">
        <w:rPr>
          <w:sz w:val="20"/>
          <w:szCs w:val="20"/>
        </w:rPr>
        <w:t>Muldrew (2011, pp. 142</w:t>
      </w:r>
      <w:r w:rsidR="00A02B43">
        <w:rPr>
          <w:sz w:val="20"/>
          <w:szCs w:val="20"/>
        </w:rPr>
        <w:t>‒</w:t>
      </w:r>
      <w:r w:rsidR="008E0D9B" w:rsidRPr="00FF1531">
        <w:rPr>
          <w:sz w:val="20"/>
          <w:szCs w:val="20"/>
        </w:rPr>
        <w:t>43) makes no allowance for potatoes.</w:t>
      </w:r>
      <w:r w:rsidR="00EE7E51">
        <w:rPr>
          <w:sz w:val="20"/>
          <w:szCs w:val="20"/>
        </w:rPr>
        <w:t xml:space="preserve"> </w:t>
      </w:r>
      <w:r w:rsidR="008E0D9B" w:rsidRPr="00FF1531">
        <w:rPr>
          <w:sz w:val="20"/>
          <w:szCs w:val="20"/>
        </w:rPr>
        <w:t>Assuming bushels of 60</w:t>
      </w:r>
      <w:r w:rsidR="005606DD">
        <w:rPr>
          <w:sz w:val="20"/>
          <w:szCs w:val="20"/>
        </w:rPr>
        <w:t xml:space="preserve"> </w:t>
      </w:r>
      <w:r w:rsidR="008E0D9B" w:rsidRPr="00FF1531">
        <w:rPr>
          <w:sz w:val="20"/>
          <w:szCs w:val="20"/>
        </w:rPr>
        <w:t>lbs</w:t>
      </w:r>
      <w:r w:rsidR="005606DD">
        <w:rPr>
          <w:sz w:val="20"/>
          <w:szCs w:val="20"/>
        </w:rPr>
        <w:t>.</w:t>
      </w:r>
      <w:r w:rsidR="008E0D9B" w:rsidRPr="00FF1531">
        <w:rPr>
          <w:sz w:val="20"/>
          <w:szCs w:val="20"/>
        </w:rPr>
        <w:t xml:space="preserve"> and 23 calories per ounce (Floud </w:t>
      </w:r>
      <w:r w:rsidR="008E0D9B" w:rsidRPr="00FF1531">
        <w:rPr>
          <w:i/>
          <w:sz w:val="20"/>
          <w:szCs w:val="20"/>
        </w:rPr>
        <w:t>et al</w:t>
      </w:r>
      <w:r w:rsidR="008E0D9B" w:rsidRPr="00FF1531">
        <w:rPr>
          <w:sz w:val="20"/>
          <w:szCs w:val="20"/>
        </w:rPr>
        <w:t>. 2011, p. 221), Broadberry</w:t>
      </w:r>
      <w:r w:rsidR="008E0D9B" w:rsidRPr="00AE0367">
        <w:rPr>
          <w:i/>
          <w:sz w:val="20"/>
          <w:szCs w:val="20"/>
        </w:rPr>
        <w:t xml:space="preserve"> et</w:t>
      </w:r>
      <w:r w:rsidR="008E0D9B" w:rsidRPr="00FF1531">
        <w:rPr>
          <w:i/>
          <w:iCs/>
          <w:sz w:val="20"/>
          <w:szCs w:val="20"/>
        </w:rPr>
        <w:t xml:space="preserve"> al</w:t>
      </w:r>
      <w:r w:rsidR="008E0D9B" w:rsidRPr="00FF1531">
        <w:rPr>
          <w:sz w:val="20"/>
          <w:szCs w:val="20"/>
        </w:rPr>
        <w:t>.’s output totals would have yielded a paltry 14 calories per head in 1700, but 132 calories in 1750 and 175 calories in 1800.</w:t>
      </w:r>
      <w:r w:rsidR="00EE7E51">
        <w:rPr>
          <w:sz w:val="20"/>
          <w:szCs w:val="20"/>
        </w:rPr>
        <w:t xml:space="preserve"> </w:t>
      </w:r>
      <w:r w:rsidR="008E0D9B" w:rsidRPr="00FF1531">
        <w:rPr>
          <w:sz w:val="20"/>
          <w:szCs w:val="20"/>
        </w:rPr>
        <w:t>Allen’s totals are more generous: deducting one-sixth of his crop estimates for seed would have left nearly 250 calories per diem in 1800, and one-third and two-thirds of that in 1700 and 1750, respectively.</w:t>
      </w:r>
      <w:r w:rsidR="00EE7E51">
        <w:rPr>
          <w:sz w:val="20"/>
          <w:szCs w:val="20"/>
        </w:rPr>
        <w:t xml:space="preserve"> </w:t>
      </w:r>
      <w:r w:rsidR="008E0D9B" w:rsidRPr="009F5558">
        <w:rPr>
          <w:spacing w:val="6"/>
          <w:sz w:val="20"/>
          <w:szCs w:val="20"/>
        </w:rPr>
        <w:t xml:space="preserve">But that calculation seems to assume that potatoes were destined for human </w:t>
      </w:r>
      <w:r w:rsidR="008E0D9B" w:rsidRPr="00FF1531">
        <w:rPr>
          <w:sz w:val="20"/>
          <w:szCs w:val="20"/>
        </w:rPr>
        <w:t>consumption only, which certainly was not the case (see e.g.</w:t>
      </w:r>
      <w:r w:rsidR="005606DD">
        <w:rPr>
          <w:sz w:val="20"/>
          <w:szCs w:val="20"/>
        </w:rPr>
        <w:t>,</w:t>
      </w:r>
      <w:r w:rsidR="008E0D9B" w:rsidRPr="00FF1531">
        <w:rPr>
          <w:sz w:val="20"/>
          <w:szCs w:val="20"/>
        </w:rPr>
        <w:t xml:space="preserve"> Moore-Colyer 1989, p. 358).</w:t>
      </w:r>
      <w:r w:rsidR="003E7264">
        <w:rPr>
          <w:sz w:val="20"/>
          <w:szCs w:val="20"/>
        </w:rPr>
        <w:t xml:space="preserve"> </w:t>
      </w:r>
      <w:r w:rsidR="008E0D9B" w:rsidRPr="00FF1531">
        <w:rPr>
          <w:sz w:val="20"/>
          <w:szCs w:val="20"/>
        </w:rPr>
        <w:t xml:space="preserve">The incomplete 1801 crop returns include nearly 76,679 acres under potatoes </w:t>
      </w:r>
      <w:r w:rsidR="008E0D9B" w:rsidRPr="007337C8">
        <w:rPr>
          <w:spacing w:val="6"/>
          <w:sz w:val="20"/>
          <w:szCs w:val="20"/>
        </w:rPr>
        <w:t>in England and Wales but, as Turner (1981, pp. 294</w:t>
      </w:r>
      <w:r w:rsidR="00A02B43" w:rsidRPr="007337C8">
        <w:rPr>
          <w:spacing w:val="6"/>
          <w:sz w:val="20"/>
          <w:szCs w:val="20"/>
        </w:rPr>
        <w:t>‒</w:t>
      </w:r>
      <w:r w:rsidR="008E0D9B" w:rsidRPr="007337C8">
        <w:rPr>
          <w:spacing w:val="6"/>
          <w:sz w:val="20"/>
          <w:szCs w:val="20"/>
        </w:rPr>
        <w:t>95, 297) notes, this is an</w:t>
      </w:r>
      <w:r w:rsidR="008E0D9B" w:rsidRPr="00FF1531">
        <w:rPr>
          <w:sz w:val="20"/>
          <w:szCs w:val="20"/>
        </w:rPr>
        <w:t xml:space="preserve"> underestimate for the parishes it covers since the returns exclude potatoes grown in small garden plots.</w:t>
      </w:r>
      <w:r w:rsidR="00EE7E51">
        <w:rPr>
          <w:sz w:val="20"/>
          <w:szCs w:val="20"/>
        </w:rPr>
        <w:t xml:space="preserve"> </w:t>
      </w:r>
      <w:r w:rsidR="008E0D9B" w:rsidRPr="003E7264">
        <w:rPr>
          <w:spacing w:val="6"/>
          <w:sz w:val="20"/>
          <w:szCs w:val="20"/>
        </w:rPr>
        <w:t>Assuming that this figure represented one-third of the national acreage (compare</w:t>
      </w:r>
      <w:r w:rsidR="008E0D9B" w:rsidRPr="00FF1531">
        <w:rPr>
          <w:sz w:val="20"/>
          <w:szCs w:val="20"/>
        </w:rPr>
        <w:t xml:space="preserve"> Turner 1981, p. 301) and a net yield of 5 tons per acre would yield a daily calorie supply of about 230 calories per head c. 1800</w:t>
      </w:r>
      <w:r w:rsidR="008E0D9B" w:rsidRPr="00FF1531">
        <w:rPr>
          <w:rStyle w:val="FootnoteReference"/>
          <w:sz w:val="20"/>
          <w:szCs w:val="20"/>
        </w:rPr>
        <w:footnoteReference w:id="1"/>
      </w:r>
      <w:r w:rsidR="008E0D9B" w:rsidRPr="00FF1531">
        <w:rPr>
          <w:sz w:val="20"/>
          <w:szCs w:val="20"/>
        </w:rPr>
        <w:t xml:space="preserve">, or closer to Allen’s </w:t>
      </w:r>
      <w:r w:rsidR="008E0D9B" w:rsidRPr="009F5558">
        <w:rPr>
          <w:spacing w:val="6"/>
          <w:sz w:val="20"/>
          <w:szCs w:val="20"/>
        </w:rPr>
        <w:t>estimate that those of Floud et</w:t>
      </w:r>
      <w:r w:rsidR="008E0D9B" w:rsidRPr="009F5558">
        <w:rPr>
          <w:i/>
          <w:iCs/>
          <w:spacing w:val="6"/>
          <w:sz w:val="20"/>
          <w:szCs w:val="20"/>
        </w:rPr>
        <w:t xml:space="preserve"> al</w:t>
      </w:r>
      <w:r w:rsidR="008E0D9B" w:rsidRPr="009F5558">
        <w:rPr>
          <w:spacing w:val="6"/>
          <w:sz w:val="20"/>
          <w:szCs w:val="20"/>
        </w:rPr>
        <w:t>. and Broadberry et</w:t>
      </w:r>
      <w:r w:rsidR="008E0D9B" w:rsidRPr="009F5558">
        <w:rPr>
          <w:i/>
          <w:iCs/>
          <w:spacing w:val="6"/>
          <w:sz w:val="20"/>
          <w:szCs w:val="20"/>
        </w:rPr>
        <w:t xml:space="preserve"> al</w:t>
      </w:r>
      <w:r w:rsidR="008E0D9B" w:rsidRPr="009F5558">
        <w:rPr>
          <w:spacing w:val="6"/>
          <w:sz w:val="20"/>
          <w:szCs w:val="20"/>
        </w:rPr>
        <w:t>.</w:t>
      </w:r>
      <w:r w:rsidR="00EE7E51" w:rsidRPr="009F5558">
        <w:rPr>
          <w:spacing w:val="6"/>
          <w:sz w:val="20"/>
          <w:szCs w:val="20"/>
        </w:rPr>
        <w:t xml:space="preserve"> </w:t>
      </w:r>
      <w:r w:rsidR="008E0D9B" w:rsidRPr="009F5558">
        <w:rPr>
          <w:spacing w:val="6"/>
          <w:sz w:val="20"/>
          <w:szCs w:val="20"/>
        </w:rPr>
        <w:t xml:space="preserve">We accordingly </w:t>
      </w:r>
      <w:r w:rsidR="008E0D9B" w:rsidRPr="00C83B20">
        <w:rPr>
          <w:spacing w:val="6"/>
          <w:sz w:val="20"/>
          <w:szCs w:val="20"/>
        </w:rPr>
        <w:t xml:space="preserve">add 100 calories to Broadberry </w:t>
      </w:r>
      <w:r w:rsidR="008E0D9B" w:rsidRPr="00C83B20">
        <w:rPr>
          <w:i/>
          <w:iCs/>
          <w:spacing w:val="6"/>
          <w:sz w:val="20"/>
          <w:szCs w:val="20"/>
        </w:rPr>
        <w:t>et al</w:t>
      </w:r>
      <w:r w:rsidR="008E0D9B" w:rsidRPr="00C83B20">
        <w:rPr>
          <w:spacing w:val="6"/>
          <w:sz w:val="20"/>
          <w:szCs w:val="20"/>
        </w:rPr>
        <w:t>.’s 1800 total, and 100 and 230 calories to</w:t>
      </w:r>
      <w:r w:rsidR="008E0D9B" w:rsidRPr="00FF1531">
        <w:rPr>
          <w:sz w:val="20"/>
          <w:szCs w:val="20"/>
        </w:rPr>
        <w:t xml:space="preserve"> Muldrew’s estimates for 1750 and 1800, respectively (</w:t>
      </w:r>
      <w:r w:rsidR="00ED3020">
        <w:rPr>
          <w:sz w:val="20"/>
          <w:szCs w:val="20"/>
          <w:lang w:eastAsia="en-IE"/>
        </w:rPr>
        <w:t>Appendix</w:t>
      </w:r>
      <w:r w:rsidR="00ED3020" w:rsidRPr="00FF1531">
        <w:rPr>
          <w:sz w:val="20"/>
          <w:szCs w:val="20"/>
        </w:rPr>
        <w:t xml:space="preserve"> </w:t>
      </w:r>
      <w:r w:rsidR="00ED3020">
        <w:rPr>
          <w:sz w:val="20"/>
          <w:szCs w:val="20"/>
        </w:rPr>
        <w:t xml:space="preserve">Table </w:t>
      </w:r>
      <w:r w:rsidR="008E0D9B" w:rsidRPr="00FF1531">
        <w:rPr>
          <w:sz w:val="20"/>
          <w:szCs w:val="20"/>
        </w:rPr>
        <w:t>3).</w:t>
      </w:r>
    </w:p>
    <w:p w:rsidR="008E0D9B" w:rsidRPr="00FF1531" w:rsidRDefault="008E0D9B" w:rsidP="008E0D9B">
      <w:pPr>
        <w:spacing w:after="0" w:line="240" w:lineRule="auto"/>
        <w:ind w:firstLine="0"/>
        <w:jc w:val="both"/>
        <w:rPr>
          <w:sz w:val="20"/>
          <w:szCs w:val="20"/>
        </w:rPr>
      </w:pPr>
      <w:r w:rsidRPr="00FF1531">
        <w:rPr>
          <w:sz w:val="20"/>
          <w:szCs w:val="20"/>
        </w:rPr>
        <w:tab/>
      </w:r>
    </w:p>
    <w:p w:rsidR="002D2259" w:rsidRDefault="00ED3020" w:rsidP="008E0D9B">
      <w:pPr>
        <w:spacing w:after="0" w:line="240" w:lineRule="auto"/>
        <w:ind w:firstLine="0"/>
        <w:jc w:val="both"/>
        <w:rPr>
          <w:sz w:val="20"/>
          <w:szCs w:val="20"/>
        </w:rPr>
      </w:pPr>
      <w:r w:rsidRPr="00FF1531">
        <w:rPr>
          <w:i/>
          <w:iCs/>
          <w:sz w:val="20"/>
          <w:szCs w:val="20"/>
        </w:rPr>
        <w:t>Foreign Trade</w:t>
      </w:r>
      <w:r w:rsidR="008E0D9B" w:rsidRPr="00FF1531">
        <w:rPr>
          <w:sz w:val="20"/>
          <w:szCs w:val="20"/>
        </w:rPr>
        <w:t>: While Muldrew’s estimates are generally on the high side, they are alone in not factoring in the contribution of foreign trade.</w:t>
      </w:r>
      <w:r w:rsidR="00EE7E51">
        <w:rPr>
          <w:sz w:val="20"/>
          <w:szCs w:val="20"/>
        </w:rPr>
        <w:t xml:space="preserve"> </w:t>
      </w:r>
      <w:r w:rsidR="008E0D9B" w:rsidRPr="00FF1531">
        <w:rPr>
          <w:sz w:val="20"/>
          <w:szCs w:val="20"/>
        </w:rPr>
        <w:t xml:space="preserve">By the late eighteenth </w:t>
      </w:r>
      <w:r w:rsidR="008E0D9B" w:rsidRPr="005108CC">
        <w:rPr>
          <w:spacing w:val="6"/>
          <w:sz w:val="20"/>
          <w:szCs w:val="20"/>
        </w:rPr>
        <w:t>century</w:t>
      </w:r>
      <w:r w:rsidR="005108CC">
        <w:rPr>
          <w:spacing w:val="6"/>
          <w:sz w:val="20"/>
          <w:szCs w:val="20"/>
        </w:rPr>
        <w:t xml:space="preserve">, </w:t>
      </w:r>
      <w:r w:rsidR="008E0D9B" w:rsidRPr="005108CC">
        <w:rPr>
          <w:spacing w:val="6"/>
          <w:sz w:val="20"/>
          <w:szCs w:val="20"/>
        </w:rPr>
        <w:t>England was a net importer of cereals, and Broadberry et</w:t>
      </w:r>
      <w:r w:rsidR="008E0D9B" w:rsidRPr="005108CC">
        <w:rPr>
          <w:i/>
          <w:iCs/>
          <w:spacing w:val="6"/>
          <w:sz w:val="20"/>
          <w:szCs w:val="20"/>
        </w:rPr>
        <w:t xml:space="preserve"> al</w:t>
      </w:r>
      <w:r w:rsidR="008E0D9B" w:rsidRPr="005108CC">
        <w:rPr>
          <w:spacing w:val="6"/>
          <w:sz w:val="20"/>
          <w:szCs w:val="20"/>
        </w:rPr>
        <w:t>. reckon that</w:t>
      </w:r>
      <w:r w:rsidR="008E0D9B" w:rsidRPr="00FF1531">
        <w:rPr>
          <w:sz w:val="20"/>
          <w:szCs w:val="20"/>
        </w:rPr>
        <w:t xml:space="preserve"> imports contributed 20 calories per capita daily in the 1750s and 166 calories in the 1800s. By the same token, one minor item omitted by both Muldrew and Broadberry et</w:t>
      </w:r>
      <w:r w:rsidR="008E0D9B" w:rsidRPr="00FF1531">
        <w:rPr>
          <w:i/>
          <w:iCs/>
          <w:sz w:val="20"/>
          <w:szCs w:val="20"/>
        </w:rPr>
        <w:t xml:space="preserve"> al</w:t>
      </w:r>
      <w:r w:rsidR="008E0D9B" w:rsidRPr="00FF1531">
        <w:rPr>
          <w:sz w:val="20"/>
          <w:szCs w:val="20"/>
        </w:rPr>
        <w:t>. is imports of beef, pork, and butter from Ireland.</w:t>
      </w:r>
      <w:r w:rsidR="00EE7E51">
        <w:rPr>
          <w:sz w:val="20"/>
          <w:szCs w:val="20"/>
        </w:rPr>
        <w:t xml:space="preserve"> </w:t>
      </w:r>
      <w:r w:rsidR="008E0D9B" w:rsidRPr="00FF1531">
        <w:rPr>
          <w:sz w:val="20"/>
          <w:szCs w:val="20"/>
        </w:rPr>
        <w:t>From an Irish perspective</w:t>
      </w:r>
      <w:r w:rsidR="00C61A2A">
        <w:rPr>
          <w:sz w:val="20"/>
          <w:szCs w:val="20"/>
        </w:rPr>
        <w:t>,</w:t>
      </w:r>
      <w:r w:rsidR="008E0D9B" w:rsidRPr="00FF1531">
        <w:rPr>
          <w:sz w:val="20"/>
          <w:szCs w:val="20"/>
        </w:rPr>
        <w:t xml:space="preserve"> these were not trivial in the late eighteenth century (Cullen 1968, pp. 69</w:t>
      </w:r>
      <w:r w:rsidR="009D1463">
        <w:rPr>
          <w:sz w:val="20"/>
          <w:szCs w:val="20"/>
        </w:rPr>
        <w:t>‒</w:t>
      </w:r>
      <w:r w:rsidR="008E0D9B" w:rsidRPr="00FF1531">
        <w:rPr>
          <w:sz w:val="20"/>
          <w:szCs w:val="20"/>
        </w:rPr>
        <w:t xml:space="preserve">70; Thomas 1982), although they would not have added much to calories per head in England—perhaps </w:t>
      </w:r>
      <w:r w:rsidR="008E0D9B" w:rsidRPr="007828E4">
        <w:rPr>
          <w:spacing w:val="6"/>
          <w:sz w:val="20"/>
          <w:szCs w:val="20"/>
        </w:rPr>
        <w:t>40</w:t>
      </w:r>
      <w:r w:rsidR="009D1463" w:rsidRPr="007828E4">
        <w:rPr>
          <w:spacing w:val="6"/>
          <w:sz w:val="20"/>
          <w:szCs w:val="20"/>
        </w:rPr>
        <w:t>‒</w:t>
      </w:r>
      <w:r w:rsidR="008E0D9B" w:rsidRPr="007828E4">
        <w:rPr>
          <w:spacing w:val="6"/>
          <w:sz w:val="20"/>
          <w:szCs w:val="20"/>
        </w:rPr>
        <w:t>50 calories c. 1800.</w:t>
      </w:r>
      <w:r w:rsidR="00EE7E51" w:rsidRPr="007828E4">
        <w:rPr>
          <w:spacing w:val="6"/>
          <w:sz w:val="20"/>
          <w:szCs w:val="20"/>
        </w:rPr>
        <w:t xml:space="preserve"> </w:t>
      </w:r>
      <w:r w:rsidR="008E0D9B" w:rsidRPr="007828E4">
        <w:rPr>
          <w:spacing w:val="6"/>
          <w:sz w:val="20"/>
          <w:szCs w:val="20"/>
        </w:rPr>
        <w:t xml:space="preserve">As noted earlier, the estimates seem not to allow either for </w:t>
      </w:r>
      <w:r w:rsidR="008E0D9B" w:rsidRPr="00FF1531">
        <w:rPr>
          <w:sz w:val="20"/>
          <w:szCs w:val="20"/>
        </w:rPr>
        <w:t>Irish grain exports to Great Britain, which were significant by the1830s and 1840s.</w:t>
      </w:r>
    </w:p>
    <w:p w:rsidR="002D2259" w:rsidRDefault="002D2259">
      <w:pPr>
        <w:spacing w:after="0" w:line="240" w:lineRule="auto"/>
        <w:ind w:firstLine="0"/>
        <w:rPr>
          <w:sz w:val="20"/>
          <w:szCs w:val="20"/>
        </w:rPr>
      </w:pPr>
      <w:r>
        <w:rPr>
          <w:sz w:val="20"/>
          <w:szCs w:val="20"/>
        </w:rPr>
        <w:br w:type="page"/>
      </w:r>
    </w:p>
    <w:p w:rsidR="008E0D9B" w:rsidRPr="00FF1531" w:rsidRDefault="00DF603C" w:rsidP="00DF603C">
      <w:pPr>
        <w:tabs>
          <w:tab w:val="left" w:pos="200"/>
        </w:tabs>
        <w:spacing w:after="0" w:line="240" w:lineRule="auto"/>
        <w:ind w:firstLine="0"/>
        <w:jc w:val="both"/>
        <w:rPr>
          <w:sz w:val="20"/>
          <w:szCs w:val="20"/>
        </w:rPr>
      </w:pPr>
      <w:r>
        <w:rPr>
          <w:sz w:val="20"/>
          <w:szCs w:val="20"/>
        </w:rPr>
        <w:lastRenderedPageBreak/>
        <w:tab/>
      </w:r>
      <w:r w:rsidR="008E0D9B" w:rsidRPr="00FF1531">
        <w:rPr>
          <w:sz w:val="20"/>
          <w:szCs w:val="20"/>
        </w:rPr>
        <w:t>None of the estimates allows either for imports of live cattle from Scotland.</w:t>
      </w:r>
      <w:r w:rsidR="00EE7E51">
        <w:rPr>
          <w:sz w:val="20"/>
          <w:szCs w:val="20"/>
        </w:rPr>
        <w:t xml:space="preserve"> </w:t>
      </w:r>
      <w:r w:rsidR="002048B4">
        <w:rPr>
          <w:sz w:val="20"/>
          <w:szCs w:val="20"/>
        </w:rPr>
        <w:t xml:space="preserve">Robert </w:t>
      </w:r>
      <w:r w:rsidR="008E0D9B" w:rsidRPr="00FF1531">
        <w:rPr>
          <w:sz w:val="20"/>
          <w:szCs w:val="20"/>
        </w:rPr>
        <w:t xml:space="preserve">Trow-Smith (1959, p. 226; see too Blackman 1975, p. 60) suggests that as many </w:t>
      </w:r>
      <w:r w:rsidR="002048B4" w:rsidRPr="0038292C">
        <w:rPr>
          <w:spacing w:val="12"/>
        </w:rPr>
        <w:br/>
      </w:r>
      <w:r w:rsidR="008E0D9B" w:rsidRPr="00FF1531">
        <w:rPr>
          <w:sz w:val="20"/>
          <w:szCs w:val="20"/>
        </w:rPr>
        <w:t>as 100,000 animals per year were imported at the end of the eighteenth century.</w:t>
      </w:r>
      <w:r w:rsidR="00EE7E51">
        <w:rPr>
          <w:sz w:val="20"/>
          <w:szCs w:val="20"/>
        </w:rPr>
        <w:t xml:space="preserve"> </w:t>
      </w:r>
      <w:r w:rsidR="008E0D9B" w:rsidRPr="00FF1531">
        <w:rPr>
          <w:sz w:val="20"/>
          <w:szCs w:val="20"/>
        </w:rPr>
        <w:t>Assuming an average carcass weight of 600</w:t>
      </w:r>
      <w:r w:rsidR="00C65365">
        <w:rPr>
          <w:sz w:val="20"/>
          <w:szCs w:val="20"/>
        </w:rPr>
        <w:t xml:space="preserve"> </w:t>
      </w:r>
      <w:r w:rsidR="008E0D9B" w:rsidRPr="00FF1531">
        <w:rPr>
          <w:sz w:val="20"/>
          <w:szCs w:val="20"/>
        </w:rPr>
        <w:t xml:space="preserve">lbs. worth 82.4 calories per oz. (Allen 2005; Floud </w:t>
      </w:r>
      <w:r w:rsidR="008E0D9B" w:rsidRPr="00FF1531">
        <w:rPr>
          <w:i/>
          <w:sz w:val="20"/>
          <w:szCs w:val="20"/>
        </w:rPr>
        <w:t>et al</w:t>
      </w:r>
      <w:r w:rsidR="008E0D9B" w:rsidRPr="00FF1531">
        <w:rPr>
          <w:sz w:val="20"/>
          <w:szCs w:val="20"/>
        </w:rPr>
        <w:t xml:space="preserve">. 2011, p. 210) would add a further 20/25 calories or so per head </w:t>
      </w:r>
      <w:r w:rsidR="002048B4" w:rsidRPr="0038292C">
        <w:rPr>
          <w:spacing w:val="12"/>
        </w:rPr>
        <w:br/>
      </w:r>
      <w:r w:rsidR="008E0D9B" w:rsidRPr="00FF1531">
        <w:rPr>
          <w:sz w:val="20"/>
          <w:szCs w:val="20"/>
        </w:rPr>
        <w:t>c. 1800.</w:t>
      </w:r>
    </w:p>
    <w:p w:rsidR="008E0D9B" w:rsidRPr="00FF1531" w:rsidRDefault="00EE7E51" w:rsidP="00EE7E51">
      <w:pPr>
        <w:tabs>
          <w:tab w:val="left" w:pos="200"/>
        </w:tabs>
        <w:spacing w:after="0" w:line="240" w:lineRule="auto"/>
        <w:ind w:firstLine="0"/>
        <w:jc w:val="both"/>
        <w:rPr>
          <w:sz w:val="20"/>
          <w:szCs w:val="20"/>
        </w:rPr>
      </w:pPr>
      <w:r>
        <w:rPr>
          <w:sz w:val="20"/>
          <w:szCs w:val="20"/>
        </w:rPr>
        <w:tab/>
      </w:r>
      <w:r w:rsidR="008E0D9B" w:rsidRPr="00FF1531">
        <w:rPr>
          <w:sz w:val="20"/>
          <w:szCs w:val="20"/>
        </w:rPr>
        <w:t xml:space="preserve">One significant imported item included only by Floud </w:t>
      </w:r>
      <w:r w:rsidR="008E0D9B" w:rsidRPr="00FF1531">
        <w:rPr>
          <w:i/>
          <w:sz w:val="20"/>
          <w:szCs w:val="20"/>
        </w:rPr>
        <w:t>et</w:t>
      </w:r>
      <w:r w:rsidR="008E0D9B" w:rsidRPr="00FF1531">
        <w:rPr>
          <w:i/>
          <w:iCs/>
          <w:sz w:val="20"/>
          <w:szCs w:val="20"/>
        </w:rPr>
        <w:t xml:space="preserve"> al</w:t>
      </w:r>
      <w:r w:rsidR="008E0D9B" w:rsidRPr="00FF1531">
        <w:rPr>
          <w:sz w:val="20"/>
          <w:szCs w:val="20"/>
        </w:rPr>
        <w:t>. is sugar, worth 72 calories in 1750 and 95 calories in 1800.</w:t>
      </w:r>
      <w:r>
        <w:rPr>
          <w:sz w:val="20"/>
          <w:szCs w:val="20"/>
        </w:rPr>
        <w:t xml:space="preserve"> </w:t>
      </w:r>
      <w:r w:rsidR="008E0D9B" w:rsidRPr="00FF1531">
        <w:rPr>
          <w:sz w:val="20"/>
          <w:szCs w:val="20"/>
        </w:rPr>
        <w:t xml:space="preserve">Wine and spirits imports account for an additional 11 calories in 1750 and 17 calories in 1800,and dairy products for 16 kcals in 1800 (Floud </w:t>
      </w:r>
      <w:r w:rsidR="008E0D9B" w:rsidRPr="00FF1531">
        <w:rPr>
          <w:i/>
          <w:sz w:val="20"/>
          <w:szCs w:val="20"/>
        </w:rPr>
        <w:t>et al</w:t>
      </w:r>
      <w:r w:rsidR="008E0D9B" w:rsidRPr="00FF1531">
        <w:rPr>
          <w:sz w:val="20"/>
          <w:szCs w:val="20"/>
        </w:rPr>
        <w:t>. 2011, pp. 217, 218).</w:t>
      </w:r>
    </w:p>
    <w:p w:rsidR="008E0D9B" w:rsidRPr="00FF1531" w:rsidRDefault="008E0D9B" w:rsidP="008E0D9B">
      <w:pPr>
        <w:widowControl w:val="0"/>
        <w:autoSpaceDE w:val="0"/>
        <w:autoSpaceDN w:val="0"/>
        <w:adjustRightInd w:val="0"/>
        <w:spacing w:after="0" w:line="240" w:lineRule="auto"/>
        <w:ind w:firstLine="0"/>
        <w:jc w:val="both"/>
        <w:rPr>
          <w:sz w:val="20"/>
          <w:szCs w:val="20"/>
        </w:rPr>
      </w:pPr>
    </w:p>
    <w:p w:rsidR="008E0D9B" w:rsidRPr="00FF1531" w:rsidRDefault="00DF603C" w:rsidP="008E0D9B">
      <w:pPr>
        <w:widowControl w:val="0"/>
        <w:autoSpaceDE w:val="0"/>
        <w:autoSpaceDN w:val="0"/>
        <w:adjustRightInd w:val="0"/>
        <w:spacing w:after="0" w:line="240" w:lineRule="auto"/>
        <w:ind w:firstLine="0"/>
        <w:jc w:val="both"/>
        <w:rPr>
          <w:sz w:val="20"/>
          <w:szCs w:val="20"/>
          <w:lang w:eastAsia="en-IE"/>
        </w:rPr>
      </w:pPr>
      <w:r w:rsidRPr="00FF1531">
        <w:rPr>
          <w:i/>
          <w:iCs/>
          <w:sz w:val="20"/>
          <w:szCs w:val="20"/>
        </w:rPr>
        <w:t>Fish, Hunting, and Poultry</w:t>
      </w:r>
      <w:r w:rsidRPr="00FF1531">
        <w:rPr>
          <w:sz w:val="20"/>
          <w:szCs w:val="20"/>
        </w:rPr>
        <w:t xml:space="preserve">: </w:t>
      </w:r>
      <w:r w:rsidR="008E0D9B" w:rsidRPr="00FF1531">
        <w:rPr>
          <w:sz w:val="20"/>
          <w:szCs w:val="20"/>
        </w:rPr>
        <w:t>Allen (2005, p. 20) is content to</w:t>
      </w:r>
      <w:r w:rsidR="008E0D9B" w:rsidRPr="00FF1531">
        <w:rPr>
          <w:sz w:val="20"/>
          <w:szCs w:val="20"/>
          <w:lang w:eastAsia="en-IE"/>
        </w:rPr>
        <w:t xml:space="preserve"> exclude calories from poultry, hunting, and fishing, since </w:t>
      </w:r>
      <w:r>
        <w:rPr>
          <w:sz w:val="20"/>
          <w:szCs w:val="20"/>
          <w:lang w:eastAsia="en-IE"/>
        </w:rPr>
        <w:t>“</w:t>
      </w:r>
      <w:r w:rsidR="008E0D9B" w:rsidRPr="00FF1531">
        <w:rPr>
          <w:sz w:val="20"/>
          <w:szCs w:val="20"/>
        </w:rPr>
        <w:t>it is hard to believe that those sources radically increased food availability</w:t>
      </w:r>
      <w:r>
        <w:rPr>
          <w:sz w:val="20"/>
          <w:szCs w:val="20"/>
        </w:rPr>
        <w:t>.”</w:t>
      </w:r>
      <w:r w:rsidR="00EE7E51">
        <w:rPr>
          <w:sz w:val="20"/>
          <w:szCs w:val="20"/>
          <w:lang w:eastAsia="en-IE"/>
        </w:rPr>
        <w:t xml:space="preserve"> </w:t>
      </w:r>
      <w:r w:rsidR="008E0D9B" w:rsidRPr="00FF1531">
        <w:rPr>
          <w:sz w:val="20"/>
          <w:szCs w:val="20"/>
          <w:lang w:eastAsia="en-IE"/>
        </w:rPr>
        <w:t xml:space="preserve">Still, Broadberry </w:t>
      </w:r>
      <w:r w:rsidR="008E0D9B" w:rsidRPr="00FF1531">
        <w:rPr>
          <w:i/>
          <w:iCs/>
          <w:sz w:val="20"/>
          <w:szCs w:val="20"/>
          <w:lang w:eastAsia="en-IE"/>
        </w:rPr>
        <w:t>et al.</w:t>
      </w:r>
      <w:r w:rsidR="008E0D9B" w:rsidRPr="00FF1531">
        <w:rPr>
          <w:sz w:val="20"/>
          <w:szCs w:val="20"/>
          <w:lang w:eastAsia="en-IE"/>
        </w:rPr>
        <w:t xml:space="preserve"> allow 200 calories for these items, while Floud </w:t>
      </w:r>
      <w:r w:rsidR="008E0D9B" w:rsidRPr="00FF1531">
        <w:rPr>
          <w:i/>
          <w:iCs/>
          <w:sz w:val="20"/>
          <w:szCs w:val="20"/>
          <w:lang w:eastAsia="en-IE"/>
        </w:rPr>
        <w:t>et al</w:t>
      </w:r>
      <w:r w:rsidR="008E0D9B" w:rsidRPr="00FF1531">
        <w:rPr>
          <w:sz w:val="20"/>
          <w:szCs w:val="20"/>
          <w:lang w:eastAsia="en-IE"/>
        </w:rPr>
        <w:t>. (2011, p. 167) allow 24 calories for fish in both 1750 and 1</w:t>
      </w:r>
      <w:r>
        <w:rPr>
          <w:sz w:val="20"/>
          <w:szCs w:val="20"/>
          <w:lang w:eastAsia="en-IE"/>
        </w:rPr>
        <w:t>800.</w:t>
      </w:r>
      <w:r w:rsidR="00EE7E51">
        <w:rPr>
          <w:sz w:val="20"/>
          <w:szCs w:val="20"/>
          <w:lang w:eastAsia="en-IE"/>
        </w:rPr>
        <w:t xml:space="preserve"> </w:t>
      </w:r>
      <w:r>
        <w:rPr>
          <w:sz w:val="20"/>
          <w:szCs w:val="20"/>
          <w:lang w:eastAsia="en-IE"/>
        </w:rPr>
        <w:t>Muldrew’</w:t>
      </w:r>
      <w:r w:rsidR="008E0D9B" w:rsidRPr="00FF1531">
        <w:rPr>
          <w:sz w:val="20"/>
          <w:szCs w:val="20"/>
          <w:lang w:eastAsia="en-IE"/>
        </w:rPr>
        <w:t xml:space="preserve">s allowances under this heading are atypically conservative: nothing for </w:t>
      </w:r>
      <w:r w:rsidR="008903D3" w:rsidRPr="0038292C">
        <w:rPr>
          <w:spacing w:val="12"/>
        </w:rPr>
        <w:br/>
      </w:r>
      <w:r w:rsidR="008E0D9B" w:rsidRPr="00FF1531">
        <w:rPr>
          <w:sz w:val="20"/>
          <w:szCs w:val="20"/>
          <w:lang w:eastAsia="en-IE"/>
        </w:rPr>
        <w:t>fish, and about 40 calories for poultry in 1770.</w:t>
      </w:r>
      <w:r w:rsidR="00EE7E51">
        <w:rPr>
          <w:sz w:val="20"/>
          <w:szCs w:val="20"/>
          <w:lang w:eastAsia="en-IE"/>
        </w:rPr>
        <w:t xml:space="preserve"> </w:t>
      </w:r>
      <w:r w:rsidR="008E0D9B" w:rsidRPr="00FF1531">
        <w:rPr>
          <w:sz w:val="20"/>
          <w:szCs w:val="20"/>
          <w:lang w:eastAsia="en-IE"/>
        </w:rPr>
        <w:t xml:space="preserve">In </w:t>
      </w:r>
      <w:r w:rsidR="004E0F2A">
        <w:rPr>
          <w:sz w:val="20"/>
          <w:szCs w:val="20"/>
          <w:lang w:eastAsia="en-IE"/>
        </w:rPr>
        <w:t>Appendix</w:t>
      </w:r>
      <w:r w:rsidR="004E0F2A" w:rsidRPr="00FF1531">
        <w:rPr>
          <w:sz w:val="20"/>
          <w:szCs w:val="20"/>
          <w:lang w:eastAsia="en-IE"/>
        </w:rPr>
        <w:t xml:space="preserve"> </w:t>
      </w:r>
      <w:r w:rsidR="004E0F2A">
        <w:rPr>
          <w:sz w:val="20"/>
          <w:szCs w:val="20"/>
          <w:lang w:eastAsia="en-IE"/>
        </w:rPr>
        <w:t xml:space="preserve">Table </w:t>
      </w:r>
      <w:r w:rsidR="008E0D9B" w:rsidRPr="00FF1531">
        <w:rPr>
          <w:sz w:val="20"/>
          <w:szCs w:val="20"/>
          <w:lang w:eastAsia="en-IE"/>
        </w:rPr>
        <w:t>3</w:t>
      </w:r>
      <w:r w:rsidR="00405FC8">
        <w:rPr>
          <w:sz w:val="20"/>
          <w:szCs w:val="20"/>
          <w:lang w:eastAsia="en-IE"/>
        </w:rPr>
        <w:t>,</w:t>
      </w:r>
      <w:r w:rsidR="008E0D9B" w:rsidRPr="00FF1531">
        <w:rPr>
          <w:sz w:val="20"/>
          <w:szCs w:val="20"/>
          <w:lang w:eastAsia="en-IE"/>
        </w:rPr>
        <w:t xml:space="preserve"> we allow for 100 calories for poultry and fish in our amendments to Muldrew’s totals in 1770 and 1800; and by the same token</w:t>
      </w:r>
      <w:r w:rsidR="00CE1055">
        <w:rPr>
          <w:sz w:val="20"/>
          <w:szCs w:val="20"/>
          <w:lang w:eastAsia="en-IE"/>
        </w:rPr>
        <w:t>,</w:t>
      </w:r>
      <w:r w:rsidR="008E0D9B" w:rsidRPr="00FF1531">
        <w:rPr>
          <w:sz w:val="20"/>
          <w:szCs w:val="20"/>
          <w:lang w:eastAsia="en-IE"/>
        </w:rPr>
        <w:t xml:space="preserve"> we deduct 100 calories from Broadberry </w:t>
      </w:r>
      <w:r w:rsidR="008E0D9B" w:rsidRPr="00FF1531">
        <w:rPr>
          <w:i/>
          <w:iCs/>
          <w:sz w:val="20"/>
          <w:szCs w:val="20"/>
          <w:lang w:eastAsia="en-IE"/>
        </w:rPr>
        <w:t>et al</w:t>
      </w:r>
      <w:r w:rsidR="008E0D9B" w:rsidRPr="00FF1531">
        <w:rPr>
          <w:sz w:val="20"/>
          <w:szCs w:val="20"/>
          <w:lang w:eastAsia="en-IE"/>
        </w:rPr>
        <w:t>.’s totals under this heading (Muldrew 2011, p. 154).</w:t>
      </w:r>
    </w:p>
    <w:p w:rsidR="008E0D9B" w:rsidRPr="00FF1531" w:rsidRDefault="004E0F2A" w:rsidP="004E0F2A">
      <w:pPr>
        <w:widowControl w:val="0"/>
        <w:tabs>
          <w:tab w:val="left" w:pos="200"/>
        </w:tabs>
        <w:autoSpaceDE w:val="0"/>
        <w:autoSpaceDN w:val="0"/>
        <w:adjustRightInd w:val="0"/>
        <w:spacing w:after="0" w:line="240" w:lineRule="auto"/>
        <w:ind w:firstLine="0"/>
        <w:jc w:val="both"/>
        <w:rPr>
          <w:sz w:val="20"/>
          <w:szCs w:val="20"/>
          <w:lang w:eastAsia="en-IE"/>
        </w:rPr>
      </w:pPr>
      <w:r>
        <w:rPr>
          <w:sz w:val="20"/>
          <w:szCs w:val="20"/>
          <w:lang w:eastAsia="en-IE"/>
        </w:rPr>
        <w:tab/>
      </w:r>
      <w:r w:rsidR="008E0D9B" w:rsidRPr="00FF1531">
        <w:rPr>
          <w:sz w:val="20"/>
          <w:szCs w:val="20"/>
          <w:lang w:eastAsia="en-IE"/>
        </w:rPr>
        <w:t xml:space="preserve">Holderness (1989, p. 149) reminds us that </w:t>
      </w:r>
      <w:r w:rsidR="0023088E">
        <w:rPr>
          <w:sz w:val="20"/>
          <w:szCs w:val="20"/>
          <w:lang w:eastAsia="en-IE"/>
        </w:rPr>
        <w:t>“</w:t>
      </w:r>
      <w:r w:rsidR="008E0D9B" w:rsidRPr="00FF1531">
        <w:rPr>
          <w:sz w:val="20"/>
          <w:szCs w:val="20"/>
          <w:lang w:eastAsia="en-IE"/>
        </w:rPr>
        <w:t>the quantity of meat…from rabbits was not negligible, and should not be ignored simply because we have no statistics</w:t>
      </w:r>
      <w:r w:rsidR="0023088E">
        <w:rPr>
          <w:sz w:val="20"/>
          <w:szCs w:val="20"/>
          <w:lang w:eastAsia="en-IE"/>
        </w:rPr>
        <w:t>.”</w:t>
      </w:r>
      <w:r w:rsidR="008E0D9B" w:rsidRPr="00FF1531">
        <w:rPr>
          <w:rStyle w:val="FootnoteReference"/>
          <w:sz w:val="20"/>
          <w:szCs w:val="20"/>
          <w:lang w:eastAsia="en-IE"/>
        </w:rPr>
        <w:footnoteReference w:id="2"/>
      </w:r>
      <w:r w:rsidR="00EE7E51">
        <w:rPr>
          <w:sz w:val="20"/>
          <w:szCs w:val="20"/>
          <w:lang w:eastAsia="en-IE"/>
        </w:rPr>
        <w:t xml:space="preserve"> </w:t>
      </w:r>
      <w:r w:rsidR="008E0D9B" w:rsidRPr="00FF1531">
        <w:rPr>
          <w:sz w:val="20"/>
          <w:szCs w:val="20"/>
          <w:lang w:eastAsia="en-IE"/>
        </w:rPr>
        <w:t xml:space="preserve">Yet on his reckoning that the annual output of rabbit warrens before 1800 was no higher than two or three million animals, and that the average rabbit yielded 1.5 </w:t>
      </w:r>
      <w:r w:rsidR="00945D5F" w:rsidRPr="00FF1531">
        <w:rPr>
          <w:sz w:val="20"/>
          <w:szCs w:val="20"/>
          <w:lang w:eastAsia="en-IE"/>
        </w:rPr>
        <w:t>lbs.</w:t>
      </w:r>
      <w:r w:rsidR="008E0D9B" w:rsidRPr="00FF1531">
        <w:rPr>
          <w:sz w:val="20"/>
          <w:szCs w:val="20"/>
          <w:lang w:eastAsia="en-IE"/>
        </w:rPr>
        <w:t xml:space="preserve"> of meat, farmed rabbits would have added only about three calories daily per head at most </w:t>
      </w:r>
      <w:r w:rsidR="004E7191" w:rsidRPr="0038292C">
        <w:rPr>
          <w:spacing w:val="12"/>
        </w:rPr>
        <w:br/>
      </w:r>
      <w:r w:rsidR="008E0D9B" w:rsidRPr="004E7191">
        <w:rPr>
          <w:spacing w:val="6"/>
          <w:sz w:val="20"/>
          <w:szCs w:val="20"/>
          <w:lang w:eastAsia="en-IE"/>
        </w:rPr>
        <w:t>in 1750</w:t>
      </w:r>
      <w:r w:rsidR="004E7191" w:rsidRPr="004E7191">
        <w:rPr>
          <w:spacing w:val="6"/>
          <w:sz w:val="20"/>
          <w:szCs w:val="20"/>
          <w:lang w:eastAsia="en-IE"/>
        </w:rPr>
        <w:t>‒</w:t>
      </w:r>
      <w:r w:rsidR="008E0D9B" w:rsidRPr="004E7191">
        <w:rPr>
          <w:spacing w:val="6"/>
          <w:sz w:val="20"/>
          <w:szCs w:val="20"/>
          <w:lang w:eastAsia="en-IE"/>
        </w:rPr>
        <w:t>1800. Wild rabbits cannot have added more than a few more calories</w:t>
      </w:r>
      <w:r w:rsidR="008E0D9B" w:rsidRPr="00FF1531">
        <w:rPr>
          <w:sz w:val="20"/>
          <w:szCs w:val="20"/>
          <w:lang w:eastAsia="en-IE"/>
        </w:rPr>
        <w:t>.</w:t>
      </w:r>
      <w:r w:rsidR="00EE7E51">
        <w:rPr>
          <w:sz w:val="20"/>
          <w:szCs w:val="20"/>
          <w:lang w:eastAsia="en-IE"/>
        </w:rPr>
        <w:t xml:space="preserve"> </w:t>
      </w:r>
      <w:r w:rsidR="004E7191" w:rsidRPr="0038292C">
        <w:rPr>
          <w:spacing w:val="12"/>
        </w:rPr>
        <w:br/>
      </w:r>
      <w:r w:rsidR="008E0D9B" w:rsidRPr="00FF1531">
        <w:rPr>
          <w:sz w:val="20"/>
          <w:szCs w:val="20"/>
          <w:lang w:eastAsia="en-IE"/>
        </w:rPr>
        <w:t>Other wild animals and birds must have contributed even less to aggregate calorie availability.</w:t>
      </w:r>
      <w:r w:rsidR="00EE7E51">
        <w:rPr>
          <w:sz w:val="20"/>
          <w:szCs w:val="20"/>
          <w:lang w:eastAsia="en-IE"/>
        </w:rPr>
        <w:t xml:space="preserve"> </w:t>
      </w:r>
    </w:p>
    <w:p w:rsidR="008E0D9B" w:rsidRPr="00FF1531" w:rsidRDefault="008E0D9B" w:rsidP="008E0D9B">
      <w:pPr>
        <w:spacing w:after="0" w:line="240" w:lineRule="auto"/>
        <w:ind w:firstLine="0"/>
        <w:jc w:val="both"/>
        <w:rPr>
          <w:sz w:val="20"/>
          <w:szCs w:val="20"/>
        </w:rPr>
      </w:pPr>
    </w:p>
    <w:p w:rsidR="003F4ACA" w:rsidRPr="00FF1531" w:rsidRDefault="004E0F2A" w:rsidP="003F4ACA">
      <w:pPr>
        <w:spacing w:after="0" w:line="240" w:lineRule="auto"/>
        <w:ind w:firstLine="0"/>
        <w:jc w:val="both"/>
        <w:rPr>
          <w:sz w:val="20"/>
          <w:szCs w:val="20"/>
          <w:lang w:eastAsia="en-IE"/>
        </w:rPr>
      </w:pPr>
      <w:r w:rsidRPr="00FF1531">
        <w:rPr>
          <w:i/>
          <w:iCs/>
          <w:sz w:val="20"/>
          <w:szCs w:val="20"/>
          <w:lang w:eastAsia="en-IE"/>
        </w:rPr>
        <w:t>Conversion Rates</w:t>
      </w:r>
      <w:r w:rsidRPr="00FF1531">
        <w:rPr>
          <w:sz w:val="20"/>
          <w:szCs w:val="20"/>
          <w:lang w:eastAsia="en-IE"/>
        </w:rPr>
        <w:t xml:space="preserve">: </w:t>
      </w:r>
      <w:r w:rsidR="008E0D9B" w:rsidRPr="00FF1531">
        <w:rPr>
          <w:sz w:val="20"/>
          <w:szCs w:val="20"/>
          <w:lang w:eastAsia="en-IE"/>
        </w:rPr>
        <w:t xml:space="preserve">A feature of Floud </w:t>
      </w:r>
      <w:r w:rsidR="008E0D9B" w:rsidRPr="00FF1531">
        <w:rPr>
          <w:i/>
          <w:iCs/>
          <w:sz w:val="20"/>
          <w:szCs w:val="20"/>
          <w:lang w:eastAsia="en-IE"/>
        </w:rPr>
        <w:t>et al</w:t>
      </w:r>
      <w:r w:rsidR="008E0D9B" w:rsidRPr="00FF1531">
        <w:rPr>
          <w:sz w:val="20"/>
          <w:szCs w:val="20"/>
          <w:lang w:eastAsia="en-IE"/>
        </w:rPr>
        <w:t>.’s estimate (2011, p. 154) is their use of coefficients generated by U.S. output estimates to calculate the proportions of English crop outputs not entering human consumption.</w:t>
      </w:r>
      <w:r w:rsidR="00EE7E51">
        <w:rPr>
          <w:sz w:val="20"/>
          <w:szCs w:val="20"/>
          <w:lang w:eastAsia="en-IE"/>
        </w:rPr>
        <w:t xml:space="preserve"> </w:t>
      </w:r>
      <w:r w:rsidR="008E0D9B" w:rsidRPr="00FF1531">
        <w:rPr>
          <w:sz w:val="20"/>
          <w:szCs w:val="20"/>
          <w:lang w:eastAsia="en-IE"/>
        </w:rPr>
        <w:t>They also employ U.S. conversion ratios to correct for milling losses and distributional losses.</w:t>
      </w:r>
      <w:r w:rsidR="00EE7E51">
        <w:rPr>
          <w:sz w:val="20"/>
          <w:szCs w:val="20"/>
          <w:lang w:eastAsia="en-IE"/>
        </w:rPr>
        <w:t xml:space="preserve"> </w:t>
      </w:r>
      <w:r w:rsidR="008E0D9B" w:rsidRPr="00FF1531">
        <w:rPr>
          <w:sz w:val="20"/>
          <w:szCs w:val="20"/>
          <w:lang w:eastAsia="en-IE"/>
        </w:rPr>
        <w:t xml:space="preserve">The relevant ratios are given in </w:t>
      </w:r>
      <w:r w:rsidR="004B0A8B">
        <w:rPr>
          <w:sz w:val="20"/>
          <w:szCs w:val="20"/>
          <w:lang w:eastAsia="en-IE"/>
        </w:rPr>
        <w:t>Appendix</w:t>
      </w:r>
      <w:r w:rsidR="004B0A8B" w:rsidRPr="00FF1531">
        <w:rPr>
          <w:sz w:val="20"/>
          <w:szCs w:val="20"/>
          <w:lang w:eastAsia="en-IE"/>
        </w:rPr>
        <w:t xml:space="preserve"> </w:t>
      </w:r>
      <w:r w:rsidR="004B0A8B">
        <w:rPr>
          <w:sz w:val="20"/>
          <w:szCs w:val="20"/>
          <w:lang w:eastAsia="en-IE"/>
        </w:rPr>
        <w:t xml:space="preserve">Table </w:t>
      </w:r>
      <w:r w:rsidR="008E0D9B" w:rsidRPr="00FF1531">
        <w:rPr>
          <w:sz w:val="20"/>
          <w:szCs w:val="20"/>
          <w:lang w:eastAsia="en-IE"/>
        </w:rPr>
        <w:t>1.</w:t>
      </w:r>
      <w:r w:rsidR="00EE7E51">
        <w:rPr>
          <w:sz w:val="20"/>
          <w:szCs w:val="20"/>
          <w:lang w:eastAsia="en-IE"/>
        </w:rPr>
        <w:t xml:space="preserve"> </w:t>
      </w:r>
      <w:r w:rsidR="008E0D9B" w:rsidRPr="00FF1531">
        <w:rPr>
          <w:sz w:val="20"/>
          <w:szCs w:val="20"/>
          <w:lang w:eastAsia="en-IE"/>
        </w:rPr>
        <w:t xml:space="preserve">Given that crop yield ratios were about 10:1 in England and Wales at this time, Floud </w:t>
      </w:r>
      <w:r w:rsidR="008E0D9B" w:rsidRPr="00FF1531">
        <w:rPr>
          <w:i/>
          <w:iCs/>
          <w:sz w:val="20"/>
          <w:szCs w:val="20"/>
          <w:lang w:eastAsia="en-IE"/>
        </w:rPr>
        <w:t>et al</w:t>
      </w:r>
      <w:r w:rsidR="008E0D9B" w:rsidRPr="00FF1531">
        <w:rPr>
          <w:sz w:val="20"/>
          <w:szCs w:val="20"/>
          <w:lang w:eastAsia="en-IE"/>
        </w:rPr>
        <w:t>.’s assumed proportions of wheat, barley, and rye entering gross production in column 1 seem on the low side.</w:t>
      </w:r>
      <w:r w:rsidR="00EE7E51">
        <w:rPr>
          <w:sz w:val="20"/>
          <w:szCs w:val="20"/>
          <w:lang w:eastAsia="en-IE"/>
        </w:rPr>
        <w:t xml:space="preserve"> </w:t>
      </w:r>
      <w:r w:rsidR="008E0D9B" w:rsidRPr="00FF1531">
        <w:rPr>
          <w:sz w:val="20"/>
          <w:szCs w:val="20"/>
          <w:lang w:eastAsia="en-IE"/>
        </w:rPr>
        <w:t xml:space="preserve">Similarly, comparing </w:t>
      </w:r>
      <w:r w:rsidR="00473686">
        <w:rPr>
          <w:sz w:val="20"/>
          <w:szCs w:val="20"/>
          <w:lang w:eastAsia="en-IE"/>
        </w:rPr>
        <w:t xml:space="preserve">columns </w:t>
      </w:r>
      <w:r w:rsidR="003F4ACA" w:rsidRPr="00FF1531">
        <w:rPr>
          <w:sz w:val="20"/>
          <w:szCs w:val="20"/>
          <w:lang w:eastAsia="en-IE"/>
        </w:rPr>
        <w:t>2 and 3 suggests that the assumed losses from processing and distribution may be too high except, perhaps, in the case of barley.</w:t>
      </w:r>
    </w:p>
    <w:p w:rsidR="00E4215E" w:rsidRDefault="004E0F2A" w:rsidP="00586C97">
      <w:pPr>
        <w:tabs>
          <w:tab w:val="left" w:pos="200"/>
        </w:tabs>
        <w:spacing w:after="0" w:line="240" w:lineRule="auto"/>
        <w:ind w:firstLine="0"/>
        <w:jc w:val="both"/>
        <w:rPr>
          <w:sz w:val="20"/>
          <w:szCs w:val="20"/>
          <w:lang w:eastAsia="en-IE"/>
        </w:rPr>
      </w:pPr>
      <w:r>
        <w:rPr>
          <w:sz w:val="20"/>
          <w:szCs w:val="20"/>
          <w:lang w:eastAsia="en-IE"/>
        </w:rPr>
        <w:tab/>
      </w:r>
      <w:r w:rsidR="003F4ACA" w:rsidRPr="00FF1531">
        <w:rPr>
          <w:sz w:val="20"/>
          <w:szCs w:val="20"/>
          <w:lang w:eastAsia="en-IE"/>
        </w:rPr>
        <w:t>Although in genera</w:t>
      </w:r>
      <w:r w:rsidR="00CA3A75">
        <w:rPr>
          <w:sz w:val="20"/>
          <w:szCs w:val="20"/>
          <w:lang w:eastAsia="en-IE"/>
        </w:rPr>
        <w:t>l Muldrew’s estimates seem over</w:t>
      </w:r>
      <w:r w:rsidR="003F4ACA" w:rsidRPr="00FF1531">
        <w:rPr>
          <w:sz w:val="20"/>
          <w:szCs w:val="20"/>
          <w:lang w:eastAsia="en-IE"/>
        </w:rPr>
        <w:t xml:space="preserve">generous, </w:t>
      </w:r>
      <w:r w:rsidR="004B0A8B">
        <w:rPr>
          <w:sz w:val="20"/>
          <w:szCs w:val="20"/>
          <w:lang w:eastAsia="en-IE"/>
        </w:rPr>
        <w:t>Appendix</w:t>
      </w:r>
      <w:r w:rsidR="004B0A8B" w:rsidRPr="00FF1531">
        <w:rPr>
          <w:sz w:val="20"/>
          <w:szCs w:val="20"/>
          <w:lang w:eastAsia="en-IE"/>
        </w:rPr>
        <w:t xml:space="preserve"> </w:t>
      </w:r>
      <w:r w:rsidR="004B0A8B">
        <w:rPr>
          <w:sz w:val="20"/>
          <w:szCs w:val="20"/>
          <w:lang w:eastAsia="en-IE"/>
        </w:rPr>
        <w:t xml:space="preserve">Table </w:t>
      </w:r>
      <w:r w:rsidR="003F4ACA" w:rsidRPr="00FF1531">
        <w:rPr>
          <w:sz w:val="20"/>
          <w:szCs w:val="20"/>
          <w:lang w:eastAsia="en-IE"/>
        </w:rPr>
        <w:t xml:space="preserve">2 </w:t>
      </w:r>
      <w:r w:rsidR="003F4ACA" w:rsidRPr="00740886">
        <w:rPr>
          <w:spacing w:val="6"/>
          <w:sz w:val="20"/>
          <w:szCs w:val="20"/>
          <w:lang w:eastAsia="en-IE"/>
        </w:rPr>
        <w:t>suggests that his calorie conversion rates are conservative.</w:t>
      </w:r>
      <w:r w:rsidR="00EE7E51" w:rsidRPr="00740886">
        <w:rPr>
          <w:spacing w:val="6"/>
          <w:sz w:val="20"/>
          <w:szCs w:val="20"/>
          <w:lang w:eastAsia="en-IE"/>
        </w:rPr>
        <w:t xml:space="preserve"> </w:t>
      </w:r>
      <w:r w:rsidR="003F4ACA" w:rsidRPr="00740886">
        <w:rPr>
          <w:spacing w:val="6"/>
          <w:sz w:val="20"/>
          <w:szCs w:val="20"/>
          <w:lang w:eastAsia="en-IE"/>
        </w:rPr>
        <w:t>The rates used by</w:t>
      </w:r>
      <w:r w:rsidR="003F4ACA" w:rsidRPr="00FF1531">
        <w:rPr>
          <w:sz w:val="20"/>
          <w:szCs w:val="20"/>
          <w:lang w:eastAsia="en-IE"/>
        </w:rPr>
        <w:t xml:space="preserve"> Broadberry </w:t>
      </w:r>
      <w:r w:rsidR="003F4ACA" w:rsidRPr="00FF1531">
        <w:rPr>
          <w:i/>
          <w:iCs/>
          <w:sz w:val="20"/>
          <w:szCs w:val="20"/>
          <w:lang w:eastAsia="en-IE"/>
        </w:rPr>
        <w:t>et al</w:t>
      </w:r>
      <w:r w:rsidR="003F4ACA" w:rsidRPr="00FF1531">
        <w:rPr>
          <w:sz w:val="20"/>
          <w:szCs w:val="20"/>
          <w:lang w:eastAsia="en-IE"/>
        </w:rPr>
        <w:t xml:space="preserve">. and Floud </w:t>
      </w:r>
      <w:r w:rsidR="003F4ACA" w:rsidRPr="00FF1531">
        <w:rPr>
          <w:i/>
          <w:iCs/>
          <w:sz w:val="20"/>
          <w:szCs w:val="20"/>
          <w:lang w:eastAsia="en-IE"/>
        </w:rPr>
        <w:t>et al</w:t>
      </w:r>
      <w:r w:rsidR="003F4ACA" w:rsidRPr="00FF1531">
        <w:rPr>
          <w:sz w:val="20"/>
          <w:szCs w:val="20"/>
          <w:lang w:eastAsia="en-IE"/>
        </w:rPr>
        <w:t xml:space="preserve">. tally with those in </w:t>
      </w:r>
      <w:r w:rsidR="00586C97">
        <w:rPr>
          <w:sz w:val="20"/>
          <w:szCs w:val="20"/>
          <w:lang w:eastAsia="en-IE"/>
        </w:rPr>
        <w:t xml:space="preserve">Robert A. </w:t>
      </w:r>
      <w:r w:rsidR="003F4ACA" w:rsidRPr="00FF1531">
        <w:rPr>
          <w:sz w:val="20"/>
          <w:szCs w:val="20"/>
          <w:lang w:eastAsia="en-IE"/>
        </w:rPr>
        <w:t xml:space="preserve">McCance and </w:t>
      </w:r>
      <w:r w:rsidR="00586C97">
        <w:rPr>
          <w:sz w:val="20"/>
          <w:szCs w:val="20"/>
          <w:lang w:eastAsia="en-IE"/>
        </w:rPr>
        <w:t xml:space="preserve">Elsie </w:t>
      </w:r>
      <w:r w:rsidR="00586C97" w:rsidRPr="0038292C">
        <w:rPr>
          <w:spacing w:val="12"/>
        </w:rPr>
        <w:br/>
      </w:r>
      <w:r w:rsidR="00586C97">
        <w:rPr>
          <w:sz w:val="20"/>
          <w:szCs w:val="20"/>
          <w:lang w:eastAsia="en-IE"/>
        </w:rPr>
        <w:t xml:space="preserve">M. </w:t>
      </w:r>
      <w:r w:rsidR="003F4ACA" w:rsidRPr="00FF1531">
        <w:rPr>
          <w:sz w:val="20"/>
          <w:szCs w:val="20"/>
          <w:lang w:eastAsia="en-IE"/>
        </w:rPr>
        <w:t>Widdowson (1960).</w:t>
      </w:r>
      <w:r w:rsidR="00586C97">
        <w:rPr>
          <w:sz w:val="20"/>
          <w:szCs w:val="20"/>
          <w:lang w:eastAsia="en-IE"/>
        </w:rPr>
        <w:t xml:space="preserve"> </w:t>
      </w:r>
    </w:p>
    <w:p w:rsidR="004D5CEB" w:rsidRDefault="00E4215E" w:rsidP="00403BB1">
      <w:pPr>
        <w:tabs>
          <w:tab w:val="left" w:pos="200"/>
        </w:tabs>
        <w:spacing w:after="0" w:line="240" w:lineRule="auto"/>
        <w:ind w:firstLine="0"/>
        <w:jc w:val="both"/>
        <w:rPr>
          <w:sz w:val="20"/>
          <w:szCs w:val="20"/>
          <w:lang w:eastAsia="en-IE"/>
        </w:rPr>
      </w:pPr>
      <w:r>
        <w:rPr>
          <w:sz w:val="20"/>
          <w:szCs w:val="20"/>
          <w:lang w:eastAsia="en-IE"/>
        </w:rPr>
        <w:tab/>
      </w:r>
      <w:r w:rsidR="004B0A8B">
        <w:rPr>
          <w:sz w:val="20"/>
          <w:szCs w:val="20"/>
          <w:lang w:eastAsia="en-IE"/>
        </w:rPr>
        <w:t xml:space="preserve">Appendix </w:t>
      </w:r>
      <w:r w:rsidR="003F4ACA" w:rsidRPr="00FF1531">
        <w:rPr>
          <w:sz w:val="20"/>
          <w:szCs w:val="20"/>
          <w:lang w:eastAsia="en-IE"/>
        </w:rPr>
        <w:t xml:space="preserve">Table 3 summarizes the amendments suggested above to the estimates </w:t>
      </w:r>
      <w:r w:rsidR="001E0583" w:rsidRPr="0038292C">
        <w:rPr>
          <w:spacing w:val="12"/>
        </w:rPr>
        <w:br/>
      </w:r>
      <w:r w:rsidR="003F4ACA" w:rsidRPr="00CA3A75">
        <w:rPr>
          <w:spacing w:val="6"/>
          <w:sz w:val="20"/>
          <w:szCs w:val="20"/>
          <w:lang w:eastAsia="en-IE"/>
        </w:rPr>
        <w:t xml:space="preserve">of Broadberry </w:t>
      </w:r>
      <w:r w:rsidR="003F4ACA" w:rsidRPr="00CA3A75">
        <w:rPr>
          <w:i/>
          <w:iCs/>
          <w:spacing w:val="6"/>
          <w:sz w:val="20"/>
          <w:szCs w:val="20"/>
          <w:lang w:eastAsia="en-IE"/>
        </w:rPr>
        <w:t>et al</w:t>
      </w:r>
      <w:r w:rsidR="003F4ACA" w:rsidRPr="00CA3A75">
        <w:rPr>
          <w:spacing w:val="6"/>
          <w:sz w:val="20"/>
          <w:szCs w:val="20"/>
          <w:lang w:eastAsia="en-IE"/>
        </w:rPr>
        <w:t>. for 1750 and 1800 and of Muldrew for 1770 and 1800.</w:t>
      </w:r>
      <w:r w:rsidR="003F4ACA" w:rsidRPr="00FF1531">
        <w:rPr>
          <w:sz w:val="20"/>
          <w:szCs w:val="20"/>
          <w:lang w:eastAsia="en-IE"/>
        </w:rPr>
        <w:t xml:space="preserve"> </w:t>
      </w:r>
      <w:r w:rsidR="00003A33" w:rsidRPr="0038292C">
        <w:rPr>
          <w:spacing w:val="12"/>
        </w:rPr>
        <w:br/>
      </w:r>
      <w:r w:rsidR="003F4ACA" w:rsidRPr="00FF1531">
        <w:rPr>
          <w:sz w:val="20"/>
          <w:szCs w:val="20"/>
          <w:lang w:eastAsia="en-IE"/>
        </w:rPr>
        <w:t xml:space="preserve">Gaps between the implied revised aggregates remain but they are now much smaller </w:t>
      </w:r>
      <w:r w:rsidR="001E0583" w:rsidRPr="0038292C">
        <w:rPr>
          <w:spacing w:val="12"/>
        </w:rPr>
        <w:br/>
      </w:r>
      <w:r w:rsidR="003F4ACA" w:rsidRPr="00003A33">
        <w:rPr>
          <w:spacing w:val="6"/>
          <w:sz w:val="20"/>
          <w:szCs w:val="20"/>
          <w:lang w:eastAsia="en-IE"/>
        </w:rPr>
        <w:t>than before and, as explained in the main text above, consistent with a common</w:t>
      </w:r>
      <w:r w:rsidR="003F4ACA" w:rsidRPr="00FF1531">
        <w:rPr>
          <w:sz w:val="20"/>
          <w:szCs w:val="20"/>
          <w:lang w:eastAsia="en-IE"/>
        </w:rPr>
        <w:t xml:space="preserve"> interpretation of conditions on the eve of the Industrial Revolution.</w:t>
      </w:r>
    </w:p>
    <w:p w:rsidR="004D5CEB" w:rsidRDefault="004D5CEB">
      <w:pPr>
        <w:spacing w:after="0" w:line="240" w:lineRule="auto"/>
        <w:ind w:firstLine="0"/>
        <w:rPr>
          <w:sz w:val="20"/>
          <w:szCs w:val="20"/>
          <w:lang w:eastAsia="en-IE"/>
        </w:rPr>
      </w:pPr>
      <w:r>
        <w:rPr>
          <w:sz w:val="20"/>
          <w:szCs w:val="20"/>
          <w:lang w:eastAsia="en-IE"/>
        </w:rPr>
        <w:br w:type="page"/>
      </w:r>
    </w:p>
    <w:p w:rsidR="00EF506C" w:rsidRPr="00B969E1" w:rsidRDefault="00B969E1" w:rsidP="00B969E1">
      <w:pPr>
        <w:spacing w:after="0" w:line="240" w:lineRule="auto"/>
        <w:ind w:firstLine="0"/>
        <w:jc w:val="center"/>
        <w:rPr>
          <w:smallCaps/>
          <w:sz w:val="18"/>
          <w:szCs w:val="18"/>
          <w:lang w:eastAsia="en-IE"/>
        </w:rPr>
      </w:pPr>
      <w:r w:rsidRPr="00B969E1">
        <w:rPr>
          <w:smallCaps/>
          <w:sz w:val="18"/>
          <w:szCs w:val="18"/>
          <w:lang w:eastAsia="en-IE"/>
        </w:rPr>
        <w:lastRenderedPageBreak/>
        <w:t>Appendix Table 1</w:t>
      </w:r>
    </w:p>
    <w:p w:rsidR="00B969E1" w:rsidRPr="00B969E1" w:rsidRDefault="00B969E1" w:rsidP="00B969E1">
      <w:pPr>
        <w:spacing w:after="0" w:line="240" w:lineRule="auto"/>
        <w:ind w:firstLine="0"/>
        <w:jc w:val="center"/>
        <w:rPr>
          <w:sz w:val="18"/>
          <w:szCs w:val="18"/>
          <w:lang w:eastAsia="en-IE"/>
        </w:rPr>
      </w:pPr>
      <w:r w:rsidRPr="00B969E1">
        <w:rPr>
          <w:iCs/>
          <w:sz w:val="18"/>
          <w:szCs w:val="18"/>
          <w:lang w:val="fr-FR" w:eastAsia="en-IE"/>
        </w:rPr>
        <w:t>CROP CONVERSION RATIOS c. 1700‒1800</w:t>
      </w:r>
    </w:p>
    <w:tbl>
      <w:tblPr>
        <w:tblW w:w="6960" w:type="dxa"/>
        <w:tblCellMar>
          <w:left w:w="0" w:type="dxa"/>
          <w:right w:w="0" w:type="dxa"/>
        </w:tblCellMar>
        <w:tblLook w:val="00A0" w:firstRow="1" w:lastRow="0" w:firstColumn="1" w:lastColumn="0" w:noHBand="0" w:noVBand="0"/>
      </w:tblPr>
      <w:tblGrid>
        <w:gridCol w:w="1151"/>
        <w:gridCol w:w="1849"/>
        <w:gridCol w:w="1680"/>
        <w:gridCol w:w="240"/>
        <w:gridCol w:w="2040"/>
      </w:tblGrid>
      <w:tr w:rsidR="00A0573F" w:rsidRPr="00FF1531" w:rsidTr="00497BFC">
        <w:tc>
          <w:tcPr>
            <w:tcW w:w="1151" w:type="dxa"/>
            <w:tcBorders>
              <w:top w:val="double" w:sz="4" w:space="0" w:color="auto"/>
            </w:tcBorders>
            <w:vAlign w:val="bottom"/>
          </w:tcPr>
          <w:p w:rsidR="00A0573F" w:rsidRPr="00FF1531" w:rsidRDefault="00A0573F" w:rsidP="008001C2">
            <w:pPr>
              <w:widowControl w:val="0"/>
              <w:autoSpaceDE w:val="0"/>
              <w:autoSpaceDN w:val="0"/>
              <w:adjustRightInd w:val="0"/>
              <w:spacing w:after="0" w:line="240" w:lineRule="auto"/>
              <w:ind w:firstLine="0"/>
              <w:jc w:val="center"/>
              <w:rPr>
                <w:sz w:val="18"/>
                <w:szCs w:val="18"/>
                <w:lang w:val="fr-FR" w:eastAsia="en-IE"/>
              </w:rPr>
            </w:pPr>
          </w:p>
        </w:tc>
        <w:tc>
          <w:tcPr>
            <w:tcW w:w="3529" w:type="dxa"/>
            <w:gridSpan w:val="2"/>
            <w:tcBorders>
              <w:top w:val="double" w:sz="4" w:space="0" w:color="auto"/>
              <w:bottom w:val="single" w:sz="4" w:space="0" w:color="auto"/>
            </w:tcBorders>
            <w:tcMar>
              <w:top w:w="120" w:type="dxa"/>
              <w:bottom w:w="80" w:type="dxa"/>
            </w:tcMar>
            <w:vAlign w:val="bottom"/>
          </w:tcPr>
          <w:p w:rsidR="00A0573F" w:rsidRPr="00FF1531" w:rsidRDefault="00A0573F" w:rsidP="008001C2">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 xml:space="preserve">Floud </w:t>
            </w:r>
            <w:r w:rsidRPr="00FF1531">
              <w:rPr>
                <w:i/>
                <w:iCs/>
                <w:sz w:val="18"/>
                <w:szCs w:val="18"/>
                <w:lang w:eastAsia="en-IE"/>
              </w:rPr>
              <w:t>et al</w:t>
            </w:r>
            <w:r w:rsidRPr="00FF1531">
              <w:rPr>
                <w:sz w:val="18"/>
                <w:szCs w:val="18"/>
                <w:lang w:eastAsia="en-IE"/>
              </w:rPr>
              <w:t>.</w:t>
            </w:r>
          </w:p>
        </w:tc>
        <w:tc>
          <w:tcPr>
            <w:tcW w:w="240" w:type="dxa"/>
            <w:tcBorders>
              <w:top w:val="double" w:sz="4" w:space="0" w:color="auto"/>
            </w:tcBorders>
          </w:tcPr>
          <w:p w:rsidR="00A0573F" w:rsidRPr="00FF1531" w:rsidRDefault="00A0573F" w:rsidP="008001C2">
            <w:pPr>
              <w:widowControl w:val="0"/>
              <w:autoSpaceDE w:val="0"/>
              <w:autoSpaceDN w:val="0"/>
              <w:adjustRightInd w:val="0"/>
              <w:spacing w:after="0" w:line="240" w:lineRule="auto"/>
              <w:ind w:firstLine="0"/>
              <w:jc w:val="center"/>
              <w:rPr>
                <w:sz w:val="18"/>
                <w:szCs w:val="18"/>
                <w:lang w:eastAsia="en-IE"/>
              </w:rPr>
            </w:pPr>
          </w:p>
        </w:tc>
        <w:tc>
          <w:tcPr>
            <w:tcW w:w="2040" w:type="dxa"/>
            <w:tcBorders>
              <w:top w:val="double" w:sz="4" w:space="0" w:color="auto"/>
              <w:bottom w:val="single" w:sz="4" w:space="0" w:color="auto"/>
            </w:tcBorders>
            <w:tcMar>
              <w:top w:w="120" w:type="dxa"/>
              <w:bottom w:w="80" w:type="dxa"/>
            </w:tcMar>
            <w:vAlign w:val="bottom"/>
          </w:tcPr>
          <w:p w:rsidR="00A0573F" w:rsidRPr="00FF1531" w:rsidRDefault="00A0573F" w:rsidP="008001C2">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Overton and Campbell</w:t>
            </w:r>
          </w:p>
        </w:tc>
      </w:tr>
      <w:tr w:rsidR="00A0573F" w:rsidRPr="00FF1531" w:rsidTr="00497BFC">
        <w:tc>
          <w:tcPr>
            <w:tcW w:w="1151" w:type="dxa"/>
            <w:tcBorders>
              <w:bottom w:val="single" w:sz="4" w:space="0" w:color="auto"/>
            </w:tcBorders>
            <w:tcMar>
              <w:top w:w="80" w:type="dxa"/>
              <w:bottom w:w="80" w:type="dxa"/>
            </w:tcMar>
            <w:vAlign w:val="bottom"/>
          </w:tcPr>
          <w:p w:rsidR="00A0573F" w:rsidRPr="00FF1531" w:rsidRDefault="00A0573F" w:rsidP="008001C2">
            <w:pPr>
              <w:widowControl w:val="0"/>
              <w:autoSpaceDE w:val="0"/>
              <w:autoSpaceDN w:val="0"/>
              <w:adjustRightInd w:val="0"/>
              <w:spacing w:after="0" w:line="240" w:lineRule="auto"/>
              <w:ind w:firstLine="0"/>
              <w:rPr>
                <w:sz w:val="18"/>
                <w:szCs w:val="18"/>
                <w:lang w:eastAsia="en-IE"/>
              </w:rPr>
            </w:pPr>
            <w:r w:rsidRPr="00FF1531">
              <w:rPr>
                <w:sz w:val="18"/>
                <w:szCs w:val="18"/>
                <w:lang w:eastAsia="en-IE"/>
              </w:rPr>
              <w:t>Crop</w:t>
            </w:r>
          </w:p>
        </w:tc>
        <w:tc>
          <w:tcPr>
            <w:tcW w:w="1849" w:type="dxa"/>
            <w:tcBorders>
              <w:top w:val="single" w:sz="4" w:space="0" w:color="auto"/>
              <w:bottom w:val="single" w:sz="4" w:space="0" w:color="auto"/>
            </w:tcBorders>
            <w:tcMar>
              <w:top w:w="80" w:type="dxa"/>
              <w:bottom w:w="80" w:type="dxa"/>
            </w:tcMar>
            <w:vAlign w:val="bottom"/>
          </w:tcPr>
          <w:p w:rsidR="00A0573F" w:rsidRDefault="00A0573F" w:rsidP="008001C2">
            <w:pPr>
              <w:widowControl w:val="0"/>
              <w:autoSpaceDE w:val="0"/>
              <w:autoSpaceDN w:val="0"/>
              <w:adjustRightInd w:val="0"/>
              <w:spacing w:after="0" w:line="240" w:lineRule="auto"/>
              <w:ind w:firstLine="0"/>
              <w:jc w:val="center"/>
              <w:rPr>
                <w:sz w:val="18"/>
                <w:szCs w:val="18"/>
                <w:lang w:eastAsia="en-IE"/>
              </w:rPr>
            </w:pPr>
            <w:r>
              <w:rPr>
                <w:sz w:val="18"/>
                <w:szCs w:val="18"/>
                <w:lang w:eastAsia="en-IE"/>
              </w:rPr>
              <w:t>(</w:t>
            </w:r>
            <w:r w:rsidRPr="00FF1531">
              <w:rPr>
                <w:sz w:val="18"/>
                <w:szCs w:val="18"/>
                <w:lang w:eastAsia="en-IE"/>
              </w:rPr>
              <w:t>1</w:t>
            </w:r>
            <w:r>
              <w:rPr>
                <w:sz w:val="18"/>
                <w:szCs w:val="18"/>
                <w:lang w:eastAsia="en-IE"/>
              </w:rPr>
              <w:t>)</w:t>
            </w:r>
            <w:r w:rsidRPr="00FF1531">
              <w:rPr>
                <w:sz w:val="18"/>
                <w:szCs w:val="18"/>
                <w:lang w:eastAsia="en-IE"/>
              </w:rPr>
              <w:t xml:space="preserve"> </w:t>
            </w:r>
          </w:p>
          <w:p w:rsidR="00A0573F" w:rsidRPr="00FF1531" w:rsidRDefault="00A0573F" w:rsidP="008001C2">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Proportion</w:t>
            </w:r>
          </w:p>
          <w:p w:rsidR="00497BFC" w:rsidRDefault="00A0573F" w:rsidP="0019040D">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 xml:space="preserve">Entering Gross </w:t>
            </w:r>
          </w:p>
          <w:p w:rsidR="00A0573F" w:rsidRPr="00FF1531" w:rsidRDefault="00A0573F" w:rsidP="0019040D">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Product</w:t>
            </w:r>
          </w:p>
        </w:tc>
        <w:tc>
          <w:tcPr>
            <w:tcW w:w="1680" w:type="dxa"/>
            <w:tcBorders>
              <w:top w:val="single" w:sz="4" w:space="0" w:color="auto"/>
              <w:bottom w:val="single" w:sz="4" w:space="0" w:color="auto"/>
            </w:tcBorders>
            <w:tcMar>
              <w:top w:w="80" w:type="dxa"/>
              <w:bottom w:w="80" w:type="dxa"/>
            </w:tcMar>
            <w:vAlign w:val="bottom"/>
          </w:tcPr>
          <w:p w:rsidR="00A0573F" w:rsidRDefault="00A0573F" w:rsidP="0019040D">
            <w:pPr>
              <w:widowControl w:val="0"/>
              <w:autoSpaceDE w:val="0"/>
              <w:autoSpaceDN w:val="0"/>
              <w:adjustRightInd w:val="0"/>
              <w:spacing w:after="0" w:line="240" w:lineRule="auto"/>
              <w:ind w:firstLine="0"/>
              <w:jc w:val="center"/>
              <w:rPr>
                <w:sz w:val="18"/>
                <w:szCs w:val="18"/>
                <w:lang w:eastAsia="en-IE"/>
              </w:rPr>
            </w:pPr>
            <w:r>
              <w:rPr>
                <w:sz w:val="18"/>
                <w:szCs w:val="18"/>
                <w:lang w:eastAsia="en-IE"/>
              </w:rPr>
              <w:t>(</w:t>
            </w:r>
            <w:r w:rsidRPr="00FF1531">
              <w:rPr>
                <w:sz w:val="18"/>
                <w:szCs w:val="18"/>
                <w:lang w:eastAsia="en-IE"/>
              </w:rPr>
              <w:t>2</w:t>
            </w:r>
            <w:r>
              <w:rPr>
                <w:sz w:val="18"/>
                <w:szCs w:val="18"/>
                <w:lang w:eastAsia="en-IE"/>
              </w:rPr>
              <w:t>)</w:t>
            </w:r>
            <w:r w:rsidRPr="00FF1531">
              <w:rPr>
                <w:sz w:val="18"/>
                <w:szCs w:val="18"/>
                <w:lang w:eastAsia="en-IE"/>
              </w:rPr>
              <w:t xml:space="preserve"> </w:t>
            </w:r>
          </w:p>
          <w:p w:rsidR="00A0573F" w:rsidRPr="00FF1531" w:rsidRDefault="00A0573F" w:rsidP="0019040D">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Proportion Net of Milling and Distribution Losses</w:t>
            </w:r>
          </w:p>
        </w:tc>
        <w:tc>
          <w:tcPr>
            <w:tcW w:w="240" w:type="dxa"/>
            <w:tcBorders>
              <w:bottom w:val="single" w:sz="4" w:space="0" w:color="auto"/>
            </w:tcBorders>
          </w:tcPr>
          <w:p w:rsidR="00A0573F" w:rsidRDefault="00A0573F" w:rsidP="008001C2">
            <w:pPr>
              <w:widowControl w:val="0"/>
              <w:autoSpaceDE w:val="0"/>
              <w:autoSpaceDN w:val="0"/>
              <w:adjustRightInd w:val="0"/>
              <w:spacing w:after="0" w:line="240" w:lineRule="auto"/>
              <w:ind w:firstLine="0"/>
              <w:jc w:val="center"/>
              <w:rPr>
                <w:sz w:val="18"/>
                <w:szCs w:val="18"/>
                <w:lang w:eastAsia="en-IE"/>
              </w:rPr>
            </w:pPr>
          </w:p>
        </w:tc>
        <w:tc>
          <w:tcPr>
            <w:tcW w:w="2040" w:type="dxa"/>
            <w:tcBorders>
              <w:top w:val="single" w:sz="4" w:space="0" w:color="auto"/>
              <w:bottom w:val="single" w:sz="4" w:space="0" w:color="auto"/>
            </w:tcBorders>
            <w:tcMar>
              <w:top w:w="80" w:type="dxa"/>
              <w:bottom w:w="80" w:type="dxa"/>
            </w:tcMar>
            <w:vAlign w:val="bottom"/>
          </w:tcPr>
          <w:p w:rsidR="00A0573F" w:rsidRDefault="00A0573F" w:rsidP="008001C2">
            <w:pPr>
              <w:widowControl w:val="0"/>
              <w:autoSpaceDE w:val="0"/>
              <w:autoSpaceDN w:val="0"/>
              <w:adjustRightInd w:val="0"/>
              <w:spacing w:after="0" w:line="240" w:lineRule="auto"/>
              <w:ind w:firstLine="0"/>
              <w:jc w:val="center"/>
              <w:rPr>
                <w:sz w:val="18"/>
                <w:szCs w:val="18"/>
                <w:lang w:eastAsia="en-IE"/>
              </w:rPr>
            </w:pPr>
            <w:r>
              <w:rPr>
                <w:sz w:val="18"/>
                <w:szCs w:val="18"/>
                <w:lang w:eastAsia="en-IE"/>
              </w:rPr>
              <w:t>(</w:t>
            </w:r>
            <w:r w:rsidRPr="00FF1531">
              <w:rPr>
                <w:sz w:val="18"/>
                <w:szCs w:val="18"/>
                <w:lang w:eastAsia="en-IE"/>
              </w:rPr>
              <w:t>3</w:t>
            </w:r>
            <w:r>
              <w:rPr>
                <w:sz w:val="18"/>
                <w:szCs w:val="18"/>
                <w:lang w:eastAsia="en-IE"/>
              </w:rPr>
              <w:t>)</w:t>
            </w:r>
          </w:p>
          <w:p w:rsidR="00A0573F" w:rsidRDefault="00A0573F" w:rsidP="008001C2">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 xml:space="preserve">Proportion Net of </w:t>
            </w:r>
          </w:p>
          <w:p w:rsidR="00A0573F" w:rsidRPr="00FF1531" w:rsidRDefault="00A0573F" w:rsidP="0019040D">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Storage and Food Conversion Losses</w:t>
            </w:r>
          </w:p>
        </w:tc>
      </w:tr>
      <w:tr w:rsidR="00A0573F" w:rsidRPr="00FF1531" w:rsidTr="00497BFC">
        <w:tc>
          <w:tcPr>
            <w:tcW w:w="1151" w:type="dxa"/>
            <w:tcBorders>
              <w:top w:val="single" w:sz="4" w:space="0" w:color="auto"/>
            </w:tcBorders>
          </w:tcPr>
          <w:p w:rsidR="00A0573F" w:rsidRPr="00FF1531" w:rsidRDefault="00A0573F"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Wheat</w:t>
            </w:r>
          </w:p>
        </w:tc>
        <w:tc>
          <w:tcPr>
            <w:tcW w:w="1849" w:type="dxa"/>
            <w:tcBorders>
              <w:top w:val="single" w:sz="4" w:space="0" w:color="auto"/>
            </w:tcBorders>
            <w:tcMar>
              <w:top w:w="80" w:type="dxa"/>
            </w:tcMar>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0.855</w:t>
            </w:r>
          </w:p>
        </w:tc>
        <w:tc>
          <w:tcPr>
            <w:tcW w:w="1680" w:type="dxa"/>
            <w:tcBorders>
              <w:top w:val="single" w:sz="4" w:space="0" w:color="auto"/>
            </w:tcBorders>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0.6189</w:t>
            </w:r>
          </w:p>
        </w:tc>
        <w:tc>
          <w:tcPr>
            <w:tcW w:w="240" w:type="dxa"/>
            <w:tcBorders>
              <w:top w:val="single" w:sz="4" w:space="0" w:color="auto"/>
            </w:tcBorders>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p>
        </w:tc>
        <w:tc>
          <w:tcPr>
            <w:tcW w:w="2040" w:type="dxa"/>
            <w:tcBorders>
              <w:top w:val="single" w:sz="4" w:space="0" w:color="auto"/>
            </w:tcBorders>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0.70</w:t>
            </w:r>
          </w:p>
        </w:tc>
      </w:tr>
      <w:tr w:rsidR="00A0573F" w:rsidRPr="00FF1531" w:rsidTr="00497BFC">
        <w:tc>
          <w:tcPr>
            <w:tcW w:w="1151" w:type="dxa"/>
          </w:tcPr>
          <w:p w:rsidR="00A0573F" w:rsidRPr="00FF1531" w:rsidRDefault="00A0573F"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Rye</w:t>
            </w:r>
          </w:p>
        </w:tc>
        <w:tc>
          <w:tcPr>
            <w:tcW w:w="1849"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0.737</w:t>
            </w:r>
          </w:p>
        </w:tc>
        <w:tc>
          <w:tcPr>
            <w:tcW w:w="1680"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0.5345</w:t>
            </w:r>
          </w:p>
        </w:tc>
        <w:tc>
          <w:tcPr>
            <w:tcW w:w="240"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p>
        </w:tc>
        <w:tc>
          <w:tcPr>
            <w:tcW w:w="2040"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0.70</w:t>
            </w:r>
          </w:p>
        </w:tc>
      </w:tr>
      <w:tr w:rsidR="00A0573F" w:rsidRPr="00FF1531" w:rsidTr="00497BFC">
        <w:tc>
          <w:tcPr>
            <w:tcW w:w="1151" w:type="dxa"/>
          </w:tcPr>
          <w:p w:rsidR="00A0573F" w:rsidRPr="00FF1531" w:rsidRDefault="00A0573F"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Barley</w:t>
            </w:r>
          </w:p>
        </w:tc>
        <w:tc>
          <w:tcPr>
            <w:tcW w:w="1849"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0.850</w:t>
            </w:r>
          </w:p>
        </w:tc>
        <w:tc>
          <w:tcPr>
            <w:tcW w:w="1680"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0.4000</w:t>
            </w:r>
          </w:p>
        </w:tc>
        <w:tc>
          <w:tcPr>
            <w:tcW w:w="240"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p>
        </w:tc>
        <w:tc>
          <w:tcPr>
            <w:tcW w:w="2040" w:type="dxa"/>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0.68/0.30</w:t>
            </w:r>
          </w:p>
        </w:tc>
      </w:tr>
      <w:tr w:rsidR="00A0573F" w:rsidRPr="00FF1531" w:rsidTr="00497BFC">
        <w:tc>
          <w:tcPr>
            <w:tcW w:w="1151" w:type="dxa"/>
            <w:tcBorders>
              <w:bottom w:val="single" w:sz="4" w:space="0" w:color="auto"/>
            </w:tcBorders>
          </w:tcPr>
          <w:p w:rsidR="00A0573F" w:rsidRPr="00FF1531" w:rsidRDefault="00A0573F"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Oats</w:t>
            </w:r>
          </w:p>
        </w:tc>
        <w:tc>
          <w:tcPr>
            <w:tcW w:w="1849" w:type="dxa"/>
            <w:tcBorders>
              <w:bottom w:val="single" w:sz="4" w:space="0" w:color="auto"/>
            </w:tcBorders>
            <w:tcMar>
              <w:bottom w:w="80" w:type="dxa"/>
            </w:tcMar>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0.280</w:t>
            </w:r>
          </w:p>
        </w:tc>
        <w:tc>
          <w:tcPr>
            <w:tcW w:w="1680" w:type="dxa"/>
            <w:tcBorders>
              <w:bottom w:val="single" w:sz="4" w:space="0" w:color="auto"/>
            </w:tcBorders>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0.4263</w:t>
            </w:r>
          </w:p>
        </w:tc>
        <w:tc>
          <w:tcPr>
            <w:tcW w:w="240" w:type="dxa"/>
            <w:tcBorders>
              <w:bottom w:val="single" w:sz="4" w:space="0" w:color="auto"/>
            </w:tcBorders>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p>
        </w:tc>
        <w:tc>
          <w:tcPr>
            <w:tcW w:w="2040" w:type="dxa"/>
            <w:tcBorders>
              <w:bottom w:val="single" w:sz="4" w:space="0" w:color="auto"/>
            </w:tcBorders>
          </w:tcPr>
          <w:p w:rsidR="00A0573F" w:rsidRPr="00FF1531" w:rsidRDefault="00A0573F" w:rsidP="00B27178">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0.56</w:t>
            </w:r>
          </w:p>
        </w:tc>
      </w:tr>
    </w:tbl>
    <w:p w:rsidR="00EA1BD2" w:rsidRDefault="008001C2">
      <w:pPr>
        <w:spacing w:after="0" w:line="240" w:lineRule="auto"/>
        <w:ind w:firstLine="0"/>
        <w:rPr>
          <w:sz w:val="18"/>
          <w:szCs w:val="18"/>
          <w:lang w:eastAsia="en-IE"/>
        </w:rPr>
      </w:pPr>
      <w:r w:rsidRPr="007C1DEC">
        <w:rPr>
          <w:i/>
          <w:sz w:val="18"/>
          <w:szCs w:val="18"/>
          <w:lang w:eastAsia="en-IE"/>
        </w:rPr>
        <w:t>Source</w:t>
      </w:r>
      <w:r w:rsidR="008751A4">
        <w:rPr>
          <w:i/>
          <w:sz w:val="18"/>
          <w:szCs w:val="18"/>
          <w:lang w:eastAsia="en-IE"/>
        </w:rPr>
        <w:t>s</w:t>
      </w:r>
      <w:r w:rsidRPr="00FF1531">
        <w:rPr>
          <w:sz w:val="18"/>
          <w:szCs w:val="18"/>
          <w:lang w:eastAsia="en-IE"/>
        </w:rPr>
        <w:t xml:space="preserve">: Floud </w:t>
      </w:r>
      <w:r w:rsidRPr="00FF1531">
        <w:rPr>
          <w:i/>
          <w:iCs/>
          <w:sz w:val="18"/>
          <w:szCs w:val="18"/>
          <w:lang w:eastAsia="en-IE"/>
        </w:rPr>
        <w:t>et al.</w:t>
      </w:r>
      <w:r w:rsidRPr="00FF1531">
        <w:rPr>
          <w:sz w:val="18"/>
          <w:szCs w:val="18"/>
          <w:lang w:eastAsia="en-IE"/>
        </w:rPr>
        <w:t xml:space="preserve"> (2011, </w:t>
      </w:r>
      <w:r w:rsidR="008751A4" w:rsidRPr="00FF1531">
        <w:rPr>
          <w:sz w:val="18"/>
          <w:szCs w:val="18"/>
          <w:lang w:eastAsia="en-IE"/>
        </w:rPr>
        <w:t>table</w:t>
      </w:r>
      <w:r w:rsidRPr="00FF1531">
        <w:rPr>
          <w:sz w:val="18"/>
          <w:szCs w:val="18"/>
          <w:lang w:eastAsia="en-IE"/>
        </w:rPr>
        <w:t xml:space="preserve"> D2); Overton and Campbell (1996) as reported in Apostolides </w:t>
      </w:r>
      <w:r w:rsidRPr="00FF1531">
        <w:rPr>
          <w:i/>
          <w:iCs/>
          <w:sz w:val="18"/>
          <w:szCs w:val="18"/>
          <w:lang w:eastAsia="en-IE"/>
        </w:rPr>
        <w:t>et al</w:t>
      </w:r>
      <w:r w:rsidRPr="00FF1531">
        <w:rPr>
          <w:sz w:val="18"/>
          <w:szCs w:val="18"/>
          <w:lang w:eastAsia="en-IE"/>
        </w:rPr>
        <w:t xml:space="preserve">. (2008, </w:t>
      </w:r>
      <w:r w:rsidR="00F535D8" w:rsidRPr="00FF1531">
        <w:rPr>
          <w:sz w:val="18"/>
          <w:szCs w:val="18"/>
          <w:lang w:eastAsia="en-IE"/>
        </w:rPr>
        <w:t>t</w:t>
      </w:r>
      <w:r w:rsidRPr="00FF1531">
        <w:rPr>
          <w:sz w:val="18"/>
          <w:szCs w:val="18"/>
          <w:lang w:eastAsia="en-IE"/>
        </w:rPr>
        <w:t>able 20).</w:t>
      </w:r>
    </w:p>
    <w:p w:rsidR="008E4F94" w:rsidRDefault="008E4F94">
      <w:pPr>
        <w:spacing w:after="0" w:line="240" w:lineRule="auto"/>
        <w:ind w:firstLine="0"/>
        <w:rPr>
          <w:sz w:val="18"/>
          <w:szCs w:val="18"/>
          <w:lang w:eastAsia="en-IE"/>
        </w:rPr>
      </w:pPr>
    </w:p>
    <w:p w:rsidR="00B7697D" w:rsidRPr="00B969E1" w:rsidRDefault="00B7697D" w:rsidP="00B7697D">
      <w:pPr>
        <w:spacing w:after="0" w:line="240" w:lineRule="auto"/>
        <w:ind w:firstLine="0"/>
        <w:jc w:val="center"/>
        <w:rPr>
          <w:smallCaps/>
          <w:sz w:val="18"/>
          <w:szCs w:val="18"/>
          <w:lang w:eastAsia="en-IE"/>
        </w:rPr>
      </w:pPr>
      <w:r w:rsidRPr="00B969E1">
        <w:rPr>
          <w:smallCaps/>
          <w:sz w:val="18"/>
          <w:szCs w:val="18"/>
          <w:lang w:eastAsia="en-IE"/>
        </w:rPr>
        <w:t xml:space="preserve">Appendix Table </w:t>
      </w:r>
      <w:r>
        <w:rPr>
          <w:smallCaps/>
          <w:sz w:val="18"/>
          <w:szCs w:val="18"/>
          <w:lang w:eastAsia="en-IE"/>
        </w:rPr>
        <w:t>2</w:t>
      </w:r>
    </w:p>
    <w:p w:rsidR="008E4F94" w:rsidRDefault="00EE5C4D" w:rsidP="00EE5C4D">
      <w:pPr>
        <w:spacing w:after="0" w:line="240" w:lineRule="auto"/>
        <w:ind w:firstLine="0"/>
        <w:jc w:val="center"/>
        <w:rPr>
          <w:sz w:val="20"/>
          <w:szCs w:val="20"/>
          <w:lang w:eastAsia="en-IE"/>
        </w:rPr>
      </w:pPr>
      <w:r w:rsidRPr="00EE5C4D">
        <w:rPr>
          <w:iCs/>
          <w:sz w:val="18"/>
          <w:szCs w:val="18"/>
          <w:lang w:eastAsia="en-IE"/>
        </w:rPr>
        <w:t>KCAL/OZ</w:t>
      </w:r>
      <w:r w:rsidR="006A5950">
        <w:rPr>
          <w:iCs/>
          <w:sz w:val="18"/>
          <w:szCs w:val="18"/>
          <w:lang w:eastAsia="en-IE"/>
        </w:rPr>
        <w:t>.</w:t>
      </w:r>
      <w:r w:rsidRPr="00EE5C4D">
        <w:rPr>
          <w:iCs/>
          <w:sz w:val="18"/>
          <w:szCs w:val="18"/>
          <w:lang w:eastAsia="en-IE"/>
        </w:rPr>
        <w:t xml:space="preserve"> ESTIMATES</w:t>
      </w:r>
    </w:p>
    <w:tbl>
      <w:tblPr>
        <w:tblW w:w="0" w:type="auto"/>
        <w:tblCellMar>
          <w:left w:w="0" w:type="dxa"/>
          <w:right w:w="0" w:type="dxa"/>
        </w:tblCellMar>
        <w:tblLook w:val="00A0" w:firstRow="1" w:lastRow="0" w:firstColumn="1" w:lastColumn="0" w:noHBand="0" w:noVBand="0"/>
      </w:tblPr>
      <w:tblGrid>
        <w:gridCol w:w="1762"/>
        <w:gridCol w:w="1500"/>
        <w:gridCol w:w="1698"/>
        <w:gridCol w:w="2000"/>
      </w:tblGrid>
      <w:tr w:rsidR="00EA1BD2" w:rsidRPr="00FF1531" w:rsidTr="00902283">
        <w:tc>
          <w:tcPr>
            <w:tcW w:w="1835" w:type="dxa"/>
            <w:tcBorders>
              <w:top w:val="double" w:sz="4" w:space="0" w:color="auto"/>
              <w:bottom w:val="single" w:sz="4" w:space="0" w:color="auto"/>
            </w:tcBorders>
            <w:tcMar>
              <w:top w:w="120" w:type="dxa"/>
              <w:bottom w:w="80" w:type="dxa"/>
            </w:tcMar>
          </w:tcPr>
          <w:p w:rsidR="00EA1BD2" w:rsidRPr="00FF1531" w:rsidRDefault="00EA1BD2" w:rsidP="00AF5003">
            <w:pPr>
              <w:widowControl w:val="0"/>
              <w:autoSpaceDE w:val="0"/>
              <w:autoSpaceDN w:val="0"/>
              <w:adjustRightInd w:val="0"/>
              <w:spacing w:after="0" w:line="240" w:lineRule="auto"/>
              <w:ind w:firstLine="0"/>
              <w:jc w:val="both"/>
              <w:rPr>
                <w:sz w:val="18"/>
                <w:szCs w:val="18"/>
                <w:lang w:eastAsia="en-IE"/>
              </w:rPr>
            </w:pPr>
          </w:p>
        </w:tc>
        <w:tc>
          <w:tcPr>
            <w:tcW w:w="1565" w:type="dxa"/>
            <w:tcBorders>
              <w:top w:val="double" w:sz="4" w:space="0" w:color="auto"/>
              <w:bottom w:val="single" w:sz="4" w:space="0" w:color="auto"/>
            </w:tcBorders>
            <w:tcMar>
              <w:top w:w="120" w:type="dxa"/>
              <w:bottom w:w="80" w:type="dxa"/>
            </w:tcMar>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Muldrew</w:t>
            </w:r>
          </w:p>
        </w:tc>
        <w:tc>
          <w:tcPr>
            <w:tcW w:w="1791" w:type="dxa"/>
            <w:tcBorders>
              <w:top w:val="double" w:sz="4" w:space="0" w:color="auto"/>
              <w:bottom w:val="single" w:sz="4" w:space="0" w:color="auto"/>
            </w:tcBorders>
            <w:tcMar>
              <w:top w:w="120" w:type="dxa"/>
              <w:bottom w:w="80" w:type="dxa"/>
            </w:tcMar>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 xml:space="preserve">Floud </w:t>
            </w:r>
            <w:r w:rsidRPr="00FF1531">
              <w:rPr>
                <w:i/>
                <w:iCs/>
                <w:sz w:val="18"/>
                <w:szCs w:val="18"/>
                <w:lang w:eastAsia="en-IE"/>
              </w:rPr>
              <w:t>et al</w:t>
            </w:r>
            <w:r w:rsidRPr="00FF1531">
              <w:rPr>
                <w:sz w:val="18"/>
                <w:szCs w:val="18"/>
                <w:lang w:eastAsia="en-IE"/>
              </w:rPr>
              <w:t>.</w:t>
            </w:r>
          </w:p>
        </w:tc>
        <w:tc>
          <w:tcPr>
            <w:tcW w:w="2091" w:type="dxa"/>
            <w:tcBorders>
              <w:top w:val="double" w:sz="4" w:space="0" w:color="auto"/>
              <w:bottom w:val="single" w:sz="4" w:space="0" w:color="auto"/>
            </w:tcBorders>
            <w:tcMar>
              <w:top w:w="120" w:type="dxa"/>
              <w:bottom w:w="80" w:type="dxa"/>
            </w:tcMar>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 xml:space="preserve">Broadberry </w:t>
            </w:r>
            <w:r w:rsidRPr="00FF1531">
              <w:rPr>
                <w:i/>
                <w:iCs/>
                <w:sz w:val="18"/>
                <w:szCs w:val="18"/>
                <w:lang w:eastAsia="en-IE"/>
              </w:rPr>
              <w:t>et al</w:t>
            </w:r>
            <w:r w:rsidRPr="00FF1531">
              <w:rPr>
                <w:sz w:val="18"/>
                <w:szCs w:val="18"/>
                <w:lang w:eastAsia="en-IE"/>
              </w:rPr>
              <w:t>.</w:t>
            </w:r>
          </w:p>
        </w:tc>
      </w:tr>
      <w:tr w:rsidR="00EA1BD2" w:rsidRPr="00FF1531" w:rsidTr="00902283">
        <w:tc>
          <w:tcPr>
            <w:tcW w:w="1835" w:type="dxa"/>
            <w:tcBorders>
              <w:top w:val="single" w:sz="4" w:space="0" w:color="auto"/>
            </w:tcBorders>
            <w:tcMar>
              <w:top w:w="80" w:type="dxa"/>
            </w:tcMar>
          </w:tcPr>
          <w:p w:rsidR="00EA1BD2" w:rsidRPr="00FF1531" w:rsidRDefault="00EA1BD2"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Wheat</w:t>
            </w:r>
          </w:p>
        </w:tc>
        <w:tc>
          <w:tcPr>
            <w:tcW w:w="1565" w:type="dxa"/>
            <w:tcBorders>
              <w:top w:val="single" w:sz="4" w:space="0" w:color="auto"/>
            </w:tcBorders>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82.8</w:t>
            </w:r>
          </w:p>
        </w:tc>
        <w:tc>
          <w:tcPr>
            <w:tcW w:w="1791" w:type="dxa"/>
            <w:tcBorders>
              <w:top w:val="single" w:sz="4" w:space="0" w:color="auto"/>
            </w:tcBorders>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95</w:t>
            </w:r>
          </w:p>
        </w:tc>
        <w:tc>
          <w:tcPr>
            <w:tcW w:w="2091" w:type="dxa"/>
            <w:tcBorders>
              <w:top w:val="single" w:sz="4" w:space="0" w:color="auto"/>
            </w:tcBorders>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95</w:t>
            </w:r>
          </w:p>
        </w:tc>
      </w:tr>
      <w:tr w:rsidR="00EA1BD2" w:rsidRPr="00FF1531" w:rsidTr="00A012D1">
        <w:tc>
          <w:tcPr>
            <w:tcW w:w="1835" w:type="dxa"/>
          </w:tcPr>
          <w:p w:rsidR="00EA1BD2" w:rsidRPr="00FF1531" w:rsidRDefault="00EA1BD2"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Rye</w:t>
            </w:r>
          </w:p>
        </w:tc>
        <w:tc>
          <w:tcPr>
            <w:tcW w:w="1565" w:type="dxa"/>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87.2</w:t>
            </w:r>
          </w:p>
        </w:tc>
        <w:tc>
          <w:tcPr>
            <w:tcW w:w="1791" w:type="dxa"/>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95</w:t>
            </w:r>
          </w:p>
        </w:tc>
        <w:tc>
          <w:tcPr>
            <w:tcW w:w="2091" w:type="dxa"/>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95</w:t>
            </w:r>
          </w:p>
        </w:tc>
      </w:tr>
      <w:tr w:rsidR="00EA1BD2" w:rsidRPr="00FF1531" w:rsidTr="00A012D1">
        <w:tc>
          <w:tcPr>
            <w:tcW w:w="1835" w:type="dxa"/>
          </w:tcPr>
          <w:p w:rsidR="00EA1BD2" w:rsidRPr="00FF1531" w:rsidRDefault="00EA1BD2"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Barley</w:t>
            </w:r>
          </w:p>
        </w:tc>
        <w:tc>
          <w:tcPr>
            <w:tcW w:w="1565" w:type="dxa"/>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75.4</w:t>
            </w:r>
          </w:p>
        </w:tc>
        <w:tc>
          <w:tcPr>
            <w:tcW w:w="1791" w:type="dxa"/>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102</w:t>
            </w:r>
          </w:p>
        </w:tc>
        <w:tc>
          <w:tcPr>
            <w:tcW w:w="2091" w:type="dxa"/>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91</w:t>
            </w:r>
          </w:p>
        </w:tc>
      </w:tr>
      <w:tr w:rsidR="00EA1BD2" w:rsidRPr="00FF1531" w:rsidTr="00A0573F">
        <w:tc>
          <w:tcPr>
            <w:tcW w:w="1835" w:type="dxa"/>
          </w:tcPr>
          <w:p w:rsidR="00EA1BD2" w:rsidRPr="00FF1531" w:rsidRDefault="00EA1BD2"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Oats</w:t>
            </w:r>
          </w:p>
        </w:tc>
        <w:tc>
          <w:tcPr>
            <w:tcW w:w="1565" w:type="dxa"/>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87.9</w:t>
            </w:r>
          </w:p>
        </w:tc>
        <w:tc>
          <w:tcPr>
            <w:tcW w:w="1791" w:type="dxa"/>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114</w:t>
            </w:r>
          </w:p>
        </w:tc>
        <w:tc>
          <w:tcPr>
            <w:tcW w:w="2091" w:type="dxa"/>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105</w:t>
            </w:r>
          </w:p>
        </w:tc>
      </w:tr>
      <w:tr w:rsidR="00EA1BD2" w:rsidRPr="00FF1531" w:rsidTr="00902283">
        <w:tc>
          <w:tcPr>
            <w:tcW w:w="1835" w:type="dxa"/>
            <w:tcBorders>
              <w:bottom w:val="single" w:sz="4" w:space="0" w:color="auto"/>
            </w:tcBorders>
            <w:tcMar>
              <w:bottom w:w="80" w:type="dxa"/>
            </w:tcMar>
          </w:tcPr>
          <w:p w:rsidR="00EA1BD2" w:rsidRPr="00FF1531" w:rsidRDefault="00EA1BD2" w:rsidP="00AF5003">
            <w:pPr>
              <w:widowControl w:val="0"/>
              <w:autoSpaceDE w:val="0"/>
              <w:autoSpaceDN w:val="0"/>
              <w:adjustRightInd w:val="0"/>
              <w:spacing w:after="0" w:line="240" w:lineRule="auto"/>
              <w:ind w:firstLine="0"/>
              <w:jc w:val="both"/>
              <w:rPr>
                <w:sz w:val="18"/>
                <w:szCs w:val="18"/>
                <w:lang w:eastAsia="en-IE"/>
              </w:rPr>
            </w:pPr>
            <w:r w:rsidRPr="00FF1531">
              <w:rPr>
                <w:sz w:val="18"/>
                <w:szCs w:val="18"/>
                <w:lang w:eastAsia="en-IE"/>
              </w:rPr>
              <w:t>Beans</w:t>
            </w:r>
            <w:r w:rsidR="00B64377" w:rsidRPr="00FF1531">
              <w:rPr>
                <w:sz w:val="18"/>
                <w:szCs w:val="18"/>
                <w:lang w:eastAsia="en-IE"/>
              </w:rPr>
              <w:t>/Peas</w:t>
            </w:r>
          </w:p>
        </w:tc>
        <w:tc>
          <w:tcPr>
            <w:tcW w:w="1565" w:type="dxa"/>
            <w:tcBorders>
              <w:bottom w:val="single" w:sz="4" w:space="0" w:color="auto"/>
            </w:tcBorders>
          </w:tcPr>
          <w:p w:rsidR="00EA1BD2" w:rsidRPr="00FF1531" w:rsidRDefault="00EA1BD2" w:rsidP="00A85517">
            <w:pPr>
              <w:widowControl w:val="0"/>
              <w:autoSpaceDE w:val="0"/>
              <w:autoSpaceDN w:val="0"/>
              <w:adjustRightInd w:val="0"/>
              <w:spacing w:after="0" w:line="240" w:lineRule="auto"/>
              <w:ind w:firstLine="0"/>
              <w:jc w:val="center"/>
              <w:rPr>
                <w:sz w:val="18"/>
                <w:szCs w:val="18"/>
                <w:lang w:eastAsia="en-IE"/>
              </w:rPr>
            </w:pPr>
            <w:r w:rsidRPr="00FF1531">
              <w:rPr>
                <w:sz w:val="18"/>
                <w:szCs w:val="18"/>
                <w:lang w:eastAsia="en-IE"/>
              </w:rPr>
              <w:t>74.6</w:t>
            </w:r>
          </w:p>
        </w:tc>
        <w:tc>
          <w:tcPr>
            <w:tcW w:w="1791" w:type="dxa"/>
            <w:tcBorders>
              <w:bottom w:val="single" w:sz="4" w:space="0" w:color="auto"/>
            </w:tcBorders>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r w:rsidRPr="00FF1531">
              <w:rPr>
                <w:sz w:val="18"/>
                <w:szCs w:val="18"/>
                <w:lang w:eastAsia="en-IE"/>
              </w:rPr>
              <w:t>73/78</w:t>
            </w:r>
          </w:p>
        </w:tc>
        <w:tc>
          <w:tcPr>
            <w:tcW w:w="2091" w:type="dxa"/>
            <w:tcBorders>
              <w:bottom w:val="single" w:sz="4" w:space="0" w:color="auto"/>
            </w:tcBorders>
          </w:tcPr>
          <w:p w:rsidR="00EA1BD2" w:rsidRPr="00FF1531" w:rsidRDefault="00EA1BD2" w:rsidP="00DE459A">
            <w:pPr>
              <w:widowControl w:val="0"/>
              <w:tabs>
                <w:tab w:val="decimal" w:pos="270"/>
              </w:tabs>
              <w:autoSpaceDE w:val="0"/>
              <w:autoSpaceDN w:val="0"/>
              <w:adjustRightInd w:val="0"/>
              <w:spacing w:after="0" w:line="240" w:lineRule="auto"/>
              <w:ind w:firstLine="0"/>
              <w:jc w:val="center"/>
              <w:rPr>
                <w:sz w:val="18"/>
                <w:szCs w:val="18"/>
                <w:lang w:eastAsia="en-IE"/>
              </w:rPr>
            </w:pPr>
          </w:p>
        </w:tc>
      </w:tr>
    </w:tbl>
    <w:p w:rsidR="00EF506C" w:rsidRPr="00FF7049" w:rsidRDefault="009A1328" w:rsidP="001672C2">
      <w:pPr>
        <w:spacing w:after="0" w:line="240" w:lineRule="auto"/>
        <w:ind w:firstLine="0"/>
        <w:jc w:val="both"/>
        <w:rPr>
          <w:w w:val="98"/>
          <w:sz w:val="20"/>
          <w:szCs w:val="20"/>
          <w:lang w:eastAsia="en-IE"/>
        </w:rPr>
      </w:pPr>
      <w:r w:rsidRPr="00FF7049">
        <w:rPr>
          <w:i/>
          <w:w w:val="98"/>
          <w:sz w:val="18"/>
          <w:szCs w:val="18"/>
          <w:lang w:val="fr-FR" w:eastAsia="en-IE"/>
        </w:rPr>
        <w:t>Source</w:t>
      </w:r>
      <w:r w:rsidR="008751A4" w:rsidRPr="00FF7049">
        <w:rPr>
          <w:i/>
          <w:w w:val="98"/>
          <w:sz w:val="18"/>
          <w:szCs w:val="18"/>
          <w:lang w:val="fr-FR" w:eastAsia="en-IE"/>
        </w:rPr>
        <w:t>s</w:t>
      </w:r>
      <w:r w:rsidRPr="00FF7049">
        <w:rPr>
          <w:w w:val="98"/>
          <w:sz w:val="18"/>
          <w:szCs w:val="18"/>
          <w:lang w:val="fr-FR" w:eastAsia="en-IE"/>
        </w:rPr>
        <w:t xml:space="preserve">: Muldrew (2011, p. 143); Floud </w:t>
      </w:r>
      <w:r w:rsidRPr="00FF7049">
        <w:rPr>
          <w:i/>
          <w:iCs/>
          <w:w w:val="98"/>
          <w:sz w:val="18"/>
          <w:szCs w:val="18"/>
          <w:lang w:val="fr-FR" w:eastAsia="en-IE"/>
        </w:rPr>
        <w:t>et al</w:t>
      </w:r>
      <w:r w:rsidRPr="00FF7049">
        <w:rPr>
          <w:w w:val="98"/>
          <w:sz w:val="18"/>
          <w:szCs w:val="18"/>
          <w:lang w:val="fr-FR" w:eastAsia="en-IE"/>
        </w:rPr>
        <w:t>. (2011, pp. 205</w:t>
      </w:r>
      <w:r w:rsidR="00494098" w:rsidRPr="00FF7049">
        <w:rPr>
          <w:w w:val="98"/>
          <w:sz w:val="18"/>
          <w:szCs w:val="18"/>
          <w:lang w:val="fr-FR" w:eastAsia="en-IE"/>
        </w:rPr>
        <w:t>‒0</w:t>
      </w:r>
      <w:r w:rsidRPr="00FF7049">
        <w:rPr>
          <w:w w:val="98"/>
          <w:sz w:val="18"/>
          <w:szCs w:val="18"/>
          <w:lang w:val="fr-FR" w:eastAsia="en-IE"/>
        </w:rPr>
        <w:t xml:space="preserve">9); Campbell </w:t>
      </w:r>
      <w:r w:rsidRPr="00FF7049">
        <w:rPr>
          <w:i/>
          <w:iCs/>
          <w:w w:val="98"/>
          <w:sz w:val="18"/>
          <w:szCs w:val="18"/>
          <w:lang w:val="fr-FR" w:eastAsia="en-IE"/>
        </w:rPr>
        <w:t>et al</w:t>
      </w:r>
      <w:r w:rsidRPr="00FF7049">
        <w:rPr>
          <w:w w:val="98"/>
          <w:sz w:val="18"/>
          <w:szCs w:val="18"/>
          <w:lang w:val="fr-FR" w:eastAsia="en-IE"/>
        </w:rPr>
        <w:t xml:space="preserve">. (1993, </w:t>
      </w:r>
      <w:r w:rsidR="001C312D" w:rsidRPr="00FF7049">
        <w:rPr>
          <w:w w:val="98"/>
          <w:sz w:val="18"/>
          <w:szCs w:val="18"/>
          <w:lang w:val="fr-FR" w:eastAsia="en-IE"/>
        </w:rPr>
        <w:t xml:space="preserve">table </w:t>
      </w:r>
      <w:r w:rsidRPr="00FF7049">
        <w:rPr>
          <w:w w:val="98"/>
          <w:sz w:val="18"/>
          <w:szCs w:val="18"/>
          <w:lang w:val="fr-FR" w:eastAsia="en-IE"/>
        </w:rPr>
        <w:t>3, p. 41).</w:t>
      </w:r>
    </w:p>
    <w:p w:rsidR="00B7697D" w:rsidRDefault="00B7697D">
      <w:pPr>
        <w:spacing w:after="0" w:line="240" w:lineRule="auto"/>
        <w:ind w:firstLine="0"/>
        <w:rPr>
          <w:sz w:val="20"/>
          <w:szCs w:val="20"/>
          <w:lang w:eastAsia="en-IE"/>
        </w:rPr>
      </w:pPr>
    </w:p>
    <w:p w:rsidR="00B7697D" w:rsidRPr="00B969E1" w:rsidRDefault="00B7697D" w:rsidP="00B7697D">
      <w:pPr>
        <w:spacing w:after="0" w:line="240" w:lineRule="auto"/>
        <w:ind w:firstLine="0"/>
        <w:jc w:val="center"/>
        <w:rPr>
          <w:smallCaps/>
          <w:sz w:val="18"/>
          <w:szCs w:val="18"/>
          <w:lang w:eastAsia="en-IE"/>
        </w:rPr>
      </w:pPr>
      <w:r w:rsidRPr="00B969E1">
        <w:rPr>
          <w:smallCaps/>
          <w:sz w:val="18"/>
          <w:szCs w:val="18"/>
          <w:lang w:eastAsia="en-IE"/>
        </w:rPr>
        <w:t xml:space="preserve">Appendix Table </w:t>
      </w:r>
      <w:r>
        <w:rPr>
          <w:smallCaps/>
          <w:sz w:val="18"/>
          <w:szCs w:val="18"/>
          <w:lang w:eastAsia="en-IE"/>
        </w:rPr>
        <w:t>3</w:t>
      </w:r>
    </w:p>
    <w:p w:rsidR="00B7697D" w:rsidRDefault="005B5DD1" w:rsidP="005B5DD1">
      <w:pPr>
        <w:spacing w:after="0" w:line="240" w:lineRule="auto"/>
        <w:ind w:firstLine="0"/>
        <w:jc w:val="center"/>
        <w:rPr>
          <w:sz w:val="20"/>
          <w:szCs w:val="20"/>
          <w:lang w:eastAsia="en-IE"/>
        </w:rPr>
      </w:pPr>
      <w:r w:rsidRPr="005B5DD1">
        <w:rPr>
          <w:iCs/>
          <w:sz w:val="18"/>
          <w:szCs w:val="18"/>
        </w:rPr>
        <w:t>SUGGESTED AMENDMENTS TO THE ESTIMATES OF MULDREW AND BROADBERRY</w:t>
      </w:r>
      <w:r w:rsidR="00EE7E51">
        <w:rPr>
          <w:iCs/>
          <w:sz w:val="18"/>
          <w:szCs w:val="18"/>
        </w:rPr>
        <w:t xml:space="preserve"> </w:t>
      </w:r>
      <w:r w:rsidRPr="005B5DD1">
        <w:rPr>
          <w:i/>
          <w:iCs/>
          <w:sz w:val="18"/>
          <w:szCs w:val="18"/>
        </w:rPr>
        <w:t>ET AL</w:t>
      </w:r>
      <w:r w:rsidRPr="005B5DD1">
        <w:rPr>
          <w:iCs/>
          <w:sz w:val="18"/>
          <w:szCs w:val="18"/>
        </w:rPr>
        <w:t>.</w:t>
      </w:r>
    </w:p>
    <w:tbl>
      <w:tblPr>
        <w:tblW w:w="6960" w:type="dxa"/>
        <w:tblLayout w:type="fixed"/>
        <w:tblCellMar>
          <w:left w:w="0" w:type="dxa"/>
          <w:right w:w="0" w:type="dxa"/>
        </w:tblCellMar>
        <w:tblLook w:val="00A0" w:firstRow="1" w:lastRow="0" w:firstColumn="1" w:lastColumn="0" w:noHBand="0" w:noVBand="0"/>
      </w:tblPr>
      <w:tblGrid>
        <w:gridCol w:w="2160"/>
        <w:gridCol w:w="1200"/>
        <w:gridCol w:w="1080"/>
        <w:gridCol w:w="360"/>
        <w:gridCol w:w="1080"/>
        <w:gridCol w:w="1080"/>
      </w:tblGrid>
      <w:tr w:rsidR="00022F3B" w:rsidRPr="00FF1531" w:rsidTr="002B15FC">
        <w:tc>
          <w:tcPr>
            <w:tcW w:w="2160" w:type="dxa"/>
            <w:tcBorders>
              <w:top w:val="double" w:sz="4" w:space="0" w:color="auto"/>
            </w:tcBorders>
            <w:tcMar>
              <w:top w:w="120" w:type="dxa"/>
              <w:bottom w:w="80" w:type="dxa"/>
            </w:tcMar>
            <w:vAlign w:val="bottom"/>
          </w:tcPr>
          <w:p w:rsidR="00022F3B" w:rsidRPr="00FF1531" w:rsidRDefault="00022F3B" w:rsidP="00042044">
            <w:pPr>
              <w:spacing w:after="0" w:line="240" w:lineRule="auto"/>
              <w:ind w:firstLine="0"/>
              <w:rPr>
                <w:sz w:val="18"/>
                <w:szCs w:val="18"/>
              </w:rPr>
            </w:pPr>
            <w:r w:rsidRPr="00FF1531">
              <w:rPr>
                <w:sz w:val="18"/>
                <w:szCs w:val="18"/>
              </w:rPr>
              <w:t>Item</w:t>
            </w:r>
          </w:p>
        </w:tc>
        <w:tc>
          <w:tcPr>
            <w:tcW w:w="2280" w:type="dxa"/>
            <w:gridSpan w:val="2"/>
            <w:tcBorders>
              <w:top w:val="double" w:sz="4" w:space="0" w:color="auto"/>
              <w:bottom w:val="single" w:sz="4" w:space="0" w:color="auto"/>
            </w:tcBorders>
            <w:tcMar>
              <w:top w:w="120" w:type="dxa"/>
              <w:bottom w:w="80" w:type="dxa"/>
            </w:tcMar>
            <w:vAlign w:val="bottom"/>
          </w:tcPr>
          <w:p w:rsidR="00022F3B" w:rsidRPr="00FF1531" w:rsidRDefault="00022F3B" w:rsidP="00042044">
            <w:pPr>
              <w:spacing w:after="0" w:line="240" w:lineRule="auto"/>
              <w:ind w:firstLine="0"/>
              <w:jc w:val="center"/>
              <w:rPr>
                <w:sz w:val="18"/>
                <w:szCs w:val="18"/>
              </w:rPr>
            </w:pPr>
            <w:r w:rsidRPr="00FF1531">
              <w:rPr>
                <w:sz w:val="18"/>
                <w:szCs w:val="18"/>
              </w:rPr>
              <w:t>Muldrew</w:t>
            </w:r>
          </w:p>
        </w:tc>
        <w:tc>
          <w:tcPr>
            <w:tcW w:w="360" w:type="dxa"/>
            <w:tcBorders>
              <w:top w:val="double" w:sz="4" w:space="0" w:color="auto"/>
            </w:tcBorders>
            <w:vAlign w:val="bottom"/>
          </w:tcPr>
          <w:p w:rsidR="00022F3B" w:rsidRPr="00FF1531" w:rsidRDefault="00022F3B" w:rsidP="00042044">
            <w:pPr>
              <w:spacing w:after="0" w:line="240" w:lineRule="auto"/>
              <w:ind w:firstLine="0"/>
              <w:jc w:val="center"/>
              <w:rPr>
                <w:sz w:val="18"/>
                <w:szCs w:val="18"/>
              </w:rPr>
            </w:pPr>
          </w:p>
        </w:tc>
        <w:tc>
          <w:tcPr>
            <w:tcW w:w="2160" w:type="dxa"/>
            <w:gridSpan w:val="2"/>
            <w:tcBorders>
              <w:top w:val="double" w:sz="4" w:space="0" w:color="auto"/>
              <w:bottom w:val="single" w:sz="4" w:space="0" w:color="auto"/>
            </w:tcBorders>
            <w:tcMar>
              <w:top w:w="120" w:type="dxa"/>
              <w:bottom w:w="80" w:type="dxa"/>
            </w:tcMar>
            <w:vAlign w:val="bottom"/>
          </w:tcPr>
          <w:p w:rsidR="00022F3B" w:rsidRPr="00FF1531" w:rsidRDefault="00022F3B" w:rsidP="00042044">
            <w:pPr>
              <w:spacing w:after="0" w:line="240" w:lineRule="auto"/>
              <w:ind w:firstLine="0"/>
              <w:jc w:val="center"/>
              <w:rPr>
                <w:sz w:val="18"/>
                <w:szCs w:val="18"/>
              </w:rPr>
            </w:pPr>
            <w:r w:rsidRPr="00FF1531">
              <w:rPr>
                <w:sz w:val="18"/>
                <w:szCs w:val="18"/>
              </w:rPr>
              <w:t xml:space="preserve">Broadberry </w:t>
            </w:r>
            <w:r w:rsidRPr="00FF1531">
              <w:rPr>
                <w:i/>
                <w:iCs/>
                <w:sz w:val="18"/>
                <w:szCs w:val="18"/>
              </w:rPr>
              <w:t>et al.</w:t>
            </w:r>
          </w:p>
        </w:tc>
      </w:tr>
      <w:tr w:rsidR="00022F3B" w:rsidRPr="00FF1531" w:rsidTr="002B15FC">
        <w:tc>
          <w:tcPr>
            <w:tcW w:w="2160" w:type="dxa"/>
            <w:tcBorders>
              <w:bottom w:val="single" w:sz="4" w:space="0" w:color="auto"/>
            </w:tcBorders>
            <w:tcMar>
              <w:top w:w="80" w:type="dxa"/>
              <w:bottom w:w="80" w:type="dxa"/>
            </w:tcMar>
          </w:tcPr>
          <w:p w:rsidR="00022F3B" w:rsidRPr="00FF1531" w:rsidRDefault="00022F3B" w:rsidP="00AF5003">
            <w:pPr>
              <w:spacing w:after="0" w:line="240" w:lineRule="auto"/>
              <w:ind w:firstLine="0"/>
              <w:jc w:val="both"/>
              <w:rPr>
                <w:sz w:val="18"/>
                <w:szCs w:val="18"/>
              </w:rPr>
            </w:pPr>
          </w:p>
        </w:tc>
        <w:tc>
          <w:tcPr>
            <w:tcW w:w="1200" w:type="dxa"/>
            <w:tcBorders>
              <w:top w:val="single" w:sz="4" w:space="0" w:color="auto"/>
              <w:bottom w:val="single" w:sz="4" w:space="0" w:color="auto"/>
            </w:tcBorders>
            <w:tcMar>
              <w:top w:w="80" w:type="dxa"/>
              <w:bottom w:w="80" w:type="dxa"/>
            </w:tcMar>
          </w:tcPr>
          <w:p w:rsidR="00022F3B" w:rsidRPr="00FF1531" w:rsidRDefault="00022F3B" w:rsidP="00FF638D">
            <w:pPr>
              <w:spacing w:after="0" w:line="240" w:lineRule="auto"/>
              <w:ind w:firstLine="0"/>
              <w:jc w:val="center"/>
              <w:rPr>
                <w:i/>
                <w:iCs/>
                <w:sz w:val="18"/>
                <w:szCs w:val="18"/>
              </w:rPr>
            </w:pPr>
            <w:r w:rsidRPr="00FF1531">
              <w:rPr>
                <w:i/>
                <w:iCs/>
                <w:sz w:val="18"/>
                <w:szCs w:val="18"/>
              </w:rPr>
              <w:t>1770</w:t>
            </w:r>
          </w:p>
        </w:tc>
        <w:tc>
          <w:tcPr>
            <w:tcW w:w="1080" w:type="dxa"/>
            <w:tcBorders>
              <w:top w:val="single" w:sz="4" w:space="0" w:color="auto"/>
              <w:bottom w:val="single" w:sz="4" w:space="0" w:color="auto"/>
            </w:tcBorders>
            <w:tcMar>
              <w:top w:w="80" w:type="dxa"/>
              <w:bottom w:w="80" w:type="dxa"/>
            </w:tcMar>
          </w:tcPr>
          <w:p w:rsidR="00022F3B" w:rsidRPr="00FF1531" w:rsidRDefault="00022F3B" w:rsidP="00FF638D">
            <w:pPr>
              <w:spacing w:after="0" w:line="240" w:lineRule="auto"/>
              <w:ind w:firstLine="0"/>
              <w:jc w:val="center"/>
              <w:rPr>
                <w:i/>
                <w:iCs/>
                <w:sz w:val="18"/>
                <w:szCs w:val="18"/>
              </w:rPr>
            </w:pPr>
            <w:r w:rsidRPr="00FF1531">
              <w:rPr>
                <w:i/>
                <w:iCs/>
                <w:sz w:val="18"/>
                <w:szCs w:val="18"/>
              </w:rPr>
              <w:t>1800</w:t>
            </w:r>
          </w:p>
        </w:tc>
        <w:tc>
          <w:tcPr>
            <w:tcW w:w="360" w:type="dxa"/>
            <w:tcBorders>
              <w:bottom w:val="single" w:sz="4" w:space="0" w:color="auto"/>
            </w:tcBorders>
          </w:tcPr>
          <w:p w:rsidR="00022F3B" w:rsidRPr="00FF1531" w:rsidRDefault="00022F3B" w:rsidP="00FF638D">
            <w:pPr>
              <w:spacing w:after="0" w:line="240" w:lineRule="auto"/>
              <w:ind w:firstLine="0"/>
              <w:jc w:val="center"/>
              <w:rPr>
                <w:i/>
                <w:iCs/>
                <w:sz w:val="18"/>
                <w:szCs w:val="18"/>
              </w:rPr>
            </w:pPr>
          </w:p>
        </w:tc>
        <w:tc>
          <w:tcPr>
            <w:tcW w:w="1080" w:type="dxa"/>
            <w:tcBorders>
              <w:top w:val="single" w:sz="4" w:space="0" w:color="auto"/>
              <w:bottom w:val="single" w:sz="4" w:space="0" w:color="auto"/>
            </w:tcBorders>
            <w:tcMar>
              <w:top w:w="80" w:type="dxa"/>
              <w:bottom w:w="80" w:type="dxa"/>
            </w:tcMar>
          </w:tcPr>
          <w:p w:rsidR="00022F3B" w:rsidRPr="00FF1531" w:rsidRDefault="00022F3B" w:rsidP="00FF638D">
            <w:pPr>
              <w:spacing w:after="0" w:line="240" w:lineRule="auto"/>
              <w:ind w:firstLine="0"/>
              <w:jc w:val="center"/>
              <w:rPr>
                <w:i/>
                <w:iCs/>
                <w:sz w:val="18"/>
                <w:szCs w:val="18"/>
              </w:rPr>
            </w:pPr>
            <w:r w:rsidRPr="00FF1531">
              <w:rPr>
                <w:i/>
                <w:iCs/>
                <w:sz w:val="18"/>
                <w:szCs w:val="18"/>
              </w:rPr>
              <w:t>1750</w:t>
            </w:r>
          </w:p>
        </w:tc>
        <w:tc>
          <w:tcPr>
            <w:tcW w:w="1080" w:type="dxa"/>
            <w:tcBorders>
              <w:top w:val="single" w:sz="4" w:space="0" w:color="auto"/>
              <w:bottom w:val="single" w:sz="4" w:space="0" w:color="auto"/>
            </w:tcBorders>
            <w:tcMar>
              <w:top w:w="80" w:type="dxa"/>
              <w:bottom w:w="80" w:type="dxa"/>
            </w:tcMar>
          </w:tcPr>
          <w:p w:rsidR="00022F3B" w:rsidRPr="00FF1531" w:rsidRDefault="00022F3B" w:rsidP="00FF638D">
            <w:pPr>
              <w:spacing w:after="0" w:line="240" w:lineRule="auto"/>
              <w:ind w:firstLine="0"/>
              <w:jc w:val="center"/>
              <w:rPr>
                <w:i/>
                <w:iCs/>
                <w:sz w:val="18"/>
                <w:szCs w:val="18"/>
              </w:rPr>
            </w:pPr>
            <w:r w:rsidRPr="00FF1531">
              <w:rPr>
                <w:i/>
                <w:iCs/>
                <w:sz w:val="18"/>
                <w:szCs w:val="18"/>
              </w:rPr>
              <w:t>1800</w:t>
            </w:r>
          </w:p>
        </w:tc>
      </w:tr>
      <w:tr w:rsidR="00022F3B" w:rsidRPr="00FF1531" w:rsidTr="009851F7">
        <w:tc>
          <w:tcPr>
            <w:tcW w:w="2160" w:type="dxa"/>
            <w:tcBorders>
              <w:top w:val="single" w:sz="4" w:space="0" w:color="auto"/>
            </w:tcBorders>
            <w:tcMar>
              <w:top w:w="80" w:type="dxa"/>
            </w:tcMar>
          </w:tcPr>
          <w:p w:rsidR="00022F3B" w:rsidRPr="00FF1531" w:rsidRDefault="00022F3B" w:rsidP="00AF5003">
            <w:pPr>
              <w:spacing w:after="0" w:line="240" w:lineRule="auto"/>
              <w:ind w:firstLine="0"/>
              <w:jc w:val="both"/>
              <w:rPr>
                <w:sz w:val="18"/>
                <w:szCs w:val="18"/>
              </w:rPr>
            </w:pPr>
            <w:r w:rsidRPr="00FF1531">
              <w:rPr>
                <w:sz w:val="18"/>
                <w:szCs w:val="18"/>
              </w:rPr>
              <w:t>Wheat</w:t>
            </w:r>
          </w:p>
        </w:tc>
        <w:tc>
          <w:tcPr>
            <w:tcW w:w="1200" w:type="dxa"/>
            <w:tcBorders>
              <w:top w:val="single" w:sz="4" w:space="0" w:color="auto"/>
            </w:tcBorders>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750</w:t>
            </w:r>
          </w:p>
        </w:tc>
        <w:tc>
          <w:tcPr>
            <w:tcW w:w="1080" w:type="dxa"/>
            <w:tcBorders>
              <w:top w:val="single" w:sz="4" w:space="0" w:color="auto"/>
            </w:tcBorders>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400</w:t>
            </w:r>
          </w:p>
        </w:tc>
        <w:tc>
          <w:tcPr>
            <w:tcW w:w="360" w:type="dxa"/>
            <w:tcBorders>
              <w:top w:val="single" w:sz="4" w:space="0" w:color="auto"/>
            </w:tcBorders>
          </w:tcPr>
          <w:p w:rsidR="00022F3B" w:rsidRPr="00FF1531" w:rsidRDefault="00022F3B" w:rsidP="009B62E7">
            <w:pPr>
              <w:tabs>
                <w:tab w:val="decimal" w:pos="270"/>
              </w:tabs>
              <w:spacing w:after="0" w:line="240" w:lineRule="auto"/>
              <w:ind w:firstLine="0"/>
              <w:jc w:val="center"/>
              <w:rPr>
                <w:sz w:val="18"/>
                <w:szCs w:val="18"/>
              </w:rPr>
            </w:pPr>
          </w:p>
        </w:tc>
        <w:tc>
          <w:tcPr>
            <w:tcW w:w="1080" w:type="dxa"/>
            <w:tcBorders>
              <w:top w:val="single" w:sz="4" w:space="0" w:color="auto"/>
            </w:tcBorders>
          </w:tcPr>
          <w:p w:rsidR="00022F3B" w:rsidRPr="00FF1531" w:rsidRDefault="00022F3B" w:rsidP="009B62E7">
            <w:pPr>
              <w:tabs>
                <w:tab w:val="decimal" w:pos="270"/>
              </w:tabs>
              <w:spacing w:after="0" w:line="240" w:lineRule="auto"/>
              <w:ind w:firstLine="0"/>
              <w:jc w:val="center"/>
              <w:rPr>
                <w:sz w:val="18"/>
                <w:szCs w:val="18"/>
              </w:rPr>
            </w:pPr>
          </w:p>
        </w:tc>
        <w:tc>
          <w:tcPr>
            <w:tcW w:w="1080" w:type="dxa"/>
            <w:tcBorders>
              <w:top w:val="single" w:sz="4" w:space="0" w:color="auto"/>
            </w:tcBorders>
          </w:tcPr>
          <w:p w:rsidR="00022F3B" w:rsidRPr="00FF1531" w:rsidRDefault="00022F3B" w:rsidP="009B62E7">
            <w:pPr>
              <w:tabs>
                <w:tab w:val="decimal" w:pos="270"/>
              </w:tabs>
              <w:spacing w:after="0" w:line="240" w:lineRule="auto"/>
              <w:ind w:firstLine="0"/>
              <w:jc w:val="center"/>
              <w:rPr>
                <w:sz w:val="18"/>
                <w:szCs w:val="18"/>
              </w:rPr>
            </w:pP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Rye</w:t>
            </w:r>
          </w:p>
        </w:tc>
        <w:tc>
          <w:tcPr>
            <w:tcW w:w="120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165</w:t>
            </w: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+250</w:t>
            </w:r>
          </w:p>
        </w:tc>
        <w:tc>
          <w:tcPr>
            <w:tcW w:w="1080" w:type="dxa"/>
          </w:tcPr>
          <w:p w:rsidR="00022F3B" w:rsidRPr="00FF1531" w:rsidRDefault="00510AA1"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+50</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Oats</w:t>
            </w:r>
          </w:p>
        </w:tc>
        <w:tc>
          <w:tcPr>
            <w:tcW w:w="120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250</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600</w:t>
            </w: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Barley</w:t>
            </w:r>
          </w:p>
        </w:tc>
        <w:tc>
          <w:tcPr>
            <w:tcW w:w="120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550</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400</w:t>
            </w: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r>
      <w:tr w:rsidR="00022F3B" w:rsidRPr="00FF1531" w:rsidTr="002B15FC">
        <w:tc>
          <w:tcPr>
            <w:tcW w:w="2160" w:type="dxa"/>
          </w:tcPr>
          <w:p w:rsidR="00022F3B" w:rsidRPr="00FF1531" w:rsidRDefault="00E6444F" w:rsidP="00AF5003">
            <w:pPr>
              <w:spacing w:after="0" w:line="240" w:lineRule="auto"/>
              <w:ind w:firstLine="0"/>
              <w:jc w:val="both"/>
              <w:rPr>
                <w:sz w:val="18"/>
                <w:szCs w:val="18"/>
              </w:rPr>
            </w:pPr>
            <w:r>
              <w:rPr>
                <w:sz w:val="18"/>
                <w:szCs w:val="18"/>
              </w:rPr>
              <w:t>Peas/</w:t>
            </w:r>
            <w:r w:rsidR="00022F3B" w:rsidRPr="00FF1531">
              <w:rPr>
                <w:sz w:val="18"/>
                <w:szCs w:val="18"/>
              </w:rPr>
              <w:t>Beans</w:t>
            </w:r>
          </w:p>
        </w:tc>
        <w:tc>
          <w:tcPr>
            <w:tcW w:w="120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510AA1"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+20</w:t>
            </w:r>
          </w:p>
        </w:tc>
        <w:tc>
          <w:tcPr>
            <w:tcW w:w="1080" w:type="dxa"/>
          </w:tcPr>
          <w:p w:rsidR="00022F3B" w:rsidRPr="00FF1531" w:rsidRDefault="00510AA1"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+20</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Potatoes</w:t>
            </w:r>
          </w:p>
        </w:tc>
        <w:tc>
          <w:tcPr>
            <w:tcW w:w="120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+100</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+230</w:t>
            </w: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510AA1"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+50</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Garden plots and orchards</w:t>
            </w:r>
          </w:p>
        </w:tc>
        <w:tc>
          <w:tcPr>
            <w:tcW w:w="120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+20/+50</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+20/+50</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p>
        </w:tc>
        <w:tc>
          <w:tcPr>
            <w:tcW w:w="120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r>
      <w:tr w:rsidR="00022F3B" w:rsidRPr="00FF1531" w:rsidTr="002B15FC">
        <w:trPr>
          <w:trHeight w:val="337"/>
        </w:trPr>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Milk/Meat</w:t>
            </w:r>
          </w:p>
        </w:tc>
        <w:tc>
          <w:tcPr>
            <w:tcW w:w="120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329</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142</w:t>
            </w: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+414</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+304</w:t>
            </w:r>
          </w:p>
        </w:tc>
      </w:tr>
      <w:tr w:rsidR="00022F3B" w:rsidRPr="00FF1531" w:rsidTr="002B15FC">
        <w:tc>
          <w:tcPr>
            <w:tcW w:w="2160" w:type="dxa"/>
          </w:tcPr>
          <w:p w:rsidR="00022F3B" w:rsidRPr="00FF1531" w:rsidRDefault="00022F3B" w:rsidP="00B64377">
            <w:pPr>
              <w:spacing w:after="0" w:line="240" w:lineRule="auto"/>
              <w:ind w:firstLine="0"/>
              <w:jc w:val="both"/>
              <w:rPr>
                <w:sz w:val="18"/>
                <w:szCs w:val="18"/>
              </w:rPr>
            </w:pPr>
            <w:r w:rsidRPr="00FF1531">
              <w:rPr>
                <w:sz w:val="18"/>
                <w:szCs w:val="18"/>
              </w:rPr>
              <w:t>Fish</w:t>
            </w:r>
            <w:r>
              <w:rPr>
                <w:sz w:val="18"/>
                <w:szCs w:val="18"/>
              </w:rPr>
              <w:t xml:space="preserve"> and </w:t>
            </w:r>
            <w:r w:rsidRPr="00FF1531">
              <w:rPr>
                <w:sz w:val="18"/>
                <w:szCs w:val="18"/>
              </w:rPr>
              <w:t>poultry</w:t>
            </w:r>
          </w:p>
        </w:tc>
        <w:tc>
          <w:tcPr>
            <w:tcW w:w="1200" w:type="dxa"/>
          </w:tcPr>
          <w:p w:rsidR="00022F3B" w:rsidRPr="00FF1531" w:rsidRDefault="003F05D8"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+60</w:t>
            </w:r>
          </w:p>
        </w:tc>
        <w:tc>
          <w:tcPr>
            <w:tcW w:w="1080" w:type="dxa"/>
          </w:tcPr>
          <w:p w:rsidR="00022F3B" w:rsidRPr="00FF1531" w:rsidRDefault="003F05D8"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+60</w:t>
            </w:r>
          </w:p>
        </w:tc>
        <w:tc>
          <w:tcPr>
            <w:tcW w:w="360" w:type="dxa"/>
          </w:tcPr>
          <w:p w:rsidR="00022F3B"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100</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100</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Lard</w:t>
            </w:r>
          </w:p>
        </w:tc>
        <w:tc>
          <w:tcPr>
            <w:tcW w:w="1200" w:type="dxa"/>
          </w:tcPr>
          <w:p w:rsidR="00022F3B" w:rsidRPr="00FF1531" w:rsidRDefault="003F05D8"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+53</w:t>
            </w:r>
          </w:p>
        </w:tc>
        <w:tc>
          <w:tcPr>
            <w:tcW w:w="1080" w:type="dxa"/>
          </w:tcPr>
          <w:p w:rsidR="00022F3B" w:rsidRPr="00FF1531" w:rsidRDefault="003F05D8"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+46</w:t>
            </w: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510AA1"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+53</w:t>
            </w:r>
          </w:p>
        </w:tc>
        <w:tc>
          <w:tcPr>
            <w:tcW w:w="1080" w:type="dxa"/>
          </w:tcPr>
          <w:p w:rsidR="00022F3B" w:rsidRPr="00FF1531" w:rsidRDefault="00510AA1"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+46</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p>
        </w:tc>
        <w:tc>
          <w:tcPr>
            <w:tcW w:w="120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r>
      <w:tr w:rsidR="00022F3B" w:rsidRPr="00FF1531" w:rsidTr="002B15FC">
        <w:tc>
          <w:tcPr>
            <w:tcW w:w="2160" w:type="dxa"/>
          </w:tcPr>
          <w:p w:rsidR="00022F3B" w:rsidRPr="00FF1531" w:rsidRDefault="00022F3B" w:rsidP="00AF5003">
            <w:pPr>
              <w:spacing w:after="0" w:line="240" w:lineRule="auto"/>
              <w:ind w:firstLine="0"/>
              <w:jc w:val="both"/>
              <w:rPr>
                <w:color w:val="0000FF"/>
                <w:sz w:val="18"/>
                <w:szCs w:val="18"/>
              </w:rPr>
            </w:pPr>
            <w:r w:rsidRPr="00FF1531">
              <w:rPr>
                <w:sz w:val="18"/>
                <w:szCs w:val="18"/>
              </w:rPr>
              <w:t>Sugar/Wine</w:t>
            </w:r>
          </w:p>
        </w:tc>
        <w:tc>
          <w:tcPr>
            <w:tcW w:w="1200" w:type="dxa"/>
          </w:tcPr>
          <w:p w:rsidR="00022F3B" w:rsidRPr="00FF1531" w:rsidRDefault="003F05D8"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+90</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+110</w:t>
            </w: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510AA1" w:rsidP="009B62E7">
            <w:pPr>
              <w:tabs>
                <w:tab w:val="decimal" w:pos="270"/>
              </w:tabs>
              <w:spacing w:after="0" w:line="240" w:lineRule="auto"/>
              <w:ind w:firstLine="0"/>
              <w:jc w:val="center"/>
              <w:rPr>
                <w:sz w:val="18"/>
                <w:szCs w:val="18"/>
              </w:rPr>
            </w:pPr>
            <w:r>
              <w:rPr>
                <w:sz w:val="18"/>
                <w:szCs w:val="18"/>
              </w:rPr>
              <w:t xml:space="preserve">  </w:t>
            </w:r>
            <w:r w:rsidR="00022F3B" w:rsidRPr="00FF1531">
              <w:rPr>
                <w:sz w:val="18"/>
                <w:szCs w:val="18"/>
              </w:rPr>
              <w:t>+90</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+110</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r w:rsidRPr="00FF1531">
              <w:rPr>
                <w:sz w:val="18"/>
                <w:szCs w:val="18"/>
              </w:rPr>
              <w:t>Irish/Scottish imports</w:t>
            </w:r>
          </w:p>
        </w:tc>
        <w:tc>
          <w:tcPr>
            <w:tcW w:w="120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+20/+25</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+60/+75</w:t>
            </w: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+20/+25</w:t>
            </w:r>
          </w:p>
        </w:tc>
        <w:tc>
          <w:tcPr>
            <w:tcW w:w="1080" w:type="dxa"/>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+60/+75</w:t>
            </w:r>
          </w:p>
        </w:tc>
      </w:tr>
      <w:tr w:rsidR="00022F3B" w:rsidRPr="00FF1531" w:rsidTr="002B15FC">
        <w:tc>
          <w:tcPr>
            <w:tcW w:w="2160" w:type="dxa"/>
          </w:tcPr>
          <w:p w:rsidR="00022F3B" w:rsidRPr="00FF1531" w:rsidRDefault="00022F3B" w:rsidP="00AF5003">
            <w:pPr>
              <w:spacing w:after="0" w:line="240" w:lineRule="auto"/>
              <w:ind w:firstLine="0"/>
              <w:jc w:val="both"/>
              <w:rPr>
                <w:sz w:val="18"/>
                <w:szCs w:val="18"/>
              </w:rPr>
            </w:pPr>
          </w:p>
        </w:tc>
        <w:tc>
          <w:tcPr>
            <w:tcW w:w="120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36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c>
          <w:tcPr>
            <w:tcW w:w="1080" w:type="dxa"/>
          </w:tcPr>
          <w:p w:rsidR="00022F3B" w:rsidRPr="00FF1531" w:rsidRDefault="00022F3B" w:rsidP="009B62E7">
            <w:pPr>
              <w:tabs>
                <w:tab w:val="decimal" w:pos="270"/>
              </w:tabs>
              <w:spacing w:after="0" w:line="240" w:lineRule="auto"/>
              <w:ind w:firstLine="0"/>
              <w:jc w:val="center"/>
              <w:rPr>
                <w:sz w:val="18"/>
                <w:szCs w:val="18"/>
              </w:rPr>
            </w:pPr>
          </w:p>
        </w:tc>
      </w:tr>
      <w:tr w:rsidR="00022F3B" w:rsidRPr="00FF1531" w:rsidTr="009851F7">
        <w:tc>
          <w:tcPr>
            <w:tcW w:w="2160" w:type="dxa"/>
            <w:tcBorders>
              <w:bottom w:val="single" w:sz="4" w:space="0" w:color="auto"/>
            </w:tcBorders>
          </w:tcPr>
          <w:p w:rsidR="00022F3B" w:rsidRPr="00FF1531" w:rsidRDefault="00022F3B" w:rsidP="00AF5003">
            <w:pPr>
              <w:spacing w:after="0" w:line="240" w:lineRule="auto"/>
              <w:ind w:firstLine="0"/>
              <w:jc w:val="both"/>
              <w:rPr>
                <w:sz w:val="18"/>
                <w:szCs w:val="18"/>
              </w:rPr>
            </w:pPr>
            <w:r w:rsidRPr="00FF1531">
              <w:rPr>
                <w:sz w:val="18"/>
                <w:szCs w:val="18"/>
              </w:rPr>
              <w:t>Total</w:t>
            </w:r>
          </w:p>
        </w:tc>
        <w:tc>
          <w:tcPr>
            <w:tcW w:w="1200" w:type="dxa"/>
            <w:tcBorders>
              <w:bottom w:val="single" w:sz="4" w:space="0" w:color="auto"/>
            </w:tcBorders>
            <w:tcMar>
              <w:bottom w:w="80" w:type="dxa"/>
            </w:tcMar>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1716/</w:t>
            </w:r>
            <w:r>
              <w:rPr>
                <w:sz w:val="18"/>
                <w:szCs w:val="18"/>
              </w:rPr>
              <w:t>‒</w:t>
            </w:r>
            <w:r w:rsidRPr="00FF1531">
              <w:rPr>
                <w:sz w:val="18"/>
                <w:szCs w:val="18"/>
              </w:rPr>
              <w:t>1721</w:t>
            </w:r>
          </w:p>
        </w:tc>
        <w:tc>
          <w:tcPr>
            <w:tcW w:w="1080" w:type="dxa"/>
            <w:tcBorders>
              <w:bottom w:val="single" w:sz="4" w:space="0" w:color="auto"/>
            </w:tcBorders>
          </w:tcPr>
          <w:p w:rsidR="00022F3B" w:rsidRPr="00FF1531" w:rsidRDefault="00022F3B" w:rsidP="009B62E7">
            <w:pPr>
              <w:tabs>
                <w:tab w:val="decimal" w:pos="270"/>
              </w:tabs>
              <w:spacing w:after="0" w:line="240" w:lineRule="auto"/>
              <w:ind w:firstLine="0"/>
              <w:jc w:val="center"/>
              <w:rPr>
                <w:sz w:val="18"/>
                <w:szCs w:val="18"/>
              </w:rPr>
            </w:pPr>
            <w:r>
              <w:rPr>
                <w:sz w:val="18"/>
                <w:szCs w:val="18"/>
              </w:rPr>
              <w:t>‒</w:t>
            </w:r>
            <w:r w:rsidRPr="00FF1531">
              <w:rPr>
                <w:sz w:val="18"/>
                <w:szCs w:val="18"/>
              </w:rPr>
              <w:t>1021/</w:t>
            </w:r>
            <w:r>
              <w:rPr>
                <w:sz w:val="18"/>
                <w:szCs w:val="18"/>
              </w:rPr>
              <w:t>‒</w:t>
            </w:r>
            <w:r w:rsidRPr="00FF1531">
              <w:rPr>
                <w:sz w:val="18"/>
                <w:szCs w:val="18"/>
              </w:rPr>
              <w:t>1036</w:t>
            </w:r>
          </w:p>
        </w:tc>
        <w:tc>
          <w:tcPr>
            <w:tcW w:w="360" w:type="dxa"/>
            <w:tcBorders>
              <w:bottom w:val="single" w:sz="4" w:space="0" w:color="auto"/>
            </w:tcBorders>
          </w:tcPr>
          <w:p w:rsidR="00022F3B" w:rsidRPr="00FF1531" w:rsidRDefault="00022F3B" w:rsidP="009B62E7">
            <w:pPr>
              <w:tabs>
                <w:tab w:val="decimal" w:pos="270"/>
              </w:tabs>
              <w:spacing w:after="0" w:line="240" w:lineRule="auto"/>
              <w:ind w:firstLine="0"/>
              <w:jc w:val="center"/>
              <w:rPr>
                <w:sz w:val="18"/>
                <w:szCs w:val="18"/>
              </w:rPr>
            </w:pPr>
          </w:p>
        </w:tc>
        <w:tc>
          <w:tcPr>
            <w:tcW w:w="1080" w:type="dxa"/>
            <w:tcBorders>
              <w:bottom w:val="single" w:sz="4" w:space="0" w:color="auto"/>
            </w:tcBorders>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+767/+802</w:t>
            </w:r>
          </w:p>
        </w:tc>
        <w:tc>
          <w:tcPr>
            <w:tcW w:w="1080" w:type="dxa"/>
            <w:tcBorders>
              <w:bottom w:val="single" w:sz="4" w:space="0" w:color="auto"/>
            </w:tcBorders>
          </w:tcPr>
          <w:p w:rsidR="00022F3B" w:rsidRPr="00FF1531" w:rsidRDefault="00022F3B" w:rsidP="009B62E7">
            <w:pPr>
              <w:tabs>
                <w:tab w:val="decimal" w:pos="270"/>
              </w:tabs>
              <w:spacing w:after="0" w:line="240" w:lineRule="auto"/>
              <w:ind w:firstLine="0"/>
              <w:jc w:val="center"/>
              <w:rPr>
                <w:sz w:val="18"/>
                <w:szCs w:val="18"/>
              </w:rPr>
            </w:pPr>
            <w:r w:rsidRPr="00FF1531">
              <w:rPr>
                <w:sz w:val="18"/>
                <w:szCs w:val="18"/>
              </w:rPr>
              <w:t>+560/+605</w:t>
            </w:r>
          </w:p>
        </w:tc>
      </w:tr>
    </w:tbl>
    <w:p w:rsidR="00C03E35" w:rsidRDefault="00B671F7">
      <w:pPr>
        <w:spacing w:after="0" w:line="240" w:lineRule="auto"/>
        <w:ind w:firstLine="0"/>
        <w:rPr>
          <w:sz w:val="20"/>
          <w:szCs w:val="20"/>
          <w:lang w:eastAsia="en-IE"/>
        </w:rPr>
      </w:pPr>
      <w:r w:rsidRPr="00B671F7">
        <w:rPr>
          <w:i/>
          <w:sz w:val="18"/>
          <w:szCs w:val="18"/>
        </w:rPr>
        <w:t>Source</w:t>
      </w:r>
      <w:r w:rsidRPr="00FF1531">
        <w:rPr>
          <w:sz w:val="18"/>
          <w:szCs w:val="18"/>
        </w:rPr>
        <w:t>: See</w:t>
      </w:r>
      <w:r>
        <w:rPr>
          <w:sz w:val="18"/>
          <w:szCs w:val="18"/>
        </w:rPr>
        <w:t xml:space="preserve"> the </w:t>
      </w:r>
      <w:r w:rsidRPr="00FF1531">
        <w:rPr>
          <w:sz w:val="18"/>
          <w:szCs w:val="18"/>
        </w:rPr>
        <w:t>text.</w:t>
      </w:r>
      <w:r w:rsidR="00EE7E51">
        <w:rPr>
          <w:sz w:val="18"/>
          <w:szCs w:val="18"/>
        </w:rPr>
        <w:t xml:space="preserve"> </w:t>
      </w:r>
    </w:p>
    <w:p w:rsidR="008E0D9B" w:rsidRPr="00FF1531" w:rsidRDefault="008E0D9B" w:rsidP="008E0D9B">
      <w:pPr>
        <w:spacing w:after="0" w:line="240" w:lineRule="auto"/>
        <w:ind w:firstLine="0"/>
        <w:jc w:val="both"/>
        <w:rPr>
          <w:sz w:val="20"/>
          <w:szCs w:val="20"/>
        </w:rPr>
      </w:pPr>
    </w:p>
    <w:p w:rsidR="00876C94" w:rsidRPr="00FE3EC6" w:rsidRDefault="008E0D9B" w:rsidP="00662230">
      <w:pPr>
        <w:spacing w:after="0" w:line="240" w:lineRule="auto"/>
        <w:ind w:firstLine="0"/>
        <w:jc w:val="center"/>
        <w:rPr>
          <w:sz w:val="18"/>
          <w:szCs w:val="18"/>
        </w:rPr>
      </w:pPr>
      <w:r>
        <w:rPr>
          <w:sz w:val="20"/>
          <w:szCs w:val="20"/>
        </w:rPr>
        <w:br w:type="page"/>
      </w:r>
      <w:r w:rsidR="00C21AA4" w:rsidRPr="00FE3EC6">
        <w:rPr>
          <w:sz w:val="18"/>
          <w:szCs w:val="18"/>
        </w:rPr>
        <w:lastRenderedPageBreak/>
        <w:t>REFERENCES</w:t>
      </w:r>
    </w:p>
    <w:p w:rsidR="00C21AA4" w:rsidRDefault="00C21AA4" w:rsidP="006F2089">
      <w:pPr>
        <w:tabs>
          <w:tab w:val="left" w:pos="200"/>
        </w:tabs>
        <w:spacing w:after="0" w:line="240" w:lineRule="auto"/>
        <w:ind w:firstLine="0"/>
        <w:jc w:val="center"/>
        <w:rPr>
          <w:rFonts w:ascii="TimesNewRomanPSMT" w:hAnsi="TimesNewRomanPSMT" w:cs="TimesNewRomanPSMT"/>
          <w:sz w:val="18"/>
          <w:szCs w:val="18"/>
        </w:rPr>
      </w:pPr>
    </w:p>
    <w:p w:rsidR="001D0BF0" w:rsidRPr="00DA032A" w:rsidRDefault="001D0BF0" w:rsidP="001D0BF0">
      <w:pPr>
        <w:widowControl w:val="0"/>
        <w:autoSpaceDE w:val="0"/>
        <w:autoSpaceDN w:val="0"/>
        <w:adjustRightInd w:val="0"/>
        <w:spacing w:after="0" w:line="240" w:lineRule="auto"/>
        <w:ind w:left="400" w:hanging="400"/>
        <w:jc w:val="both"/>
        <w:rPr>
          <w:spacing w:val="-16"/>
          <w:sz w:val="20"/>
          <w:szCs w:val="20"/>
        </w:rPr>
      </w:pPr>
      <w:r w:rsidRPr="00DA032A">
        <w:rPr>
          <w:spacing w:val="-16"/>
          <w:sz w:val="20"/>
          <w:szCs w:val="20"/>
        </w:rPr>
        <w:t>Allen, Robert C. “English and Welsh Agriculture, 1300‒1850: Output, Inputs, and Income.” Oxford University</w:t>
      </w:r>
      <w:r w:rsidR="001C2A5F" w:rsidRPr="00DA032A">
        <w:rPr>
          <w:spacing w:val="-16"/>
          <w:sz w:val="20"/>
          <w:szCs w:val="20"/>
        </w:rPr>
        <w:t>.</w:t>
      </w:r>
      <w:r w:rsidRPr="00DA032A">
        <w:rPr>
          <w:spacing w:val="-16"/>
          <w:sz w:val="20"/>
          <w:szCs w:val="20"/>
        </w:rPr>
        <w:t xml:space="preserve"> </w:t>
      </w:r>
      <w:r w:rsidR="001C2A5F" w:rsidRPr="00DA032A">
        <w:rPr>
          <w:spacing w:val="-16"/>
          <w:sz w:val="20"/>
          <w:szCs w:val="20"/>
        </w:rPr>
        <w:t>A</w:t>
      </w:r>
      <w:r w:rsidRPr="00DA032A">
        <w:rPr>
          <w:spacing w:val="-16"/>
          <w:sz w:val="20"/>
          <w:szCs w:val="20"/>
        </w:rPr>
        <w:t xml:space="preserve">vailable </w:t>
      </w:r>
      <w:r w:rsidR="00313590" w:rsidRPr="00DA032A">
        <w:rPr>
          <w:spacing w:val="-16"/>
          <w:sz w:val="20"/>
          <w:szCs w:val="20"/>
        </w:rPr>
        <w:t xml:space="preserve">online </w:t>
      </w:r>
      <w:r w:rsidRPr="00DA032A">
        <w:rPr>
          <w:spacing w:val="-16"/>
          <w:sz w:val="20"/>
          <w:szCs w:val="20"/>
        </w:rPr>
        <w:t xml:space="preserve">at </w:t>
      </w:r>
      <w:r w:rsidR="001C2A5F" w:rsidRPr="00DA032A">
        <w:rPr>
          <w:spacing w:val="-16"/>
          <w:sz w:val="20"/>
          <w:szCs w:val="20"/>
        </w:rPr>
        <w:t>http://</w:t>
      </w:r>
      <w:r w:rsidRPr="00DA032A">
        <w:rPr>
          <w:iCs/>
          <w:spacing w:val="-16"/>
          <w:sz w:val="20"/>
          <w:szCs w:val="20"/>
        </w:rPr>
        <w:t>www.nuffield.ox.ac.uk/users/allen/unpublished/AllenE&amp;W.pdf</w:t>
      </w:r>
      <w:r w:rsidRPr="00DA032A">
        <w:rPr>
          <w:spacing w:val="-16"/>
          <w:sz w:val="20"/>
          <w:szCs w:val="20"/>
        </w:rPr>
        <w:t>, 2005.</w:t>
      </w:r>
    </w:p>
    <w:p w:rsidR="00BC5288" w:rsidRPr="009B416D" w:rsidRDefault="00BC5288" w:rsidP="00BC5288">
      <w:pPr>
        <w:widowControl w:val="0"/>
        <w:autoSpaceDE w:val="0"/>
        <w:autoSpaceDN w:val="0"/>
        <w:adjustRightInd w:val="0"/>
        <w:spacing w:after="0" w:line="240" w:lineRule="auto"/>
        <w:ind w:left="400" w:hanging="400"/>
        <w:rPr>
          <w:sz w:val="20"/>
          <w:szCs w:val="20"/>
          <w:lang w:eastAsia="en-IE"/>
        </w:rPr>
      </w:pPr>
      <w:r w:rsidRPr="009B416D">
        <w:rPr>
          <w:rFonts w:eastAsia="MS Minngs"/>
          <w:sz w:val="20"/>
          <w:szCs w:val="20"/>
          <w:lang w:eastAsia="ja-JP"/>
        </w:rPr>
        <w:t xml:space="preserve">Apostolides, Alexander, </w:t>
      </w:r>
      <w:r w:rsidRPr="009B416D">
        <w:rPr>
          <w:sz w:val="20"/>
          <w:szCs w:val="20"/>
        </w:rPr>
        <w:t>Stephen</w:t>
      </w:r>
      <w:r>
        <w:rPr>
          <w:sz w:val="20"/>
          <w:szCs w:val="20"/>
        </w:rPr>
        <w:t xml:space="preserve"> </w:t>
      </w:r>
      <w:r w:rsidRPr="009B416D">
        <w:rPr>
          <w:sz w:val="20"/>
          <w:szCs w:val="20"/>
        </w:rPr>
        <w:t>Broadberry, Bruce Campbell, Mark Overton, and Bas van Leeuwen</w:t>
      </w:r>
      <w:r w:rsidRPr="009B416D">
        <w:rPr>
          <w:rFonts w:eastAsia="MS Minngs"/>
          <w:sz w:val="20"/>
          <w:szCs w:val="20"/>
          <w:lang w:eastAsia="ja-JP"/>
        </w:rPr>
        <w:t>. “</w:t>
      </w:r>
      <w:r w:rsidRPr="009B416D">
        <w:rPr>
          <w:sz w:val="20"/>
          <w:szCs w:val="20"/>
          <w:lang w:eastAsia="en-IE"/>
        </w:rPr>
        <w:t>English Agricultural Output and Labour Productivity, 1250</w:t>
      </w:r>
      <w:r>
        <w:rPr>
          <w:sz w:val="20"/>
          <w:szCs w:val="20"/>
          <w:lang w:eastAsia="en-IE"/>
        </w:rPr>
        <w:t>‒</w:t>
      </w:r>
      <w:r w:rsidRPr="009B416D">
        <w:rPr>
          <w:sz w:val="20"/>
          <w:szCs w:val="20"/>
          <w:lang w:eastAsia="en-IE"/>
        </w:rPr>
        <w:t>1850: Some Preliminary Estimates</w:t>
      </w:r>
      <w:r>
        <w:rPr>
          <w:sz w:val="20"/>
          <w:szCs w:val="20"/>
          <w:lang w:eastAsia="en-IE"/>
        </w:rPr>
        <w:t>.</w:t>
      </w:r>
      <w:r w:rsidRPr="009B416D">
        <w:rPr>
          <w:sz w:val="20"/>
          <w:szCs w:val="20"/>
          <w:lang w:eastAsia="en-IE"/>
        </w:rPr>
        <w:t>” 2008.</w:t>
      </w:r>
    </w:p>
    <w:p w:rsidR="009F54D7" w:rsidRDefault="009F54D7" w:rsidP="00BC5288">
      <w:pPr>
        <w:widowControl w:val="0"/>
        <w:autoSpaceDE w:val="0"/>
        <w:autoSpaceDN w:val="0"/>
        <w:adjustRightInd w:val="0"/>
        <w:spacing w:after="0" w:line="240" w:lineRule="auto"/>
        <w:ind w:left="400" w:hanging="400"/>
        <w:jc w:val="both"/>
        <w:rPr>
          <w:rFonts w:eastAsia="MS Minngs"/>
          <w:sz w:val="20"/>
          <w:szCs w:val="20"/>
          <w:lang w:val="en-GB" w:eastAsia="ja-JP"/>
        </w:rPr>
      </w:pPr>
      <w:r w:rsidRPr="009B416D">
        <w:rPr>
          <w:rFonts w:eastAsia="MS Minngs"/>
          <w:sz w:val="20"/>
          <w:szCs w:val="20"/>
          <w:lang w:val="en-GB" w:eastAsia="ja-JP"/>
        </w:rPr>
        <w:t xml:space="preserve">Blackman, Janet. “The Cattle Trade and Agrarian Change on the Eve of the Railway Age.” </w:t>
      </w:r>
      <w:r w:rsidRPr="009B416D">
        <w:rPr>
          <w:rFonts w:eastAsia="MS Minngs"/>
          <w:i/>
          <w:iCs/>
          <w:sz w:val="20"/>
          <w:szCs w:val="20"/>
          <w:lang w:val="en-GB" w:eastAsia="ja-JP"/>
        </w:rPr>
        <w:t>Agricultural History Review</w:t>
      </w:r>
      <w:r w:rsidRPr="009B416D">
        <w:rPr>
          <w:rFonts w:eastAsia="MS Minngs"/>
          <w:sz w:val="20"/>
          <w:szCs w:val="20"/>
          <w:lang w:val="en-GB" w:eastAsia="ja-JP"/>
        </w:rPr>
        <w:t xml:space="preserve"> 23, no. 1 (1975): 48</w:t>
      </w:r>
      <w:r>
        <w:rPr>
          <w:rFonts w:eastAsia="MS Minngs"/>
          <w:sz w:val="20"/>
          <w:szCs w:val="20"/>
          <w:lang w:val="en-GB" w:eastAsia="ja-JP"/>
        </w:rPr>
        <w:t>‒</w:t>
      </w:r>
      <w:r w:rsidRPr="009B416D">
        <w:rPr>
          <w:rFonts w:eastAsia="MS Minngs"/>
          <w:sz w:val="20"/>
          <w:szCs w:val="20"/>
          <w:lang w:val="en-GB" w:eastAsia="ja-JP"/>
        </w:rPr>
        <w:t>62.</w:t>
      </w:r>
    </w:p>
    <w:p w:rsidR="00504A24" w:rsidRPr="00951016" w:rsidRDefault="00504A24" w:rsidP="00504A24">
      <w:pPr>
        <w:widowControl w:val="0"/>
        <w:autoSpaceDE w:val="0"/>
        <w:autoSpaceDN w:val="0"/>
        <w:adjustRightInd w:val="0"/>
        <w:spacing w:after="0" w:line="240" w:lineRule="auto"/>
        <w:ind w:left="400" w:hanging="400"/>
        <w:jc w:val="both"/>
        <w:rPr>
          <w:rStyle w:val="Strong"/>
          <w:b w:val="0"/>
          <w:bCs w:val="0"/>
          <w:spacing w:val="-16"/>
          <w:sz w:val="20"/>
          <w:szCs w:val="20"/>
        </w:rPr>
      </w:pPr>
      <w:r w:rsidRPr="00951016">
        <w:rPr>
          <w:spacing w:val="-16"/>
          <w:sz w:val="20"/>
          <w:szCs w:val="20"/>
        </w:rPr>
        <w:t>Broadberry, Stephen, Bruce Campbell, Alexander Klein, Mark Overton, and Bas van Leeuwen. “British Economic Growth, 1270‒1870: An Output-Based Approach.” 18 December 2011</w:t>
      </w:r>
      <w:r>
        <w:rPr>
          <w:spacing w:val="-16"/>
          <w:sz w:val="20"/>
          <w:szCs w:val="20"/>
        </w:rPr>
        <w:t>a</w:t>
      </w:r>
      <w:r w:rsidRPr="00951016">
        <w:rPr>
          <w:spacing w:val="-16"/>
          <w:sz w:val="20"/>
          <w:szCs w:val="20"/>
        </w:rPr>
        <w:t>. Available online at http://www2.lse.ac.uk/economicHistory/pdf/Broadberry/BritishGDPLongRun16a.pdf.</w:t>
      </w:r>
    </w:p>
    <w:p w:rsidR="00504A24" w:rsidRDefault="00504A24" w:rsidP="00504A24">
      <w:pPr>
        <w:widowControl w:val="0"/>
        <w:autoSpaceDE w:val="0"/>
        <w:autoSpaceDN w:val="0"/>
        <w:adjustRightInd w:val="0"/>
        <w:spacing w:after="0" w:line="240" w:lineRule="auto"/>
        <w:ind w:left="400" w:hanging="400"/>
        <w:jc w:val="both"/>
        <w:rPr>
          <w:spacing w:val="-16"/>
          <w:sz w:val="20"/>
          <w:szCs w:val="20"/>
          <w:lang w:eastAsia="en-IE"/>
        </w:rPr>
      </w:pPr>
      <w:r w:rsidRPr="00DF796F">
        <w:rPr>
          <w:sz w:val="20"/>
        </w:rPr>
        <w:t>______.</w:t>
      </w:r>
      <w:r w:rsidRPr="00DF796F">
        <w:rPr>
          <w:sz w:val="20"/>
          <w:szCs w:val="20"/>
        </w:rPr>
        <w:t xml:space="preserve"> </w:t>
      </w:r>
      <w:r w:rsidRPr="00D908FB">
        <w:rPr>
          <w:spacing w:val="-16"/>
          <w:sz w:val="20"/>
          <w:szCs w:val="20"/>
        </w:rPr>
        <w:t>“</w:t>
      </w:r>
      <w:r w:rsidRPr="00D908FB">
        <w:rPr>
          <w:spacing w:val="-16"/>
          <w:sz w:val="20"/>
          <w:szCs w:val="20"/>
          <w:lang w:eastAsia="en-IE"/>
        </w:rPr>
        <w:t>Appendix for British Economic Growth, 1270‒1870: An Output-Based Approach,” 2011</w:t>
      </w:r>
      <w:r>
        <w:rPr>
          <w:spacing w:val="-16"/>
          <w:sz w:val="20"/>
          <w:szCs w:val="20"/>
          <w:lang w:eastAsia="en-IE"/>
        </w:rPr>
        <w:t>b</w:t>
      </w:r>
      <w:r w:rsidRPr="00D908FB">
        <w:rPr>
          <w:spacing w:val="-16"/>
          <w:sz w:val="20"/>
          <w:szCs w:val="20"/>
          <w:lang w:eastAsia="en-IE"/>
        </w:rPr>
        <w:t>.</w:t>
      </w:r>
    </w:p>
    <w:p w:rsidR="00C42041" w:rsidRPr="00DF6EA7" w:rsidRDefault="00C42041" w:rsidP="00C42041">
      <w:pPr>
        <w:widowControl w:val="0"/>
        <w:autoSpaceDE w:val="0"/>
        <w:autoSpaceDN w:val="0"/>
        <w:adjustRightInd w:val="0"/>
        <w:spacing w:after="0" w:line="240" w:lineRule="auto"/>
        <w:ind w:left="400" w:hanging="400"/>
        <w:jc w:val="both"/>
        <w:rPr>
          <w:rStyle w:val="Strong"/>
          <w:b w:val="0"/>
          <w:bCs w:val="0"/>
          <w:w w:val="98"/>
          <w:sz w:val="20"/>
          <w:szCs w:val="20"/>
          <w:lang w:eastAsia="en-IE"/>
        </w:rPr>
      </w:pPr>
      <w:r w:rsidRPr="00DF6EA7">
        <w:rPr>
          <w:w w:val="98"/>
          <w:sz w:val="20"/>
          <w:szCs w:val="20"/>
          <w:lang w:eastAsia="en-IE"/>
        </w:rPr>
        <w:t xml:space="preserve">Campbell, Bruce M. S., James A. Galloway, Derek Keene, and Margaret Murphy. </w:t>
      </w:r>
      <w:r w:rsidRPr="0038292C">
        <w:rPr>
          <w:spacing w:val="12"/>
        </w:rPr>
        <w:br/>
      </w:r>
      <w:r w:rsidRPr="00DF6EA7">
        <w:rPr>
          <w:i/>
          <w:iCs/>
          <w:w w:val="98"/>
          <w:sz w:val="20"/>
          <w:szCs w:val="20"/>
          <w:lang w:eastAsia="en-IE"/>
        </w:rPr>
        <w:t xml:space="preserve">A Medieval Capital and Its Grain Supply: Agrarian Production and Distribution in the London Region </w:t>
      </w:r>
      <w:r w:rsidRPr="00DF6EA7">
        <w:rPr>
          <w:w w:val="98"/>
          <w:sz w:val="20"/>
          <w:szCs w:val="20"/>
          <w:lang w:eastAsia="en-IE"/>
        </w:rPr>
        <w:t>c.</w:t>
      </w:r>
      <w:r w:rsidRPr="00DF6EA7">
        <w:rPr>
          <w:i/>
          <w:iCs/>
          <w:w w:val="98"/>
          <w:sz w:val="20"/>
          <w:szCs w:val="20"/>
          <w:lang w:eastAsia="en-IE"/>
        </w:rPr>
        <w:t xml:space="preserve"> 1300. </w:t>
      </w:r>
      <w:r w:rsidRPr="00DF6EA7">
        <w:rPr>
          <w:w w:val="98"/>
          <w:sz w:val="20"/>
          <w:szCs w:val="20"/>
          <w:lang w:eastAsia="en-IE"/>
        </w:rPr>
        <w:t>Historical Geography Research Paper Series, 1993.</w:t>
      </w:r>
    </w:p>
    <w:p w:rsidR="001E5CFC" w:rsidRPr="009B416D" w:rsidRDefault="001E5CFC" w:rsidP="00C42041">
      <w:pPr>
        <w:widowControl w:val="0"/>
        <w:autoSpaceDE w:val="0"/>
        <w:autoSpaceDN w:val="0"/>
        <w:adjustRightInd w:val="0"/>
        <w:spacing w:after="0" w:line="240" w:lineRule="auto"/>
        <w:ind w:left="400" w:hanging="400"/>
        <w:jc w:val="both"/>
        <w:rPr>
          <w:sz w:val="20"/>
          <w:szCs w:val="20"/>
          <w:lang w:val="en-GB"/>
        </w:rPr>
      </w:pPr>
      <w:r w:rsidRPr="009B416D">
        <w:rPr>
          <w:sz w:val="20"/>
          <w:szCs w:val="20"/>
        </w:rPr>
        <w:t xml:space="preserve">Cullen, Louis M. </w:t>
      </w:r>
      <w:r w:rsidRPr="009B416D">
        <w:rPr>
          <w:i/>
          <w:iCs/>
          <w:sz w:val="20"/>
          <w:szCs w:val="20"/>
        </w:rPr>
        <w:t>Anglo-Irish Trade</w:t>
      </w:r>
      <w:r>
        <w:rPr>
          <w:i/>
          <w:iCs/>
          <w:sz w:val="20"/>
          <w:szCs w:val="20"/>
        </w:rPr>
        <w:t>,</w:t>
      </w:r>
      <w:r w:rsidRPr="009B416D">
        <w:rPr>
          <w:i/>
          <w:iCs/>
          <w:sz w:val="20"/>
          <w:szCs w:val="20"/>
        </w:rPr>
        <w:t xml:space="preserve"> 1660</w:t>
      </w:r>
      <w:r>
        <w:rPr>
          <w:i/>
          <w:iCs/>
          <w:sz w:val="20"/>
          <w:szCs w:val="20"/>
        </w:rPr>
        <w:t>‒</w:t>
      </w:r>
      <w:r w:rsidRPr="009B416D">
        <w:rPr>
          <w:i/>
          <w:iCs/>
          <w:sz w:val="20"/>
          <w:szCs w:val="20"/>
        </w:rPr>
        <w:t>1800</w:t>
      </w:r>
      <w:r w:rsidRPr="009B416D">
        <w:rPr>
          <w:sz w:val="20"/>
          <w:szCs w:val="20"/>
        </w:rPr>
        <w:t>.</w:t>
      </w:r>
      <w:r>
        <w:rPr>
          <w:sz w:val="20"/>
          <w:szCs w:val="20"/>
        </w:rPr>
        <w:t xml:space="preserve"> </w:t>
      </w:r>
      <w:r w:rsidRPr="009B416D">
        <w:rPr>
          <w:sz w:val="20"/>
          <w:szCs w:val="20"/>
          <w:lang w:val="en-GB"/>
        </w:rPr>
        <w:t>Manchester: Manchester University Press, 1968.</w:t>
      </w:r>
    </w:p>
    <w:p w:rsidR="00FA6C58" w:rsidRPr="009B416D" w:rsidRDefault="00FA6C58" w:rsidP="006F2089">
      <w:pPr>
        <w:pStyle w:val="Heading1"/>
        <w:spacing w:before="0" w:after="0"/>
        <w:ind w:left="400" w:hanging="400"/>
        <w:jc w:val="both"/>
        <w:rPr>
          <w:rFonts w:ascii="Times New Roman" w:hAnsi="Times New Roman" w:cs="Times New Roman"/>
          <w:b w:val="0"/>
          <w:bCs w:val="0"/>
          <w:sz w:val="20"/>
          <w:szCs w:val="20"/>
        </w:rPr>
      </w:pPr>
      <w:r w:rsidRPr="009B416D">
        <w:rPr>
          <w:rFonts w:ascii="Times New Roman" w:hAnsi="Times New Roman" w:cs="Times New Roman"/>
          <w:b w:val="0"/>
          <w:bCs w:val="0"/>
          <w:sz w:val="20"/>
          <w:szCs w:val="20"/>
        </w:rPr>
        <w:t xml:space="preserve">Floud, Roderick, Robert W. Fogel, Bernard Harris, and Sok Chul Hong. </w:t>
      </w:r>
      <w:r w:rsidRPr="009B416D">
        <w:rPr>
          <w:rFonts w:ascii="Times New Roman" w:hAnsi="Times New Roman" w:cs="Times New Roman"/>
          <w:b w:val="0"/>
          <w:bCs w:val="0"/>
          <w:i/>
          <w:iCs/>
          <w:sz w:val="20"/>
          <w:szCs w:val="20"/>
        </w:rPr>
        <w:t>The Changing Body: Health, Nutrition, and Human Development in the Western World Since 1700</w:t>
      </w:r>
      <w:r w:rsidRPr="009B416D">
        <w:rPr>
          <w:rFonts w:ascii="Times New Roman" w:hAnsi="Times New Roman" w:cs="Times New Roman"/>
          <w:b w:val="0"/>
          <w:bCs w:val="0"/>
          <w:sz w:val="20"/>
          <w:szCs w:val="20"/>
        </w:rPr>
        <w:t>. Cambridge: Cambridge University Press, 2011.</w:t>
      </w:r>
    </w:p>
    <w:p w:rsidR="00A651B1" w:rsidRPr="009A6909" w:rsidRDefault="00A651B1" w:rsidP="006F2089">
      <w:pPr>
        <w:widowControl w:val="0"/>
        <w:autoSpaceDE w:val="0"/>
        <w:autoSpaceDN w:val="0"/>
        <w:adjustRightInd w:val="0"/>
        <w:spacing w:after="0" w:line="240" w:lineRule="auto"/>
        <w:ind w:left="400" w:hanging="400"/>
        <w:jc w:val="both"/>
        <w:rPr>
          <w:sz w:val="20"/>
          <w:szCs w:val="20"/>
          <w:lang w:eastAsia="en-IE"/>
        </w:rPr>
      </w:pPr>
      <w:r w:rsidRPr="009B416D">
        <w:rPr>
          <w:sz w:val="20"/>
          <w:szCs w:val="20"/>
          <w:lang w:eastAsia="en-IE"/>
        </w:rPr>
        <w:t xml:space="preserve">Holderness, Brian A. “Prices, Productivity, and Output.” In </w:t>
      </w:r>
      <w:r w:rsidRPr="009B416D">
        <w:rPr>
          <w:i/>
          <w:iCs/>
          <w:sz w:val="20"/>
          <w:szCs w:val="20"/>
          <w:lang w:eastAsia="en-IE"/>
        </w:rPr>
        <w:t xml:space="preserve">Agrarian History of England and Wales, </w:t>
      </w:r>
      <w:r w:rsidR="001E5666">
        <w:rPr>
          <w:iCs/>
          <w:sz w:val="20"/>
          <w:szCs w:val="20"/>
          <w:lang w:eastAsia="en-IE"/>
        </w:rPr>
        <w:t xml:space="preserve">edited by </w:t>
      </w:r>
      <w:r w:rsidR="001E5666" w:rsidRPr="009B416D">
        <w:rPr>
          <w:sz w:val="20"/>
          <w:szCs w:val="20"/>
        </w:rPr>
        <w:t xml:space="preserve">Gordon E. </w:t>
      </w:r>
      <w:r w:rsidRPr="009B416D">
        <w:rPr>
          <w:sz w:val="20"/>
          <w:szCs w:val="20"/>
          <w:lang w:eastAsia="en-IE"/>
        </w:rPr>
        <w:t>Mingay, 1</w:t>
      </w:r>
      <w:r>
        <w:rPr>
          <w:sz w:val="20"/>
          <w:szCs w:val="20"/>
          <w:lang w:eastAsia="en-IE"/>
        </w:rPr>
        <w:t>‒</w:t>
      </w:r>
      <w:r w:rsidRPr="009B416D">
        <w:rPr>
          <w:sz w:val="20"/>
          <w:szCs w:val="20"/>
          <w:lang w:eastAsia="en-IE"/>
        </w:rPr>
        <w:t>118</w:t>
      </w:r>
      <w:r w:rsidR="009A6909">
        <w:rPr>
          <w:sz w:val="20"/>
          <w:szCs w:val="20"/>
          <w:lang w:eastAsia="en-IE"/>
        </w:rPr>
        <w:t>.</w:t>
      </w:r>
      <w:r w:rsidR="009A6909" w:rsidRPr="009A6909">
        <w:rPr>
          <w:lang w:val="en"/>
        </w:rPr>
        <w:t xml:space="preserve"> </w:t>
      </w:r>
      <w:r w:rsidR="009A6909" w:rsidRPr="009A6909">
        <w:rPr>
          <w:sz w:val="20"/>
          <w:szCs w:val="20"/>
          <w:lang w:val="en"/>
        </w:rPr>
        <w:t>Cambridge: Cambridge University Press, 1989</w:t>
      </w:r>
      <w:r w:rsidRPr="009A6909">
        <w:rPr>
          <w:sz w:val="20"/>
          <w:szCs w:val="20"/>
          <w:lang w:eastAsia="en-IE"/>
        </w:rPr>
        <w:t>.</w:t>
      </w:r>
    </w:p>
    <w:p w:rsidR="003C3EA2" w:rsidRDefault="003C3EA2" w:rsidP="006F2089">
      <w:pPr>
        <w:widowControl w:val="0"/>
        <w:autoSpaceDE w:val="0"/>
        <w:autoSpaceDN w:val="0"/>
        <w:adjustRightInd w:val="0"/>
        <w:spacing w:after="0" w:line="240" w:lineRule="auto"/>
        <w:ind w:left="400" w:hanging="400"/>
        <w:jc w:val="both"/>
        <w:rPr>
          <w:sz w:val="20"/>
          <w:szCs w:val="20"/>
        </w:rPr>
      </w:pPr>
      <w:r w:rsidRPr="009B416D">
        <w:rPr>
          <w:sz w:val="20"/>
          <w:szCs w:val="20"/>
        </w:rPr>
        <w:t>McCance, Robert A.</w:t>
      </w:r>
      <w:r w:rsidR="00F74D1A">
        <w:rPr>
          <w:sz w:val="20"/>
          <w:szCs w:val="20"/>
        </w:rPr>
        <w:t>,</w:t>
      </w:r>
      <w:r w:rsidRPr="009B416D">
        <w:rPr>
          <w:sz w:val="20"/>
          <w:szCs w:val="20"/>
        </w:rPr>
        <w:t xml:space="preserve"> and Elsie M. Widdowson. </w:t>
      </w:r>
      <w:r w:rsidRPr="009B416D">
        <w:rPr>
          <w:i/>
          <w:iCs/>
          <w:sz w:val="20"/>
          <w:szCs w:val="20"/>
        </w:rPr>
        <w:t xml:space="preserve">The Composition of Foods. </w:t>
      </w:r>
      <w:r w:rsidRPr="009B416D">
        <w:rPr>
          <w:sz w:val="20"/>
          <w:szCs w:val="20"/>
        </w:rPr>
        <w:t>London: HMSO, London, 1960.</w:t>
      </w:r>
    </w:p>
    <w:p w:rsidR="003C3EA2" w:rsidRDefault="003C3EA2" w:rsidP="003C3EA2">
      <w:pPr>
        <w:widowControl w:val="0"/>
        <w:autoSpaceDE w:val="0"/>
        <w:autoSpaceDN w:val="0"/>
        <w:adjustRightInd w:val="0"/>
        <w:spacing w:after="0" w:line="240" w:lineRule="auto"/>
        <w:ind w:left="400" w:hanging="400"/>
        <w:jc w:val="both"/>
        <w:rPr>
          <w:sz w:val="20"/>
          <w:szCs w:val="20"/>
        </w:rPr>
      </w:pPr>
      <w:r w:rsidRPr="009B416D">
        <w:rPr>
          <w:sz w:val="20"/>
          <w:szCs w:val="20"/>
        </w:rPr>
        <w:t>Moore-Colyer, Richard J. “Livestock</w:t>
      </w:r>
      <w:r>
        <w:rPr>
          <w:sz w:val="20"/>
          <w:szCs w:val="20"/>
        </w:rPr>
        <w:t>.</w:t>
      </w:r>
      <w:r w:rsidRPr="009B416D">
        <w:rPr>
          <w:sz w:val="20"/>
          <w:szCs w:val="20"/>
        </w:rPr>
        <w:t xml:space="preserve">” </w:t>
      </w:r>
      <w:r w:rsidR="009C364A" w:rsidRPr="009B416D">
        <w:rPr>
          <w:sz w:val="20"/>
          <w:szCs w:val="20"/>
        </w:rPr>
        <w:t xml:space="preserve">In </w:t>
      </w:r>
      <w:r w:rsidRPr="009B416D">
        <w:rPr>
          <w:i/>
          <w:iCs/>
          <w:sz w:val="20"/>
          <w:szCs w:val="20"/>
        </w:rPr>
        <w:t xml:space="preserve">Agrarian History of England and Wales, </w:t>
      </w:r>
      <w:r w:rsidR="009C364A">
        <w:rPr>
          <w:iCs/>
          <w:sz w:val="20"/>
          <w:szCs w:val="20"/>
        </w:rPr>
        <w:t>edited by Gordon E. Mingay,</w:t>
      </w:r>
      <w:r w:rsidRPr="009B416D">
        <w:rPr>
          <w:sz w:val="20"/>
          <w:szCs w:val="20"/>
        </w:rPr>
        <w:t xml:space="preserve"> 313</w:t>
      </w:r>
      <w:r>
        <w:rPr>
          <w:sz w:val="20"/>
          <w:szCs w:val="20"/>
        </w:rPr>
        <w:t>‒</w:t>
      </w:r>
      <w:r w:rsidRPr="009B416D">
        <w:rPr>
          <w:sz w:val="20"/>
          <w:szCs w:val="20"/>
        </w:rPr>
        <w:t>83.</w:t>
      </w:r>
      <w:r w:rsidR="009C364A">
        <w:rPr>
          <w:sz w:val="20"/>
          <w:szCs w:val="20"/>
        </w:rPr>
        <w:t xml:space="preserve"> Cambridge: Cambridge University Press, </w:t>
      </w:r>
      <w:r w:rsidR="009C364A" w:rsidRPr="009C364A">
        <w:rPr>
          <w:b/>
          <w:sz w:val="20"/>
          <w:szCs w:val="20"/>
        </w:rPr>
        <w:t>year?.</w:t>
      </w:r>
    </w:p>
    <w:p w:rsidR="00813153" w:rsidRPr="009B416D" w:rsidRDefault="00813153" w:rsidP="006F2089">
      <w:pPr>
        <w:widowControl w:val="0"/>
        <w:autoSpaceDE w:val="0"/>
        <w:autoSpaceDN w:val="0"/>
        <w:adjustRightInd w:val="0"/>
        <w:spacing w:after="0" w:line="240" w:lineRule="auto"/>
        <w:ind w:left="400" w:hanging="400"/>
        <w:jc w:val="both"/>
        <w:rPr>
          <w:sz w:val="20"/>
          <w:szCs w:val="20"/>
        </w:rPr>
      </w:pPr>
      <w:r w:rsidRPr="009B416D">
        <w:rPr>
          <w:sz w:val="20"/>
          <w:szCs w:val="20"/>
        </w:rPr>
        <w:t xml:space="preserve">Muldrew, Craig. </w:t>
      </w:r>
      <w:r w:rsidRPr="009B416D">
        <w:rPr>
          <w:i/>
          <w:iCs/>
          <w:sz w:val="20"/>
          <w:szCs w:val="20"/>
        </w:rPr>
        <w:t>Food, Energy</w:t>
      </w:r>
      <w:r w:rsidR="00741333">
        <w:rPr>
          <w:i/>
          <w:iCs/>
          <w:sz w:val="20"/>
          <w:szCs w:val="20"/>
        </w:rPr>
        <w:t>,</w:t>
      </w:r>
      <w:r w:rsidRPr="009B416D">
        <w:rPr>
          <w:i/>
          <w:iCs/>
          <w:sz w:val="20"/>
          <w:szCs w:val="20"/>
        </w:rPr>
        <w:t xml:space="preserve"> and the Creation of Industriousness</w:t>
      </w:r>
      <w:r w:rsidRPr="009B416D">
        <w:rPr>
          <w:sz w:val="20"/>
          <w:szCs w:val="20"/>
        </w:rPr>
        <w:t>. Oxford: Oxford University Press, 2011.</w:t>
      </w:r>
    </w:p>
    <w:p w:rsidR="00DF5947" w:rsidRDefault="00DF5947" w:rsidP="006F2089">
      <w:pPr>
        <w:widowControl w:val="0"/>
        <w:autoSpaceDE w:val="0"/>
        <w:autoSpaceDN w:val="0"/>
        <w:adjustRightInd w:val="0"/>
        <w:spacing w:after="0" w:line="240" w:lineRule="auto"/>
        <w:ind w:left="400" w:hanging="400"/>
        <w:jc w:val="both"/>
        <w:rPr>
          <w:sz w:val="20"/>
          <w:szCs w:val="20"/>
          <w:lang w:eastAsia="en-IE"/>
        </w:rPr>
      </w:pPr>
      <w:r w:rsidRPr="009B416D">
        <w:rPr>
          <w:sz w:val="20"/>
          <w:szCs w:val="20"/>
          <w:lang w:eastAsia="en-IE"/>
        </w:rPr>
        <w:t xml:space="preserve">Salaman, Redcliffe N.  </w:t>
      </w:r>
      <w:r w:rsidRPr="009B416D">
        <w:rPr>
          <w:i/>
          <w:iCs/>
          <w:sz w:val="20"/>
          <w:szCs w:val="20"/>
          <w:lang w:eastAsia="en-IE"/>
        </w:rPr>
        <w:t>The History and Social Influence of the Potato</w:t>
      </w:r>
      <w:r w:rsidRPr="009B416D">
        <w:rPr>
          <w:sz w:val="20"/>
          <w:szCs w:val="20"/>
          <w:lang w:eastAsia="en-IE"/>
        </w:rPr>
        <w:t>. Cambridge: Cambridge University Press, 1949.</w:t>
      </w:r>
    </w:p>
    <w:p w:rsidR="006E2BED" w:rsidRDefault="004B6595" w:rsidP="006F2089">
      <w:pPr>
        <w:widowControl w:val="0"/>
        <w:autoSpaceDE w:val="0"/>
        <w:autoSpaceDN w:val="0"/>
        <w:adjustRightInd w:val="0"/>
        <w:spacing w:after="0" w:line="240" w:lineRule="auto"/>
        <w:ind w:left="400" w:hanging="400"/>
        <w:jc w:val="both"/>
        <w:rPr>
          <w:rFonts w:eastAsia="MS Minngs"/>
          <w:sz w:val="20"/>
          <w:szCs w:val="20"/>
          <w:lang w:val="en-GB" w:eastAsia="ja-JP"/>
        </w:rPr>
      </w:pPr>
      <w:r>
        <w:rPr>
          <w:rFonts w:eastAsia="MS Minngs"/>
          <w:sz w:val="20"/>
          <w:szCs w:val="20"/>
          <w:lang w:val="en-GB" w:eastAsia="ja-JP"/>
        </w:rPr>
        <w:t xml:space="preserve">Sheail, John. </w:t>
      </w:r>
      <w:r w:rsidR="006E2BED" w:rsidRPr="009B416D">
        <w:rPr>
          <w:rFonts w:eastAsia="MS Minngs"/>
          <w:sz w:val="20"/>
          <w:szCs w:val="20"/>
          <w:lang w:val="en-GB" w:eastAsia="ja-JP"/>
        </w:rPr>
        <w:t xml:space="preserve">“Changes in the </w:t>
      </w:r>
      <w:r w:rsidR="00F2014E" w:rsidRPr="009B416D">
        <w:rPr>
          <w:rFonts w:eastAsia="MS Minngs"/>
          <w:sz w:val="20"/>
          <w:szCs w:val="20"/>
          <w:lang w:val="en-GB" w:eastAsia="ja-JP"/>
        </w:rPr>
        <w:t xml:space="preserve">Supply </w:t>
      </w:r>
      <w:r w:rsidR="006E2BED" w:rsidRPr="009B416D">
        <w:rPr>
          <w:rFonts w:eastAsia="MS Minngs"/>
          <w:sz w:val="20"/>
          <w:szCs w:val="20"/>
          <w:lang w:val="en-GB" w:eastAsia="ja-JP"/>
        </w:rPr>
        <w:t xml:space="preserve">of </w:t>
      </w:r>
      <w:r w:rsidR="00F2014E" w:rsidRPr="009B416D">
        <w:rPr>
          <w:rFonts w:eastAsia="MS Minngs"/>
          <w:sz w:val="20"/>
          <w:szCs w:val="20"/>
          <w:lang w:val="en-GB" w:eastAsia="ja-JP"/>
        </w:rPr>
        <w:t>Wild Rabbits</w:t>
      </w:r>
      <w:r w:rsidR="00F2014E">
        <w:rPr>
          <w:rFonts w:eastAsia="MS Minngs"/>
          <w:sz w:val="20"/>
          <w:szCs w:val="20"/>
          <w:lang w:val="en-GB" w:eastAsia="ja-JP"/>
        </w:rPr>
        <w:t>,</w:t>
      </w:r>
      <w:r w:rsidR="00F2014E" w:rsidRPr="009B416D">
        <w:rPr>
          <w:rFonts w:eastAsia="MS Minngs"/>
          <w:sz w:val="20"/>
          <w:szCs w:val="20"/>
          <w:lang w:val="en-GB" w:eastAsia="ja-JP"/>
        </w:rPr>
        <w:t xml:space="preserve"> </w:t>
      </w:r>
      <w:r w:rsidR="006E2BED" w:rsidRPr="009B416D">
        <w:rPr>
          <w:rFonts w:eastAsia="MS Minngs"/>
          <w:sz w:val="20"/>
          <w:szCs w:val="20"/>
          <w:lang w:val="en-GB" w:eastAsia="ja-JP"/>
        </w:rPr>
        <w:t>I790</w:t>
      </w:r>
      <w:r w:rsidR="00F2014E">
        <w:rPr>
          <w:rFonts w:eastAsia="MS Minngs"/>
          <w:sz w:val="20"/>
          <w:szCs w:val="20"/>
          <w:lang w:val="en-GB" w:eastAsia="ja-JP"/>
        </w:rPr>
        <w:t>‒</w:t>
      </w:r>
      <w:r w:rsidR="006E2BED" w:rsidRPr="009B416D">
        <w:rPr>
          <w:rFonts w:eastAsia="MS Minngs"/>
          <w:sz w:val="20"/>
          <w:szCs w:val="20"/>
          <w:lang w:val="en-GB" w:eastAsia="ja-JP"/>
        </w:rPr>
        <w:t xml:space="preserve">I9I0.” </w:t>
      </w:r>
      <w:r w:rsidR="006E2BED" w:rsidRPr="009B416D">
        <w:rPr>
          <w:rFonts w:eastAsia="MS Minngs"/>
          <w:i/>
          <w:iCs/>
          <w:sz w:val="20"/>
          <w:szCs w:val="20"/>
          <w:lang w:val="en-GB" w:eastAsia="ja-JP"/>
        </w:rPr>
        <w:t>Agricultural History Review</w:t>
      </w:r>
      <w:r w:rsidR="006E2BED" w:rsidRPr="009B416D">
        <w:rPr>
          <w:rFonts w:eastAsia="MS Minngs"/>
          <w:sz w:val="20"/>
          <w:szCs w:val="20"/>
          <w:lang w:val="en-GB" w:eastAsia="ja-JP"/>
        </w:rPr>
        <w:t xml:space="preserve"> 19, no. 2 (1971): 175</w:t>
      </w:r>
      <w:r w:rsidR="00F2014E">
        <w:rPr>
          <w:rFonts w:eastAsia="MS Minngs"/>
          <w:sz w:val="20"/>
          <w:szCs w:val="20"/>
          <w:lang w:val="en-GB" w:eastAsia="ja-JP"/>
        </w:rPr>
        <w:t>‒</w:t>
      </w:r>
      <w:r w:rsidR="006E2BED" w:rsidRPr="009B416D">
        <w:rPr>
          <w:rFonts w:eastAsia="MS Minngs"/>
          <w:sz w:val="20"/>
          <w:szCs w:val="20"/>
          <w:lang w:val="en-GB" w:eastAsia="ja-JP"/>
        </w:rPr>
        <w:t>77.</w:t>
      </w:r>
    </w:p>
    <w:p w:rsidR="00572DEA" w:rsidRPr="009B416D" w:rsidRDefault="00572DEA" w:rsidP="006F2089">
      <w:pPr>
        <w:widowControl w:val="0"/>
        <w:autoSpaceDE w:val="0"/>
        <w:autoSpaceDN w:val="0"/>
        <w:adjustRightInd w:val="0"/>
        <w:spacing w:after="0" w:line="240" w:lineRule="auto"/>
        <w:ind w:left="400" w:hanging="400"/>
        <w:jc w:val="both"/>
        <w:rPr>
          <w:sz w:val="20"/>
          <w:szCs w:val="20"/>
        </w:rPr>
      </w:pPr>
      <w:r w:rsidRPr="009B416D">
        <w:rPr>
          <w:sz w:val="20"/>
          <w:szCs w:val="20"/>
        </w:rPr>
        <w:t xml:space="preserve">Thomas, Brinley. “Feeding England During the Industrial Revolution: A View from the Celtic </w:t>
      </w:r>
      <w:r w:rsidR="00B03158" w:rsidRPr="009B416D">
        <w:rPr>
          <w:sz w:val="20"/>
          <w:szCs w:val="20"/>
        </w:rPr>
        <w:t>Fringe</w:t>
      </w:r>
      <w:r w:rsidRPr="009B416D">
        <w:rPr>
          <w:sz w:val="20"/>
          <w:szCs w:val="20"/>
        </w:rPr>
        <w:t xml:space="preserve">.” </w:t>
      </w:r>
      <w:r w:rsidRPr="009B416D">
        <w:rPr>
          <w:i/>
          <w:iCs/>
          <w:sz w:val="20"/>
          <w:szCs w:val="20"/>
        </w:rPr>
        <w:t>Agricultural History</w:t>
      </w:r>
      <w:r w:rsidRPr="009B416D">
        <w:rPr>
          <w:sz w:val="20"/>
          <w:szCs w:val="20"/>
        </w:rPr>
        <w:t xml:space="preserve"> 56, no. 1 (1982): 328</w:t>
      </w:r>
      <w:r>
        <w:rPr>
          <w:sz w:val="20"/>
          <w:szCs w:val="20"/>
        </w:rPr>
        <w:t>‒</w:t>
      </w:r>
      <w:r w:rsidRPr="009B416D">
        <w:rPr>
          <w:sz w:val="20"/>
          <w:szCs w:val="20"/>
        </w:rPr>
        <w:t>42.</w:t>
      </w:r>
    </w:p>
    <w:p w:rsidR="00CD2D62" w:rsidRDefault="00CD2D62" w:rsidP="006F2089">
      <w:pPr>
        <w:widowControl w:val="0"/>
        <w:autoSpaceDE w:val="0"/>
        <w:autoSpaceDN w:val="0"/>
        <w:adjustRightInd w:val="0"/>
        <w:spacing w:after="0" w:line="240" w:lineRule="auto"/>
        <w:ind w:left="400" w:hanging="400"/>
        <w:jc w:val="both"/>
        <w:rPr>
          <w:sz w:val="20"/>
          <w:szCs w:val="20"/>
          <w:lang w:eastAsia="en-IE"/>
        </w:rPr>
      </w:pPr>
      <w:r w:rsidRPr="009B416D">
        <w:rPr>
          <w:sz w:val="20"/>
          <w:szCs w:val="20"/>
          <w:lang w:eastAsia="en-IE"/>
        </w:rPr>
        <w:t>Trow-Smith, Robert.</w:t>
      </w:r>
      <w:r>
        <w:rPr>
          <w:sz w:val="20"/>
          <w:szCs w:val="20"/>
          <w:lang w:eastAsia="en-IE"/>
        </w:rPr>
        <w:t xml:space="preserve"> </w:t>
      </w:r>
      <w:r w:rsidRPr="009B416D">
        <w:rPr>
          <w:i/>
          <w:iCs/>
          <w:sz w:val="20"/>
          <w:szCs w:val="20"/>
          <w:lang w:eastAsia="en-IE"/>
        </w:rPr>
        <w:t>A History of British Livestock Husbandry</w:t>
      </w:r>
      <w:r w:rsidR="001A2889">
        <w:rPr>
          <w:i/>
          <w:iCs/>
          <w:sz w:val="20"/>
          <w:szCs w:val="20"/>
          <w:lang w:eastAsia="en-IE"/>
        </w:rPr>
        <w:t>,</w:t>
      </w:r>
      <w:r w:rsidRPr="009B416D">
        <w:rPr>
          <w:i/>
          <w:iCs/>
          <w:sz w:val="20"/>
          <w:szCs w:val="20"/>
          <w:lang w:eastAsia="en-IE"/>
        </w:rPr>
        <w:t xml:space="preserve"> 1700</w:t>
      </w:r>
      <w:r w:rsidR="001A2889">
        <w:rPr>
          <w:i/>
          <w:iCs/>
          <w:sz w:val="20"/>
          <w:szCs w:val="20"/>
          <w:lang w:eastAsia="en-IE"/>
        </w:rPr>
        <w:t>‒</w:t>
      </w:r>
      <w:r w:rsidRPr="009B416D">
        <w:rPr>
          <w:i/>
          <w:iCs/>
          <w:sz w:val="20"/>
          <w:szCs w:val="20"/>
          <w:lang w:eastAsia="en-IE"/>
        </w:rPr>
        <w:t>1900</w:t>
      </w:r>
      <w:r w:rsidRPr="009B416D">
        <w:rPr>
          <w:sz w:val="20"/>
          <w:szCs w:val="20"/>
          <w:lang w:eastAsia="en-IE"/>
        </w:rPr>
        <w:t>.  London: Routledge &amp; Kegan Paul, 1959.</w:t>
      </w:r>
    </w:p>
    <w:p w:rsidR="00C21AA4" w:rsidRPr="00F2014E" w:rsidRDefault="00335516" w:rsidP="00F2014E">
      <w:pPr>
        <w:widowControl w:val="0"/>
        <w:autoSpaceDE w:val="0"/>
        <w:autoSpaceDN w:val="0"/>
        <w:adjustRightInd w:val="0"/>
        <w:spacing w:after="0" w:line="240" w:lineRule="auto"/>
        <w:ind w:left="400" w:hanging="400"/>
        <w:jc w:val="both"/>
        <w:rPr>
          <w:sz w:val="20"/>
          <w:szCs w:val="20"/>
          <w:lang w:eastAsia="en-IE"/>
        </w:rPr>
      </w:pPr>
      <w:r w:rsidRPr="009B416D">
        <w:rPr>
          <w:sz w:val="20"/>
          <w:szCs w:val="20"/>
          <w:lang w:eastAsia="en-IE"/>
        </w:rPr>
        <w:t xml:space="preserve">Turner, Michael E. “Arable in England and Wales: </w:t>
      </w:r>
      <w:r w:rsidR="00D25826" w:rsidRPr="009B416D">
        <w:rPr>
          <w:sz w:val="20"/>
          <w:szCs w:val="20"/>
          <w:lang w:eastAsia="en-IE"/>
        </w:rPr>
        <w:t xml:space="preserve">Estimates </w:t>
      </w:r>
      <w:r w:rsidRPr="009B416D">
        <w:rPr>
          <w:sz w:val="20"/>
          <w:szCs w:val="20"/>
          <w:lang w:eastAsia="en-IE"/>
        </w:rPr>
        <w:t xml:space="preserve">from the 1801 Crop Return.” </w:t>
      </w:r>
      <w:r w:rsidRPr="009B416D">
        <w:rPr>
          <w:i/>
          <w:iCs/>
          <w:sz w:val="20"/>
          <w:szCs w:val="20"/>
          <w:lang w:eastAsia="en-IE"/>
        </w:rPr>
        <w:t>Journal of Historical Geography</w:t>
      </w:r>
      <w:r w:rsidRPr="009B416D">
        <w:rPr>
          <w:sz w:val="20"/>
          <w:szCs w:val="20"/>
          <w:lang w:eastAsia="en-IE"/>
        </w:rPr>
        <w:t xml:space="preserve"> 7, no. 3 (1981): 291</w:t>
      </w:r>
      <w:r w:rsidR="00D25826">
        <w:rPr>
          <w:sz w:val="20"/>
          <w:szCs w:val="20"/>
          <w:lang w:eastAsia="en-IE"/>
        </w:rPr>
        <w:t>‒</w:t>
      </w:r>
      <w:r w:rsidRPr="009B416D">
        <w:rPr>
          <w:sz w:val="20"/>
          <w:szCs w:val="20"/>
          <w:lang w:eastAsia="en-IE"/>
        </w:rPr>
        <w:t>302.</w:t>
      </w:r>
    </w:p>
    <w:sectPr w:rsidR="00C21AA4" w:rsidRPr="00F2014E" w:rsidSect="008D38F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80" w:right="2640" w:bottom="172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15" w:rsidRDefault="009A1F15">
      <w:pPr>
        <w:spacing w:after="0" w:line="240" w:lineRule="auto"/>
      </w:pPr>
      <w:r>
        <w:separator/>
      </w:r>
    </w:p>
  </w:endnote>
  <w:endnote w:type="continuationSeparator" w:id="0">
    <w:p w:rsidR="009A1F15" w:rsidRDefault="009A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1" w:rsidRDefault="00776A61">
    <w:pPr>
      <w:pStyle w:val="Footer"/>
      <w:spacing w:before="0" w:after="0"/>
      <w:ind w:firstLine="0"/>
      <w:rPr>
        <w:sz w:val="18"/>
      </w:rPr>
    </w:pPr>
    <w:r>
      <w:rPr>
        <w:sz w:val="1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1" w:rsidRDefault="00776A61">
    <w:pPr>
      <w:pStyle w:val="Footer"/>
      <w:spacing w:before="0" w:after="0"/>
      <w:ind w:firstLine="0"/>
      <w:rPr>
        <w:sz w:val="18"/>
      </w:rPr>
    </w:pPr>
    <w:r>
      <w:rPr>
        <w:sz w:val="1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1" w:rsidRDefault="00776A61">
    <w:pPr>
      <w:pStyle w:val="Footer"/>
      <w:spacing w:before="0" w:after="0"/>
      <w:ind w:firstLine="0"/>
      <w:jc w:val="center"/>
    </w:pPr>
    <w:r>
      <w:rPr>
        <w:rStyle w:val="PageNumber"/>
      </w:rPr>
      <w:fldChar w:fldCharType="begin"/>
    </w:r>
    <w:r>
      <w:rPr>
        <w:rStyle w:val="PageNumber"/>
      </w:rPr>
      <w:instrText xml:space="preserve"> PAGE </w:instrText>
    </w:r>
    <w:r>
      <w:rPr>
        <w:rStyle w:val="PageNumber"/>
      </w:rPr>
      <w:fldChar w:fldCharType="separate"/>
    </w:r>
    <w:r w:rsidR="00DE68A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15" w:rsidRDefault="009A1F15">
      <w:pPr>
        <w:spacing w:after="0" w:line="240" w:lineRule="auto"/>
        <w:ind w:firstLine="0"/>
        <w:rPr>
          <w:sz w:val="18"/>
        </w:rPr>
      </w:pPr>
      <w:r>
        <w:rPr>
          <w:sz w:val="18"/>
        </w:rPr>
        <w:t> </w:t>
      </w:r>
    </w:p>
  </w:footnote>
  <w:footnote w:type="continuationSeparator" w:id="0">
    <w:p w:rsidR="009A1F15" w:rsidRPr="00530556" w:rsidRDefault="009A1F15" w:rsidP="00530556">
      <w:pPr>
        <w:pStyle w:val="Footer"/>
      </w:pPr>
    </w:p>
  </w:footnote>
  <w:footnote w:id="1">
    <w:p w:rsidR="008E0D9B" w:rsidRPr="006E0ED9" w:rsidRDefault="008E0D9B" w:rsidP="006E0ED9">
      <w:pPr>
        <w:pStyle w:val="FootnoteText"/>
        <w:ind w:firstLine="180"/>
        <w:jc w:val="both"/>
        <w:rPr>
          <w:sz w:val="18"/>
          <w:szCs w:val="18"/>
        </w:rPr>
      </w:pPr>
      <w:r w:rsidRPr="006E0ED9">
        <w:rPr>
          <w:rStyle w:val="FootnoteReference"/>
          <w:sz w:val="18"/>
          <w:szCs w:val="18"/>
        </w:rPr>
        <w:footnoteRef/>
      </w:r>
      <w:r w:rsidRPr="006E0ED9">
        <w:rPr>
          <w:sz w:val="18"/>
          <w:szCs w:val="18"/>
        </w:rPr>
        <w:t xml:space="preserve"> Using Floud </w:t>
      </w:r>
      <w:r w:rsidRPr="006E0ED9">
        <w:rPr>
          <w:i/>
          <w:iCs/>
          <w:sz w:val="18"/>
          <w:szCs w:val="18"/>
        </w:rPr>
        <w:t>et al</w:t>
      </w:r>
      <w:r w:rsidRPr="006E0ED9">
        <w:rPr>
          <w:sz w:val="18"/>
          <w:szCs w:val="18"/>
        </w:rPr>
        <w:t>.’s 23 calories per oz.</w:t>
      </w:r>
    </w:p>
  </w:footnote>
  <w:footnote w:id="2">
    <w:p w:rsidR="008E0D9B" w:rsidRPr="006E0ED9" w:rsidRDefault="008E0D9B" w:rsidP="006E0ED9">
      <w:pPr>
        <w:pStyle w:val="FootnoteText"/>
        <w:ind w:firstLine="180"/>
        <w:jc w:val="both"/>
        <w:rPr>
          <w:sz w:val="18"/>
          <w:szCs w:val="18"/>
        </w:rPr>
      </w:pPr>
      <w:r w:rsidRPr="006E0ED9">
        <w:rPr>
          <w:rStyle w:val="FootnoteReference"/>
          <w:sz w:val="18"/>
          <w:szCs w:val="18"/>
        </w:rPr>
        <w:footnoteRef/>
      </w:r>
      <w:r w:rsidRPr="006E0ED9">
        <w:rPr>
          <w:sz w:val="18"/>
          <w:szCs w:val="18"/>
        </w:rPr>
        <w:t xml:space="preserve"> On wild rabbits</w:t>
      </w:r>
      <w:r w:rsidR="005B501C">
        <w:rPr>
          <w:sz w:val="18"/>
          <w:szCs w:val="18"/>
        </w:rPr>
        <w:t>,</w:t>
      </w:r>
      <w:r w:rsidRPr="006E0ED9">
        <w:rPr>
          <w:sz w:val="18"/>
          <w:szCs w:val="18"/>
        </w:rPr>
        <w:t xml:space="preserve"> see </w:t>
      </w:r>
      <w:r w:rsidRPr="006E0ED9">
        <w:rPr>
          <w:rFonts w:eastAsia="MS Minngs"/>
          <w:sz w:val="18"/>
          <w:szCs w:val="18"/>
          <w:lang w:val="en-GB" w:eastAsia="ja-JP"/>
        </w:rPr>
        <w:t>Sheail (1971).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1" w:rsidRPr="0051072B" w:rsidRDefault="00776A61" w:rsidP="00E93610">
    <w:pPr>
      <w:pStyle w:val="Header"/>
      <w:tabs>
        <w:tab w:val="center" w:pos="3480"/>
        <w:tab w:val="right" w:pos="6960"/>
      </w:tabs>
      <w:ind w:firstLine="0"/>
    </w:pPr>
    <w:r>
      <w:rPr>
        <w:rStyle w:val="PageNumber"/>
        <w:sz w:val="28"/>
      </w:rPr>
      <w:fldChar w:fldCharType="begin"/>
    </w:r>
    <w:r>
      <w:rPr>
        <w:rStyle w:val="PageNumber"/>
        <w:sz w:val="28"/>
      </w:rPr>
      <w:instrText xml:space="preserve"> PAGE </w:instrText>
    </w:r>
    <w:r>
      <w:rPr>
        <w:rStyle w:val="PageNumber"/>
        <w:sz w:val="28"/>
      </w:rPr>
      <w:fldChar w:fldCharType="separate"/>
    </w:r>
    <w:r w:rsidR="00DE68A7">
      <w:rPr>
        <w:rStyle w:val="PageNumber"/>
        <w:noProof/>
        <w:sz w:val="28"/>
      </w:rPr>
      <w:t>4</w:t>
    </w:r>
    <w:r>
      <w:rPr>
        <w:rStyle w:val="PageNumber"/>
        <w:sz w:val="28"/>
      </w:rPr>
      <w:fldChar w:fldCharType="end"/>
    </w:r>
    <w:r>
      <w:rPr>
        <w:sz w:val="28"/>
      </w:rPr>
      <w:tab/>
    </w:r>
    <w:r w:rsidR="009E378D" w:rsidRPr="00C9768F">
      <w:rPr>
        <w:i/>
        <w:sz w:val="28"/>
      </w:rPr>
      <w:t>Kelly and Ó Gráda</w:t>
    </w:r>
  </w:p>
  <w:p w:rsidR="00776A61" w:rsidRDefault="00776A61">
    <w:pPr>
      <w:pStyle w:val="Header"/>
      <w:tabs>
        <w:tab w:val="clear" w:pos="4680"/>
        <w:tab w:val="clear" w:pos="9360"/>
        <w:tab w:val="center" w:pos="3480"/>
        <w:tab w:val="right" w:pos="6960"/>
      </w:tabs>
      <w:spacing w:before="0" w:after="0"/>
      <w:ind w:firstLine="0"/>
      <w:rPr>
        <w:sz w:val="28"/>
      </w:rPr>
    </w:pPr>
    <w:r>
      <w:rPr>
        <w:sz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1" w:rsidRPr="005442B8" w:rsidRDefault="00776A61" w:rsidP="005442B8">
    <w:pPr>
      <w:pStyle w:val="JEHarticletext"/>
      <w:suppressAutoHyphens/>
      <w:ind w:left="240" w:right="240"/>
      <w:jc w:val="center"/>
      <w:rPr>
        <w:i/>
        <w:iCs/>
        <w:sz w:val="38"/>
      </w:rPr>
    </w:pPr>
    <w:r>
      <w:rPr>
        <w:sz w:val="28"/>
      </w:rPr>
      <w:tab/>
    </w:r>
    <w:r w:rsidR="00E660F0" w:rsidRPr="00FD1C75">
      <w:rPr>
        <w:i/>
        <w:sz w:val="28"/>
        <w:szCs w:val="38"/>
      </w:rPr>
      <w:t>Numerare Est Errare</w:t>
    </w:r>
    <w:r>
      <w:rPr>
        <w:i/>
        <w:iCs/>
        <w:sz w:val="28"/>
      </w:rPr>
      <w:tab/>
    </w:r>
    <w:r>
      <w:rPr>
        <w:rStyle w:val="PageNumber"/>
        <w:sz w:val="28"/>
      </w:rPr>
      <w:fldChar w:fldCharType="begin"/>
    </w:r>
    <w:r>
      <w:rPr>
        <w:rStyle w:val="PageNumber"/>
        <w:sz w:val="28"/>
      </w:rPr>
      <w:instrText xml:space="preserve"> PAGE </w:instrText>
    </w:r>
    <w:r>
      <w:rPr>
        <w:rStyle w:val="PageNumber"/>
        <w:sz w:val="28"/>
      </w:rPr>
      <w:fldChar w:fldCharType="separate"/>
    </w:r>
    <w:r w:rsidR="00DE68A7">
      <w:rPr>
        <w:rStyle w:val="PageNumber"/>
        <w:noProof/>
        <w:sz w:val="28"/>
      </w:rPr>
      <w:t>3</w:t>
    </w:r>
    <w:r>
      <w:rPr>
        <w:rStyle w:val="PageNumber"/>
        <w:sz w:val="28"/>
      </w:rPr>
      <w:fldChar w:fldCharType="end"/>
    </w:r>
  </w:p>
  <w:p w:rsidR="00776A61" w:rsidRDefault="00776A61">
    <w:pPr>
      <w:pStyle w:val="Header"/>
      <w:tabs>
        <w:tab w:val="clear" w:pos="4680"/>
        <w:tab w:val="clear" w:pos="9360"/>
        <w:tab w:val="center" w:pos="3480"/>
        <w:tab w:val="right" w:pos="6960"/>
      </w:tabs>
      <w:spacing w:before="0" w:after="0"/>
      <w:ind w:firstLine="0"/>
      <w:rPr>
        <w:sz w:val="28"/>
      </w:rPr>
    </w:pPr>
    <w:r>
      <w:rPr>
        <w:sz w:val="28"/>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1" w:rsidRDefault="00776A61">
    <w:pPr>
      <w:pStyle w:val="Header"/>
      <w:spacing w:before="0" w:after="0"/>
      <w:ind w:firstLine="0"/>
      <w:rPr>
        <w:sz w:val="18"/>
      </w:rPr>
    </w:pPr>
    <w:r>
      <w:rPr>
        <w:sz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8AC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84366"/>
    <w:multiLevelType w:val="hybridMultilevel"/>
    <w:tmpl w:val="DC180236"/>
    <w:lvl w:ilvl="0" w:tplc="3BE63CD4">
      <w:start w:val="1"/>
      <w:numFmt w:val="decimal"/>
      <w:pStyle w:val="NoSpac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61BB"/>
    <w:multiLevelType w:val="multilevel"/>
    <w:tmpl w:val="66B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46ECA"/>
    <w:multiLevelType w:val="hybridMultilevel"/>
    <w:tmpl w:val="F30C9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8D28B3"/>
    <w:multiLevelType w:val="multilevel"/>
    <w:tmpl w:val="65A87D10"/>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onsecutiveHyphenLimit w:val="3"/>
  <w:hyphenationZone w:val="80"/>
  <w:doNotHyphenateCaps/>
  <w:evenAndOddHeaders/>
  <w:drawingGridHorizontalSpacing w:val="60"/>
  <w:drawingGridVerticalSpacing w:val="6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A06B7"/>
    <w:rsid w:val="00000DF9"/>
    <w:rsid w:val="00002510"/>
    <w:rsid w:val="000026AF"/>
    <w:rsid w:val="000035AD"/>
    <w:rsid w:val="00003A33"/>
    <w:rsid w:val="000042FE"/>
    <w:rsid w:val="00004E6A"/>
    <w:rsid w:val="0000532A"/>
    <w:rsid w:val="00005448"/>
    <w:rsid w:val="000061A8"/>
    <w:rsid w:val="00006E2E"/>
    <w:rsid w:val="000071E6"/>
    <w:rsid w:val="0000730E"/>
    <w:rsid w:val="0000737A"/>
    <w:rsid w:val="000075BF"/>
    <w:rsid w:val="00007634"/>
    <w:rsid w:val="00007D93"/>
    <w:rsid w:val="0001081A"/>
    <w:rsid w:val="00013162"/>
    <w:rsid w:val="000133D1"/>
    <w:rsid w:val="00013409"/>
    <w:rsid w:val="00013906"/>
    <w:rsid w:val="000143E6"/>
    <w:rsid w:val="00014434"/>
    <w:rsid w:val="00016D3D"/>
    <w:rsid w:val="000171C6"/>
    <w:rsid w:val="000176FF"/>
    <w:rsid w:val="00017E7A"/>
    <w:rsid w:val="0002033F"/>
    <w:rsid w:val="00020343"/>
    <w:rsid w:val="000205AD"/>
    <w:rsid w:val="00020AF1"/>
    <w:rsid w:val="00021E14"/>
    <w:rsid w:val="000223E0"/>
    <w:rsid w:val="00022F3B"/>
    <w:rsid w:val="0002348A"/>
    <w:rsid w:val="000238C8"/>
    <w:rsid w:val="00023E7D"/>
    <w:rsid w:val="00023F4C"/>
    <w:rsid w:val="000241F5"/>
    <w:rsid w:val="00024289"/>
    <w:rsid w:val="00025F37"/>
    <w:rsid w:val="000266F1"/>
    <w:rsid w:val="00026BDC"/>
    <w:rsid w:val="00027E17"/>
    <w:rsid w:val="00027EE2"/>
    <w:rsid w:val="00027EF0"/>
    <w:rsid w:val="00030288"/>
    <w:rsid w:val="00030804"/>
    <w:rsid w:val="0003118F"/>
    <w:rsid w:val="000315F2"/>
    <w:rsid w:val="00031A2D"/>
    <w:rsid w:val="000323DE"/>
    <w:rsid w:val="000324D6"/>
    <w:rsid w:val="000328FC"/>
    <w:rsid w:val="0003295C"/>
    <w:rsid w:val="00033420"/>
    <w:rsid w:val="00034FED"/>
    <w:rsid w:val="00037785"/>
    <w:rsid w:val="00037C39"/>
    <w:rsid w:val="00040693"/>
    <w:rsid w:val="00040C94"/>
    <w:rsid w:val="000414D6"/>
    <w:rsid w:val="0004163E"/>
    <w:rsid w:val="00042044"/>
    <w:rsid w:val="0004283F"/>
    <w:rsid w:val="000429CB"/>
    <w:rsid w:val="000437A7"/>
    <w:rsid w:val="00043F37"/>
    <w:rsid w:val="00044479"/>
    <w:rsid w:val="00044B4B"/>
    <w:rsid w:val="000458D9"/>
    <w:rsid w:val="00045D2D"/>
    <w:rsid w:val="00046758"/>
    <w:rsid w:val="000469C4"/>
    <w:rsid w:val="00047702"/>
    <w:rsid w:val="000512DB"/>
    <w:rsid w:val="00051F0B"/>
    <w:rsid w:val="0005215D"/>
    <w:rsid w:val="0005273C"/>
    <w:rsid w:val="0005295E"/>
    <w:rsid w:val="00054E1A"/>
    <w:rsid w:val="00055533"/>
    <w:rsid w:val="000569A7"/>
    <w:rsid w:val="000577A9"/>
    <w:rsid w:val="000577DE"/>
    <w:rsid w:val="00057852"/>
    <w:rsid w:val="000579C5"/>
    <w:rsid w:val="00060C12"/>
    <w:rsid w:val="00061B3E"/>
    <w:rsid w:val="000623CA"/>
    <w:rsid w:val="0006291E"/>
    <w:rsid w:val="00063406"/>
    <w:rsid w:val="000649E0"/>
    <w:rsid w:val="00065203"/>
    <w:rsid w:val="0006579A"/>
    <w:rsid w:val="000660CF"/>
    <w:rsid w:val="00066FBE"/>
    <w:rsid w:val="000671CB"/>
    <w:rsid w:val="0006770E"/>
    <w:rsid w:val="00070015"/>
    <w:rsid w:val="00072127"/>
    <w:rsid w:val="000724F6"/>
    <w:rsid w:val="000726DA"/>
    <w:rsid w:val="00072CF4"/>
    <w:rsid w:val="00072FEA"/>
    <w:rsid w:val="0007382C"/>
    <w:rsid w:val="000744B0"/>
    <w:rsid w:val="0007544B"/>
    <w:rsid w:val="0007574A"/>
    <w:rsid w:val="00076554"/>
    <w:rsid w:val="0007680A"/>
    <w:rsid w:val="00076904"/>
    <w:rsid w:val="00076AED"/>
    <w:rsid w:val="00077D88"/>
    <w:rsid w:val="00077DA2"/>
    <w:rsid w:val="00081279"/>
    <w:rsid w:val="00081B56"/>
    <w:rsid w:val="00082230"/>
    <w:rsid w:val="000824B7"/>
    <w:rsid w:val="00082A55"/>
    <w:rsid w:val="0008347D"/>
    <w:rsid w:val="00083881"/>
    <w:rsid w:val="00083CAB"/>
    <w:rsid w:val="00084457"/>
    <w:rsid w:val="0008448D"/>
    <w:rsid w:val="00084B03"/>
    <w:rsid w:val="00085617"/>
    <w:rsid w:val="00086964"/>
    <w:rsid w:val="00090446"/>
    <w:rsid w:val="0009125A"/>
    <w:rsid w:val="00091D3F"/>
    <w:rsid w:val="00092155"/>
    <w:rsid w:val="0009273F"/>
    <w:rsid w:val="00092AB2"/>
    <w:rsid w:val="00092BD0"/>
    <w:rsid w:val="00093A11"/>
    <w:rsid w:val="00094C37"/>
    <w:rsid w:val="00095334"/>
    <w:rsid w:val="00095873"/>
    <w:rsid w:val="00095C2B"/>
    <w:rsid w:val="0009690A"/>
    <w:rsid w:val="00096F46"/>
    <w:rsid w:val="00097202"/>
    <w:rsid w:val="000973B0"/>
    <w:rsid w:val="000977E9"/>
    <w:rsid w:val="00097B11"/>
    <w:rsid w:val="00097F9E"/>
    <w:rsid w:val="000A015F"/>
    <w:rsid w:val="000A06B7"/>
    <w:rsid w:val="000A07B7"/>
    <w:rsid w:val="000A092D"/>
    <w:rsid w:val="000A1194"/>
    <w:rsid w:val="000A1904"/>
    <w:rsid w:val="000A1DC6"/>
    <w:rsid w:val="000A24F9"/>
    <w:rsid w:val="000A360B"/>
    <w:rsid w:val="000A498F"/>
    <w:rsid w:val="000A6271"/>
    <w:rsid w:val="000A6F3B"/>
    <w:rsid w:val="000A7078"/>
    <w:rsid w:val="000A7A77"/>
    <w:rsid w:val="000B058F"/>
    <w:rsid w:val="000B1508"/>
    <w:rsid w:val="000B2A37"/>
    <w:rsid w:val="000B3CCE"/>
    <w:rsid w:val="000B55F1"/>
    <w:rsid w:val="000B609A"/>
    <w:rsid w:val="000B626C"/>
    <w:rsid w:val="000B6BD7"/>
    <w:rsid w:val="000B6CE4"/>
    <w:rsid w:val="000B6DB0"/>
    <w:rsid w:val="000B753B"/>
    <w:rsid w:val="000C05E8"/>
    <w:rsid w:val="000C065F"/>
    <w:rsid w:val="000C0B4E"/>
    <w:rsid w:val="000C149B"/>
    <w:rsid w:val="000C1542"/>
    <w:rsid w:val="000C195E"/>
    <w:rsid w:val="000C2645"/>
    <w:rsid w:val="000C2C3E"/>
    <w:rsid w:val="000C3AFB"/>
    <w:rsid w:val="000C3F44"/>
    <w:rsid w:val="000C48CA"/>
    <w:rsid w:val="000C4987"/>
    <w:rsid w:val="000C49E0"/>
    <w:rsid w:val="000C4D00"/>
    <w:rsid w:val="000C541C"/>
    <w:rsid w:val="000C54C1"/>
    <w:rsid w:val="000C621F"/>
    <w:rsid w:val="000C6F2B"/>
    <w:rsid w:val="000D053D"/>
    <w:rsid w:val="000D0AAE"/>
    <w:rsid w:val="000D0B4E"/>
    <w:rsid w:val="000D0D3C"/>
    <w:rsid w:val="000D14DC"/>
    <w:rsid w:val="000D200B"/>
    <w:rsid w:val="000D2729"/>
    <w:rsid w:val="000D2C41"/>
    <w:rsid w:val="000D2E5D"/>
    <w:rsid w:val="000D2E73"/>
    <w:rsid w:val="000D419B"/>
    <w:rsid w:val="000D4B83"/>
    <w:rsid w:val="000D4BA3"/>
    <w:rsid w:val="000D4D54"/>
    <w:rsid w:val="000D62E2"/>
    <w:rsid w:val="000D6498"/>
    <w:rsid w:val="000D686C"/>
    <w:rsid w:val="000D6C16"/>
    <w:rsid w:val="000D6DF4"/>
    <w:rsid w:val="000D736F"/>
    <w:rsid w:val="000D7CE8"/>
    <w:rsid w:val="000D7DE6"/>
    <w:rsid w:val="000E101A"/>
    <w:rsid w:val="000E202D"/>
    <w:rsid w:val="000E27BC"/>
    <w:rsid w:val="000E29D9"/>
    <w:rsid w:val="000E38A5"/>
    <w:rsid w:val="000E422E"/>
    <w:rsid w:val="000E50E4"/>
    <w:rsid w:val="000E526F"/>
    <w:rsid w:val="000E6127"/>
    <w:rsid w:val="000E768F"/>
    <w:rsid w:val="000E79AE"/>
    <w:rsid w:val="000F003F"/>
    <w:rsid w:val="000F110C"/>
    <w:rsid w:val="000F1D75"/>
    <w:rsid w:val="000F2080"/>
    <w:rsid w:val="000F30AF"/>
    <w:rsid w:val="000F4F04"/>
    <w:rsid w:val="000F542F"/>
    <w:rsid w:val="000F587C"/>
    <w:rsid w:val="000F663C"/>
    <w:rsid w:val="000F793A"/>
    <w:rsid w:val="00100568"/>
    <w:rsid w:val="00100647"/>
    <w:rsid w:val="001009F2"/>
    <w:rsid w:val="0010140B"/>
    <w:rsid w:val="0010162A"/>
    <w:rsid w:val="001021C7"/>
    <w:rsid w:val="00103092"/>
    <w:rsid w:val="001062A7"/>
    <w:rsid w:val="0010661F"/>
    <w:rsid w:val="00106C30"/>
    <w:rsid w:val="001078E6"/>
    <w:rsid w:val="00107A54"/>
    <w:rsid w:val="00110711"/>
    <w:rsid w:val="0011189C"/>
    <w:rsid w:val="00113A57"/>
    <w:rsid w:val="00113CE5"/>
    <w:rsid w:val="00113CEB"/>
    <w:rsid w:val="0011428D"/>
    <w:rsid w:val="0011572E"/>
    <w:rsid w:val="001171CF"/>
    <w:rsid w:val="00120008"/>
    <w:rsid w:val="00120C63"/>
    <w:rsid w:val="001215F2"/>
    <w:rsid w:val="00121A60"/>
    <w:rsid w:val="00122391"/>
    <w:rsid w:val="001234C9"/>
    <w:rsid w:val="00123875"/>
    <w:rsid w:val="00123A6C"/>
    <w:rsid w:val="00124164"/>
    <w:rsid w:val="00124C8A"/>
    <w:rsid w:val="0012561C"/>
    <w:rsid w:val="0012579C"/>
    <w:rsid w:val="00125EE8"/>
    <w:rsid w:val="00125F65"/>
    <w:rsid w:val="00125FAB"/>
    <w:rsid w:val="00127641"/>
    <w:rsid w:val="00130E25"/>
    <w:rsid w:val="00130E64"/>
    <w:rsid w:val="00131A25"/>
    <w:rsid w:val="001327A1"/>
    <w:rsid w:val="00132DF7"/>
    <w:rsid w:val="00133199"/>
    <w:rsid w:val="00133534"/>
    <w:rsid w:val="00133A23"/>
    <w:rsid w:val="00133D1D"/>
    <w:rsid w:val="001350D3"/>
    <w:rsid w:val="0013528B"/>
    <w:rsid w:val="00135321"/>
    <w:rsid w:val="001353AF"/>
    <w:rsid w:val="00136143"/>
    <w:rsid w:val="00136377"/>
    <w:rsid w:val="001379B7"/>
    <w:rsid w:val="00137D50"/>
    <w:rsid w:val="0014010B"/>
    <w:rsid w:val="00140A4C"/>
    <w:rsid w:val="00140ABB"/>
    <w:rsid w:val="00140C4B"/>
    <w:rsid w:val="00140E8A"/>
    <w:rsid w:val="00141D36"/>
    <w:rsid w:val="00142749"/>
    <w:rsid w:val="001433EB"/>
    <w:rsid w:val="00144469"/>
    <w:rsid w:val="0014586B"/>
    <w:rsid w:val="001459E3"/>
    <w:rsid w:val="00146EB6"/>
    <w:rsid w:val="001505EA"/>
    <w:rsid w:val="001519CC"/>
    <w:rsid w:val="00152F37"/>
    <w:rsid w:val="001530E8"/>
    <w:rsid w:val="001538D1"/>
    <w:rsid w:val="0015456F"/>
    <w:rsid w:val="00154A17"/>
    <w:rsid w:val="001552B6"/>
    <w:rsid w:val="001558F0"/>
    <w:rsid w:val="00155B92"/>
    <w:rsid w:val="001561D4"/>
    <w:rsid w:val="001561E8"/>
    <w:rsid w:val="00156309"/>
    <w:rsid w:val="001564BE"/>
    <w:rsid w:val="00160149"/>
    <w:rsid w:val="001623D4"/>
    <w:rsid w:val="00162556"/>
    <w:rsid w:val="0016259F"/>
    <w:rsid w:val="00162892"/>
    <w:rsid w:val="0016472F"/>
    <w:rsid w:val="0016478E"/>
    <w:rsid w:val="0016680E"/>
    <w:rsid w:val="0016682E"/>
    <w:rsid w:val="00166B11"/>
    <w:rsid w:val="00166E3F"/>
    <w:rsid w:val="001672C2"/>
    <w:rsid w:val="001677D7"/>
    <w:rsid w:val="001678C7"/>
    <w:rsid w:val="001678DC"/>
    <w:rsid w:val="00172FDA"/>
    <w:rsid w:val="00174329"/>
    <w:rsid w:val="0017479D"/>
    <w:rsid w:val="001752CF"/>
    <w:rsid w:val="001766C5"/>
    <w:rsid w:val="001767D9"/>
    <w:rsid w:val="00180698"/>
    <w:rsid w:val="00180B58"/>
    <w:rsid w:val="00180D69"/>
    <w:rsid w:val="001816B7"/>
    <w:rsid w:val="00181866"/>
    <w:rsid w:val="0018326B"/>
    <w:rsid w:val="001832DC"/>
    <w:rsid w:val="001835C3"/>
    <w:rsid w:val="00183B31"/>
    <w:rsid w:val="00184045"/>
    <w:rsid w:val="001841D1"/>
    <w:rsid w:val="00185522"/>
    <w:rsid w:val="00185F7C"/>
    <w:rsid w:val="001874D9"/>
    <w:rsid w:val="0019040D"/>
    <w:rsid w:val="00190C7A"/>
    <w:rsid w:val="00190EDB"/>
    <w:rsid w:val="001914D2"/>
    <w:rsid w:val="0019179E"/>
    <w:rsid w:val="00193253"/>
    <w:rsid w:val="0019356E"/>
    <w:rsid w:val="00193830"/>
    <w:rsid w:val="00195A8F"/>
    <w:rsid w:val="00195AB6"/>
    <w:rsid w:val="00195C8C"/>
    <w:rsid w:val="00195F03"/>
    <w:rsid w:val="001963F8"/>
    <w:rsid w:val="001969E9"/>
    <w:rsid w:val="00197295"/>
    <w:rsid w:val="00197C7F"/>
    <w:rsid w:val="001A11F8"/>
    <w:rsid w:val="001A1527"/>
    <w:rsid w:val="001A18A8"/>
    <w:rsid w:val="001A19C1"/>
    <w:rsid w:val="001A1C43"/>
    <w:rsid w:val="001A24B7"/>
    <w:rsid w:val="001A2889"/>
    <w:rsid w:val="001A2F90"/>
    <w:rsid w:val="001A2F97"/>
    <w:rsid w:val="001A3C5B"/>
    <w:rsid w:val="001A4F45"/>
    <w:rsid w:val="001A5B65"/>
    <w:rsid w:val="001A77B4"/>
    <w:rsid w:val="001B04BB"/>
    <w:rsid w:val="001B1101"/>
    <w:rsid w:val="001B1171"/>
    <w:rsid w:val="001B17D7"/>
    <w:rsid w:val="001B1E55"/>
    <w:rsid w:val="001B332F"/>
    <w:rsid w:val="001B3447"/>
    <w:rsid w:val="001B3998"/>
    <w:rsid w:val="001B3A89"/>
    <w:rsid w:val="001B3E16"/>
    <w:rsid w:val="001B401F"/>
    <w:rsid w:val="001B46A6"/>
    <w:rsid w:val="001B5BD0"/>
    <w:rsid w:val="001B61AB"/>
    <w:rsid w:val="001B74AB"/>
    <w:rsid w:val="001B7B8C"/>
    <w:rsid w:val="001C0300"/>
    <w:rsid w:val="001C10ED"/>
    <w:rsid w:val="001C2A5F"/>
    <w:rsid w:val="001C312D"/>
    <w:rsid w:val="001C3133"/>
    <w:rsid w:val="001C3D8C"/>
    <w:rsid w:val="001C3FD5"/>
    <w:rsid w:val="001C44E0"/>
    <w:rsid w:val="001C45AB"/>
    <w:rsid w:val="001C5BAD"/>
    <w:rsid w:val="001C5CEC"/>
    <w:rsid w:val="001C65F1"/>
    <w:rsid w:val="001C7529"/>
    <w:rsid w:val="001C7A61"/>
    <w:rsid w:val="001C7EB2"/>
    <w:rsid w:val="001D018F"/>
    <w:rsid w:val="001D0699"/>
    <w:rsid w:val="001D0BF0"/>
    <w:rsid w:val="001D0CC6"/>
    <w:rsid w:val="001D1730"/>
    <w:rsid w:val="001D2490"/>
    <w:rsid w:val="001D2522"/>
    <w:rsid w:val="001D368A"/>
    <w:rsid w:val="001D38FA"/>
    <w:rsid w:val="001D5DC4"/>
    <w:rsid w:val="001D5F9D"/>
    <w:rsid w:val="001D65AE"/>
    <w:rsid w:val="001D7074"/>
    <w:rsid w:val="001D7FC7"/>
    <w:rsid w:val="001E0577"/>
    <w:rsid w:val="001E0583"/>
    <w:rsid w:val="001E1791"/>
    <w:rsid w:val="001E1A89"/>
    <w:rsid w:val="001E2443"/>
    <w:rsid w:val="001E2BBD"/>
    <w:rsid w:val="001E33BE"/>
    <w:rsid w:val="001E4BB4"/>
    <w:rsid w:val="001E54D8"/>
    <w:rsid w:val="001E5530"/>
    <w:rsid w:val="001E556E"/>
    <w:rsid w:val="001E5666"/>
    <w:rsid w:val="001E5CFC"/>
    <w:rsid w:val="001F1786"/>
    <w:rsid w:val="001F18FB"/>
    <w:rsid w:val="001F27A0"/>
    <w:rsid w:val="001F3417"/>
    <w:rsid w:val="001F34F8"/>
    <w:rsid w:val="001F35E6"/>
    <w:rsid w:val="001F4500"/>
    <w:rsid w:val="001F4C5D"/>
    <w:rsid w:val="001F5030"/>
    <w:rsid w:val="001F5853"/>
    <w:rsid w:val="001F68B6"/>
    <w:rsid w:val="001F713A"/>
    <w:rsid w:val="001F73A7"/>
    <w:rsid w:val="001F75D0"/>
    <w:rsid w:val="0020036E"/>
    <w:rsid w:val="002003B0"/>
    <w:rsid w:val="002006EC"/>
    <w:rsid w:val="00201EBA"/>
    <w:rsid w:val="00204377"/>
    <w:rsid w:val="002048B4"/>
    <w:rsid w:val="00204971"/>
    <w:rsid w:val="0020531E"/>
    <w:rsid w:val="00206B81"/>
    <w:rsid w:val="0021106B"/>
    <w:rsid w:val="00212851"/>
    <w:rsid w:val="00213B21"/>
    <w:rsid w:val="00214245"/>
    <w:rsid w:val="002147AA"/>
    <w:rsid w:val="002149FF"/>
    <w:rsid w:val="00214F18"/>
    <w:rsid w:val="00216A7C"/>
    <w:rsid w:val="00216AAC"/>
    <w:rsid w:val="002201D0"/>
    <w:rsid w:val="00220491"/>
    <w:rsid w:val="00221061"/>
    <w:rsid w:val="002213DC"/>
    <w:rsid w:val="00221D81"/>
    <w:rsid w:val="00222902"/>
    <w:rsid w:val="00223AD2"/>
    <w:rsid w:val="00224513"/>
    <w:rsid w:val="00224734"/>
    <w:rsid w:val="00224A93"/>
    <w:rsid w:val="00224E61"/>
    <w:rsid w:val="002250A5"/>
    <w:rsid w:val="002253B9"/>
    <w:rsid w:val="00225AD6"/>
    <w:rsid w:val="002271FB"/>
    <w:rsid w:val="00227491"/>
    <w:rsid w:val="00227CD1"/>
    <w:rsid w:val="00227F67"/>
    <w:rsid w:val="0023088E"/>
    <w:rsid w:val="00230BBE"/>
    <w:rsid w:val="00230ED5"/>
    <w:rsid w:val="002326DB"/>
    <w:rsid w:val="00232D5B"/>
    <w:rsid w:val="00232EFA"/>
    <w:rsid w:val="00233239"/>
    <w:rsid w:val="00233E46"/>
    <w:rsid w:val="00234918"/>
    <w:rsid w:val="00234D37"/>
    <w:rsid w:val="00236968"/>
    <w:rsid w:val="00236F28"/>
    <w:rsid w:val="00237416"/>
    <w:rsid w:val="00240129"/>
    <w:rsid w:val="002405DB"/>
    <w:rsid w:val="0024077E"/>
    <w:rsid w:val="002416ED"/>
    <w:rsid w:val="00241FC2"/>
    <w:rsid w:val="00243822"/>
    <w:rsid w:val="00243D69"/>
    <w:rsid w:val="0024475A"/>
    <w:rsid w:val="00244EF3"/>
    <w:rsid w:val="00244F37"/>
    <w:rsid w:val="00246408"/>
    <w:rsid w:val="00246A2F"/>
    <w:rsid w:val="00247B9E"/>
    <w:rsid w:val="00247E18"/>
    <w:rsid w:val="002509D8"/>
    <w:rsid w:val="00250C7E"/>
    <w:rsid w:val="00251C7B"/>
    <w:rsid w:val="00252687"/>
    <w:rsid w:val="00252ED7"/>
    <w:rsid w:val="002536DC"/>
    <w:rsid w:val="00253E81"/>
    <w:rsid w:val="00253F97"/>
    <w:rsid w:val="002540EB"/>
    <w:rsid w:val="00254BB9"/>
    <w:rsid w:val="00254CB6"/>
    <w:rsid w:val="00254FA9"/>
    <w:rsid w:val="0025518B"/>
    <w:rsid w:val="0025560E"/>
    <w:rsid w:val="00255DA7"/>
    <w:rsid w:val="0026038A"/>
    <w:rsid w:val="002604BA"/>
    <w:rsid w:val="0026068E"/>
    <w:rsid w:val="002613D5"/>
    <w:rsid w:val="00262B2E"/>
    <w:rsid w:val="00262C19"/>
    <w:rsid w:val="0026381C"/>
    <w:rsid w:val="002642BD"/>
    <w:rsid w:val="00264743"/>
    <w:rsid w:val="00264F5D"/>
    <w:rsid w:val="00265FE3"/>
    <w:rsid w:val="0026648C"/>
    <w:rsid w:val="00266FDE"/>
    <w:rsid w:val="00267410"/>
    <w:rsid w:val="002702D0"/>
    <w:rsid w:val="00270B27"/>
    <w:rsid w:val="00270BD7"/>
    <w:rsid w:val="00272A05"/>
    <w:rsid w:val="00272FFF"/>
    <w:rsid w:val="00273386"/>
    <w:rsid w:val="00273D73"/>
    <w:rsid w:val="00273F3E"/>
    <w:rsid w:val="002746E8"/>
    <w:rsid w:val="00275F39"/>
    <w:rsid w:val="00276AFB"/>
    <w:rsid w:val="00277755"/>
    <w:rsid w:val="00280915"/>
    <w:rsid w:val="00280AEB"/>
    <w:rsid w:val="00281225"/>
    <w:rsid w:val="0028169A"/>
    <w:rsid w:val="0028182D"/>
    <w:rsid w:val="00282D0F"/>
    <w:rsid w:val="00283A78"/>
    <w:rsid w:val="00283DE9"/>
    <w:rsid w:val="0028559D"/>
    <w:rsid w:val="00285628"/>
    <w:rsid w:val="002864A0"/>
    <w:rsid w:val="00290687"/>
    <w:rsid w:val="002906BB"/>
    <w:rsid w:val="00290855"/>
    <w:rsid w:val="00291717"/>
    <w:rsid w:val="00291AA5"/>
    <w:rsid w:val="00292007"/>
    <w:rsid w:val="00292620"/>
    <w:rsid w:val="002929C9"/>
    <w:rsid w:val="00292A5E"/>
    <w:rsid w:val="00292C3E"/>
    <w:rsid w:val="00292D9C"/>
    <w:rsid w:val="00293022"/>
    <w:rsid w:val="002931DB"/>
    <w:rsid w:val="00293ABF"/>
    <w:rsid w:val="00295276"/>
    <w:rsid w:val="00295B4D"/>
    <w:rsid w:val="00295F21"/>
    <w:rsid w:val="00296363"/>
    <w:rsid w:val="00296963"/>
    <w:rsid w:val="002973BB"/>
    <w:rsid w:val="00297D29"/>
    <w:rsid w:val="002A0729"/>
    <w:rsid w:val="002A0928"/>
    <w:rsid w:val="002A1ABA"/>
    <w:rsid w:val="002A1E60"/>
    <w:rsid w:val="002A242F"/>
    <w:rsid w:val="002A246E"/>
    <w:rsid w:val="002A2D37"/>
    <w:rsid w:val="002A4360"/>
    <w:rsid w:val="002A43AA"/>
    <w:rsid w:val="002A4570"/>
    <w:rsid w:val="002A54F4"/>
    <w:rsid w:val="002A579E"/>
    <w:rsid w:val="002A5A68"/>
    <w:rsid w:val="002A5BAE"/>
    <w:rsid w:val="002A5D58"/>
    <w:rsid w:val="002A6A78"/>
    <w:rsid w:val="002A7569"/>
    <w:rsid w:val="002A7925"/>
    <w:rsid w:val="002B01CD"/>
    <w:rsid w:val="002B1350"/>
    <w:rsid w:val="002B15FC"/>
    <w:rsid w:val="002B1AD0"/>
    <w:rsid w:val="002B1C5E"/>
    <w:rsid w:val="002B1C74"/>
    <w:rsid w:val="002B3072"/>
    <w:rsid w:val="002B3B24"/>
    <w:rsid w:val="002B3E94"/>
    <w:rsid w:val="002B41C1"/>
    <w:rsid w:val="002B4A99"/>
    <w:rsid w:val="002B4DB1"/>
    <w:rsid w:val="002B5243"/>
    <w:rsid w:val="002B5724"/>
    <w:rsid w:val="002B6792"/>
    <w:rsid w:val="002B6F8E"/>
    <w:rsid w:val="002B70B6"/>
    <w:rsid w:val="002B7708"/>
    <w:rsid w:val="002B7859"/>
    <w:rsid w:val="002B7E4E"/>
    <w:rsid w:val="002C0844"/>
    <w:rsid w:val="002C229A"/>
    <w:rsid w:val="002C2951"/>
    <w:rsid w:val="002C2A66"/>
    <w:rsid w:val="002C33EE"/>
    <w:rsid w:val="002C3823"/>
    <w:rsid w:val="002C39EE"/>
    <w:rsid w:val="002C3E0F"/>
    <w:rsid w:val="002C4320"/>
    <w:rsid w:val="002C577D"/>
    <w:rsid w:val="002C5A45"/>
    <w:rsid w:val="002C5BBB"/>
    <w:rsid w:val="002C6B58"/>
    <w:rsid w:val="002C6D9E"/>
    <w:rsid w:val="002C739D"/>
    <w:rsid w:val="002D0939"/>
    <w:rsid w:val="002D2259"/>
    <w:rsid w:val="002D2D51"/>
    <w:rsid w:val="002D3B4A"/>
    <w:rsid w:val="002D41B3"/>
    <w:rsid w:val="002D496B"/>
    <w:rsid w:val="002D61EA"/>
    <w:rsid w:val="002D7070"/>
    <w:rsid w:val="002E404C"/>
    <w:rsid w:val="002E418D"/>
    <w:rsid w:val="002E4286"/>
    <w:rsid w:val="002E48AD"/>
    <w:rsid w:val="002E4CE5"/>
    <w:rsid w:val="002E5108"/>
    <w:rsid w:val="002E6045"/>
    <w:rsid w:val="002E6C90"/>
    <w:rsid w:val="002F011E"/>
    <w:rsid w:val="002F0398"/>
    <w:rsid w:val="002F0719"/>
    <w:rsid w:val="002F0834"/>
    <w:rsid w:val="002F391C"/>
    <w:rsid w:val="002F4593"/>
    <w:rsid w:val="002F4BCE"/>
    <w:rsid w:val="002F5D58"/>
    <w:rsid w:val="002F6F3A"/>
    <w:rsid w:val="002F796E"/>
    <w:rsid w:val="00300364"/>
    <w:rsid w:val="003008B0"/>
    <w:rsid w:val="00300B3A"/>
    <w:rsid w:val="00302808"/>
    <w:rsid w:val="0030296E"/>
    <w:rsid w:val="003033C6"/>
    <w:rsid w:val="00304F86"/>
    <w:rsid w:val="003053DC"/>
    <w:rsid w:val="003054EB"/>
    <w:rsid w:val="00305783"/>
    <w:rsid w:val="00305B09"/>
    <w:rsid w:val="003060C4"/>
    <w:rsid w:val="003065E3"/>
    <w:rsid w:val="00307B11"/>
    <w:rsid w:val="003103CA"/>
    <w:rsid w:val="0031069E"/>
    <w:rsid w:val="00310BA8"/>
    <w:rsid w:val="00312AC7"/>
    <w:rsid w:val="00312FB5"/>
    <w:rsid w:val="00313590"/>
    <w:rsid w:val="00314F9F"/>
    <w:rsid w:val="00316716"/>
    <w:rsid w:val="00316726"/>
    <w:rsid w:val="003171AB"/>
    <w:rsid w:val="00317362"/>
    <w:rsid w:val="0031755A"/>
    <w:rsid w:val="00317AEC"/>
    <w:rsid w:val="00317F89"/>
    <w:rsid w:val="00320589"/>
    <w:rsid w:val="00320FDC"/>
    <w:rsid w:val="00323368"/>
    <w:rsid w:val="00324256"/>
    <w:rsid w:val="0032498F"/>
    <w:rsid w:val="00326BAD"/>
    <w:rsid w:val="00327FA3"/>
    <w:rsid w:val="003302CB"/>
    <w:rsid w:val="00330A3B"/>
    <w:rsid w:val="00330C13"/>
    <w:rsid w:val="003314CD"/>
    <w:rsid w:val="00331901"/>
    <w:rsid w:val="003321E2"/>
    <w:rsid w:val="003325A1"/>
    <w:rsid w:val="00332869"/>
    <w:rsid w:val="00332D40"/>
    <w:rsid w:val="00333083"/>
    <w:rsid w:val="00334811"/>
    <w:rsid w:val="0033505C"/>
    <w:rsid w:val="00335516"/>
    <w:rsid w:val="00335776"/>
    <w:rsid w:val="00335F94"/>
    <w:rsid w:val="00336A79"/>
    <w:rsid w:val="0033776F"/>
    <w:rsid w:val="00337B59"/>
    <w:rsid w:val="00337B9E"/>
    <w:rsid w:val="003409AB"/>
    <w:rsid w:val="00341453"/>
    <w:rsid w:val="00342325"/>
    <w:rsid w:val="00342A06"/>
    <w:rsid w:val="00342F6D"/>
    <w:rsid w:val="0034408E"/>
    <w:rsid w:val="00344997"/>
    <w:rsid w:val="00344CFD"/>
    <w:rsid w:val="00345646"/>
    <w:rsid w:val="00345703"/>
    <w:rsid w:val="00345B22"/>
    <w:rsid w:val="003461A3"/>
    <w:rsid w:val="00346DC0"/>
    <w:rsid w:val="00347154"/>
    <w:rsid w:val="003474E5"/>
    <w:rsid w:val="003477AB"/>
    <w:rsid w:val="00347A74"/>
    <w:rsid w:val="00350323"/>
    <w:rsid w:val="00350DE2"/>
    <w:rsid w:val="003514C4"/>
    <w:rsid w:val="00351B9F"/>
    <w:rsid w:val="00351C41"/>
    <w:rsid w:val="00352199"/>
    <w:rsid w:val="00352835"/>
    <w:rsid w:val="00352876"/>
    <w:rsid w:val="00352D03"/>
    <w:rsid w:val="00352D78"/>
    <w:rsid w:val="00352F8B"/>
    <w:rsid w:val="00354512"/>
    <w:rsid w:val="00354954"/>
    <w:rsid w:val="00355614"/>
    <w:rsid w:val="003559AB"/>
    <w:rsid w:val="00355B53"/>
    <w:rsid w:val="00355F7A"/>
    <w:rsid w:val="0035768E"/>
    <w:rsid w:val="003579F0"/>
    <w:rsid w:val="00360385"/>
    <w:rsid w:val="00360B8D"/>
    <w:rsid w:val="00361BDB"/>
    <w:rsid w:val="00362647"/>
    <w:rsid w:val="003628B3"/>
    <w:rsid w:val="00362C4D"/>
    <w:rsid w:val="003633D6"/>
    <w:rsid w:val="00363B72"/>
    <w:rsid w:val="00364129"/>
    <w:rsid w:val="00364F33"/>
    <w:rsid w:val="00366126"/>
    <w:rsid w:val="003671EC"/>
    <w:rsid w:val="0036745C"/>
    <w:rsid w:val="0037103B"/>
    <w:rsid w:val="00371DD7"/>
    <w:rsid w:val="00372D09"/>
    <w:rsid w:val="00375B6F"/>
    <w:rsid w:val="00375F71"/>
    <w:rsid w:val="003775B1"/>
    <w:rsid w:val="00377DC5"/>
    <w:rsid w:val="00380E88"/>
    <w:rsid w:val="003815D5"/>
    <w:rsid w:val="00383200"/>
    <w:rsid w:val="0038356B"/>
    <w:rsid w:val="00383712"/>
    <w:rsid w:val="00384683"/>
    <w:rsid w:val="003852FA"/>
    <w:rsid w:val="0038707C"/>
    <w:rsid w:val="00390228"/>
    <w:rsid w:val="00391201"/>
    <w:rsid w:val="00392A8C"/>
    <w:rsid w:val="00392F42"/>
    <w:rsid w:val="003933E2"/>
    <w:rsid w:val="00393416"/>
    <w:rsid w:val="00393EB9"/>
    <w:rsid w:val="00394CAB"/>
    <w:rsid w:val="00395D05"/>
    <w:rsid w:val="003969B8"/>
    <w:rsid w:val="00396CB7"/>
    <w:rsid w:val="003970C9"/>
    <w:rsid w:val="003970E5"/>
    <w:rsid w:val="00397790"/>
    <w:rsid w:val="0039787C"/>
    <w:rsid w:val="003A0405"/>
    <w:rsid w:val="003A09DA"/>
    <w:rsid w:val="003A0CD4"/>
    <w:rsid w:val="003A10D9"/>
    <w:rsid w:val="003A121A"/>
    <w:rsid w:val="003A1745"/>
    <w:rsid w:val="003A17D7"/>
    <w:rsid w:val="003A186E"/>
    <w:rsid w:val="003A1BB2"/>
    <w:rsid w:val="003A1F8F"/>
    <w:rsid w:val="003A2ED9"/>
    <w:rsid w:val="003A3551"/>
    <w:rsid w:val="003A366E"/>
    <w:rsid w:val="003A3940"/>
    <w:rsid w:val="003A4931"/>
    <w:rsid w:val="003A4CDA"/>
    <w:rsid w:val="003A5B0E"/>
    <w:rsid w:val="003A68D8"/>
    <w:rsid w:val="003A6EDF"/>
    <w:rsid w:val="003A7BE2"/>
    <w:rsid w:val="003B0520"/>
    <w:rsid w:val="003B08FB"/>
    <w:rsid w:val="003B0A4E"/>
    <w:rsid w:val="003B1EFA"/>
    <w:rsid w:val="003B1FF3"/>
    <w:rsid w:val="003B2699"/>
    <w:rsid w:val="003B284F"/>
    <w:rsid w:val="003B2878"/>
    <w:rsid w:val="003B43C2"/>
    <w:rsid w:val="003B52CC"/>
    <w:rsid w:val="003B5655"/>
    <w:rsid w:val="003B6D78"/>
    <w:rsid w:val="003B715F"/>
    <w:rsid w:val="003B7505"/>
    <w:rsid w:val="003B7B9F"/>
    <w:rsid w:val="003B7D7F"/>
    <w:rsid w:val="003C1164"/>
    <w:rsid w:val="003C15D3"/>
    <w:rsid w:val="003C1970"/>
    <w:rsid w:val="003C1D0D"/>
    <w:rsid w:val="003C255D"/>
    <w:rsid w:val="003C2EE6"/>
    <w:rsid w:val="003C2F9D"/>
    <w:rsid w:val="003C3171"/>
    <w:rsid w:val="003C31CA"/>
    <w:rsid w:val="003C31EC"/>
    <w:rsid w:val="003C36A6"/>
    <w:rsid w:val="003C37FA"/>
    <w:rsid w:val="003C3EA2"/>
    <w:rsid w:val="003C48EA"/>
    <w:rsid w:val="003C5112"/>
    <w:rsid w:val="003C6494"/>
    <w:rsid w:val="003C64C7"/>
    <w:rsid w:val="003C6C99"/>
    <w:rsid w:val="003D0079"/>
    <w:rsid w:val="003D140D"/>
    <w:rsid w:val="003D21F9"/>
    <w:rsid w:val="003D2A67"/>
    <w:rsid w:val="003D2B54"/>
    <w:rsid w:val="003D3058"/>
    <w:rsid w:val="003D3369"/>
    <w:rsid w:val="003D3B3A"/>
    <w:rsid w:val="003D45A0"/>
    <w:rsid w:val="003D470C"/>
    <w:rsid w:val="003D5240"/>
    <w:rsid w:val="003D58B4"/>
    <w:rsid w:val="003D5B22"/>
    <w:rsid w:val="003D5CC1"/>
    <w:rsid w:val="003D6765"/>
    <w:rsid w:val="003D676F"/>
    <w:rsid w:val="003D7411"/>
    <w:rsid w:val="003E044D"/>
    <w:rsid w:val="003E0561"/>
    <w:rsid w:val="003E2F13"/>
    <w:rsid w:val="003E347C"/>
    <w:rsid w:val="003E3917"/>
    <w:rsid w:val="003E439E"/>
    <w:rsid w:val="003E458B"/>
    <w:rsid w:val="003E4AD4"/>
    <w:rsid w:val="003E5AE6"/>
    <w:rsid w:val="003E696C"/>
    <w:rsid w:val="003E697E"/>
    <w:rsid w:val="003E7264"/>
    <w:rsid w:val="003E7355"/>
    <w:rsid w:val="003E778D"/>
    <w:rsid w:val="003F04F9"/>
    <w:rsid w:val="003F05D8"/>
    <w:rsid w:val="003F0C26"/>
    <w:rsid w:val="003F1098"/>
    <w:rsid w:val="003F17E3"/>
    <w:rsid w:val="003F1A0F"/>
    <w:rsid w:val="003F1E1B"/>
    <w:rsid w:val="003F27B0"/>
    <w:rsid w:val="003F2E2D"/>
    <w:rsid w:val="003F3EED"/>
    <w:rsid w:val="003F45E3"/>
    <w:rsid w:val="003F4ACA"/>
    <w:rsid w:val="003F4D36"/>
    <w:rsid w:val="003F5A62"/>
    <w:rsid w:val="003F5D79"/>
    <w:rsid w:val="003F74CB"/>
    <w:rsid w:val="003F797F"/>
    <w:rsid w:val="003F7D3A"/>
    <w:rsid w:val="00400D4E"/>
    <w:rsid w:val="004022C2"/>
    <w:rsid w:val="00403388"/>
    <w:rsid w:val="00403761"/>
    <w:rsid w:val="00403BB1"/>
    <w:rsid w:val="004046A4"/>
    <w:rsid w:val="00404D04"/>
    <w:rsid w:val="004054E2"/>
    <w:rsid w:val="0040580B"/>
    <w:rsid w:val="00405FC8"/>
    <w:rsid w:val="0040615F"/>
    <w:rsid w:val="00406652"/>
    <w:rsid w:val="00410547"/>
    <w:rsid w:val="00410F3D"/>
    <w:rsid w:val="004112BA"/>
    <w:rsid w:val="00411C95"/>
    <w:rsid w:val="004130C8"/>
    <w:rsid w:val="004132D0"/>
    <w:rsid w:val="004148E5"/>
    <w:rsid w:val="00414AC7"/>
    <w:rsid w:val="00415CA8"/>
    <w:rsid w:val="004164D5"/>
    <w:rsid w:val="0041686D"/>
    <w:rsid w:val="0041747E"/>
    <w:rsid w:val="00417945"/>
    <w:rsid w:val="00420256"/>
    <w:rsid w:val="00420615"/>
    <w:rsid w:val="0042117E"/>
    <w:rsid w:val="0042202E"/>
    <w:rsid w:val="0042250C"/>
    <w:rsid w:val="004225B4"/>
    <w:rsid w:val="004226FE"/>
    <w:rsid w:val="00422732"/>
    <w:rsid w:val="0042367E"/>
    <w:rsid w:val="004240F0"/>
    <w:rsid w:val="00424167"/>
    <w:rsid w:val="004255D4"/>
    <w:rsid w:val="00425879"/>
    <w:rsid w:val="004262FF"/>
    <w:rsid w:val="00426BF3"/>
    <w:rsid w:val="00427DE0"/>
    <w:rsid w:val="00427F56"/>
    <w:rsid w:val="00430ABC"/>
    <w:rsid w:val="00430D9B"/>
    <w:rsid w:val="004314E6"/>
    <w:rsid w:val="00432F61"/>
    <w:rsid w:val="004330C0"/>
    <w:rsid w:val="00434A2E"/>
    <w:rsid w:val="00434E51"/>
    <w:rsid w:val="0043603E"/>
    <w:rsid w:val="00436062"/>
    <w:rsid w:val="00436367"/>
    <w:rsid w:val="00436BB1"/>
    <w:rsid w:val="00436CB2"/>
    <w:rsid w:val="00436EA3"/>
    <w:rsid w:val="004374E9"/>
    <w:rsid w:val="0044074E"/>
    <w:rsid w:val="00441051"/>
    <w:rsid w:val="00441248"/>
    <w:rsid w:val="0044225E"/>
    <w:rsid w:val="00443484"/>
    <w:rsid w:val="004437F7"/>
    <w:rsid w:val="00443AE4"/>
    <w:rsid w:val="00444386"/>
    <w:rsid w:val="004449A4"/>
    <w:rsid w:val="00444E22"/>
    <w:rsid w:val="00445AC6"/>
    <w:rsid w:val="0044635C"/>
    <w:rsid w:val="00446B75"/>
    <w:rsid w:val="00446D72"/>
    <w:rsid w:val="00447256"/>
    <w:rsid w:val="0044754E"/>
    <w:rsid w:val="00447D14"/>
    <w:rsid w:val="0045028C"/>
    <w:rsid w:val="004505B6"/>
    <w:rsid w:val="004507EC"/>
    <w:rsid w:val="00451681"/>
    <w:rsid w:val="004525F8"/>
    <w:rsid w:val="004529B7"/>
    <w:rsid w:val="004543D7"/>
    <w:rsid w:val="00454CCE"/>
    <w:rsid w:val="0045552C"/>
    <w:rsid w:val="00455D67"/>
    <w:rsid w:val="00457041"/>
    <w:rsid w:val="00457210"/>
    <w:rsid w:val="00460B86"/>
    <w:rsid w:val="00460CE9"/>
    <w:rsid w:val="00460E73"/>
    <w:rsid w:val="00461A07"/>
    <w:rsid w:val="00462018"/>
    <w:rsid w:val="004632ED"/>
    <w:rsid w:val="004647F5"/>
    <w:rsid w:val="00464E42"/>
    <w:rsid w:val="00465607"/>
    <w:rsid w:val="004667F9"/>
    <w:rsid w:val="00467598"/>
    <w:rsid w:val="004708C4"/>
    <w:rsid w:val="00470A0D"/>
    <w:rsid w:val="00470C9C"/>
    <w:rsid w:val="00471653"/>
    <w:rsid w:val="00471A36"/>
    <w:rsid w:val="00473686"/>
    <w:rsid w:val="00473B6B"/>
    <w:rsid w:val="00473C38"/>
    <w:rsid w:val="00473C5B"/>
    <w:rsid w:val="0047439E"/>
    <w:rsid w:val="004745E0"/>
    <w:rsid w:val="00474ABC"/>
    <w:rsid w:val="00475C52"/>
    <w:rsid w:val="00475E90"/>
    <w:rsid w:val="00476406"/>
    <w:rsid w:val="00476F37"/>
    <w:rsid w:val="0048057C"/>
    <w:rsid w:val="00480C32"/>
    <w:rsid w:val="00481DA1"/>
    <w:rsid w:val="00482695"/>
    <w:rsid w:val="00482F8F"/>
    <w:rsid w:val="00482F93"/>
    <w:rsid w:val="00484103"/>
    <w:rsid w:val="00484421"/>
    <w:rsid w:val="00484536"/>
    <w:rsid w:val="0048462A"/>
    <w:rsid w:val="0048498B"/>
    <w:rsid w:val="00485557"/>
    <w:rsid w:val="00485788"/>
    <w:rsid w:val="004858DD"/>
    <w:rsid w:val="0048633D"/>
    <w:rsid w:val="00486E60"/>
    <w:rsid w:val="004879D0"/>
    <w:rsid w:val="00490647"/>
    <w:rsid w:val="0049094E"/>
    <w:rsid w:val="00490BE5"/>
    <w:rsid w:val="004912C2"/>
    <w:rsid w:val="0049145A"/>
    <w:rsid w:val="004938DD"/>
    <w:rsid w:val="00493C96"/>
    <w:rsid w:val="00494098"/>
    <w:rsid w:val="004947EE"/>
    <w:rsid w:val="00495883"/>
    <w:rsid w:val="00495E3C"/>
    <w:rsid w:val="004960B0"/>
    <w:rsid w:val="00496C23"/>
    <w:rsid w:val="00497A8D"/>
    <w:rsid w:val="00497BEB"/>
    <w:rsid w:val="00497BFC"/>
    <w:rsid w:val="004A078E"/>
    <w:rsid w:val="004A079D"/>
    <w:rsid w:val="004A1C5F"/>
    <w:rsid w:val="004A1CED"/>
    <w:rsid w:val="004A1EC9"/>
    <w:rsid w:val="004A2429"/>
    <w:rsid w:val="004A2BF5"/>
    <w:rsid w:val="004A33E0"/>
    <w:rsid w:val="004A4435"/>
    <w:rsid w:val="004A493A"/>
    <w:rsid w:val="004A4AB6"/>
    <w:rsid w:val="004A4BDB"/>
    <w:rsid w:val="004A5102"/>
    <w:rsid w:val="004A5E7A"/>
    <w:rsid w:val="004A6989"/>
    <w:rsid w:val="004A6CD1"/>
    <w:rsid w:val="004A7158"/>
    <w:rsid w:val="004A7464"/>
    <w:rsid w:val="004A76F7"/>
    <w:rsid w:val="004B0127"/>
    <w:rsid w:val="004B0A8B"/>
    <w:rsid w:val="004B177C"/>
    <w:rsid w:val="004B1786"/>
    <w:rsid w:val="004B247C"/>
    <w:rsid w:val="004B36E8"/>
    <w:rsid w:val="004B4D70"/>
    <w:rsid w:val="004B4DEC"/>
    <w:rsid w:val="004B5119"/>
    <w:rsid w:val="004B559C"/>
    <w:rsid w:val="004B576B"/>
    <w:rsid w:val="004B6595"/>
    <w:rsid w:val="004B6983"/>
    <w:rsid w:val="004B6A9E"/>
    <w:rsid w:val="004B6BBA"/>
    <w:rsid w:val="004B7196"/>
    <w:rsid w:val="004B7970"/>
    <w:rsid w:val="004B7FEF"/>
    <w:rsid w:val="004C107F"/>
    <w:rsid w:val="004C11A5"/>
    <w:rsid w:val="004C1833"/>
    <w:rsid w:val="004C21B7"/>
    <w:rsid w:val="004C2A84"/>
    <w:rsid w:val="004C325F"/>
    <w:rsid w:val="004C4741"/>
    <w:rsid w:val="004C4D48"/>
    <w:rsid w:val="004C606A"/>
    <w:rsid w:val="004C6827"/>
    <w:rsid w:val="004D1808"/>
    <w:rsid w:val="004D1827"/>
    <w:rsid w:val="004D1BBF"/>
    <w:rsid w:val="004D2109"/>
    <w:rsid w:val="004D300F"/>
    <w:rsid w:val="004D35A6"/>
    <w:rsid w:val="004D3C32"/>
    <w:rsid w:val="004D4387"/>
    <w:rsid w:val="004D439B"/>
    <w:rsid w:val="004D447A"/>
    <w:rsid w:val="004D4894"/>
    <w:rsid w:val="004D5CEB"/>
    <w:rsid w:val="004D6175"/>
    <w:rsid w:val="004D753F"/>
    <w:rsid w:val="004E0191"/>
    <w:rsid w:val="004E0576"/>
    <w:rsid w:val="004E0E55"/>
    <w:rsid w:val="004E0F2A"/>
    <w:rsid w:val="004E10DF"/>
    <w:rsid w:val="004E166D"/>
    <w:rsid w:val="004E20D8"/>
    <w:rsid w:val="004E34D4"/>
    <w:rsid w:val="004E35E7"/>
    <w:rsid w:val="004E3E2C"/>
    <w:rsid w:val="004E4BB1"/>
    <w:rsid w:val="004E4BF1"/>
    <w:rsid w:val="004E52AC"/>
    <w:rsid w:val="004E650C"/>
    <w:rsid w:val="004E7191"/>
    <w:rsid w:val="004E730A"/>
    <w:rsid w:val="004E733F"/>
    <w:rsid w:val="004F0499"/>
    <w:rsid w:val="004F08C4"/>
    <w:rsid w:val="004F2964"/>
    <w:rsid w:val="004F2DF4"/>
    <w:rsid w:val="004F2E63"/>
    <w:rsid w:val="004F31B6"/>
    <w:rsid w:val="004F3C55"/>
    <w:rsid w:val="004F4862"/>
    <w:rsid w:val="004F4D02"/>
    <w:rsid w:val="004F4FEA"/>
    <w:rsid w:val="004F5481"/>
    <w:rsid w:val="00500223"/>
    <w:rsid w:val="00500A8F"/>
    <w:rsid w:val="00501723"/>
    <w:rsid w:val="005017AD"/>
    <w:rsid w:val="0050186A"/>
    <w:rsid w:val="00504350"/>
    <w:rsid w:val="00504A24"/>
    <w:rsid w:val="0050552A"/>
    <w:rsid w:val="00505563"/>
    <w:rsid w:val="00506005"/>
    <w:rsid w:val="005075F9"/>
    <w:rsid w:val="00507F99"/>
    <w:rsid w:val="00510707"/>
    <w:rsid w:val="0051072B"/>
    <w:rsid w:val="005108CC"/>
    <w:rsid w:val="00510A85"/>
    <w:rsid w:val="00510AA1"/>
    <w:rsid w:val="00510E42"/>
    <w:rsid w:val="0051117D"/>
    <w:rsid w:val="0051155D"/>
    <w:rsid w:val="005118E1"/>
    <w:rsid w:val="00511E41"/>
    <w:rsid w:val="00512ED5"/>
    <w:rsid w:val="0051358F"/>
    <w:rsid w:val="005142E9"/>
    <w:rsid w:val="0051430D"/>
    <w:rsid w:val="0051482C"/>
    <w:rsid w:val="00514CD6"/>
    <w:rsid w:val="00515A56"/>
    <w:rsid w:val="0051670E"/>
    <w:rsid w:val="00517A6B"/>
    <w:rsid w:val="00517BF4"/>
    <w:rsid w:val="00517E6D"/>
    <w:rsid w:val="00520F68"/>
    <w:rsid w:val="00521367"/>
    <w:rsid w:val="00521497"/>
    <w:rsid w:val="005220C6"/>
    <w:rsid w:val="00522AFB"/>
    <w:rsid w:val="00522E4C"/>
    <w:rsid w:val="0052397A"/>
    <w:rsid w:val="00524B7E"/>
    <w:rsid w:val="005256D1"/>
    <w:rsid w:val="00526717"/>
    <w:rsid w:val="00527330"/>
    <w:rsid w:val="00530556"/>
    <w:rsid w:val="00531862"/>
    <w:rsid w:val="00531DB2"/>
    <w:rsid w:val="005327CE"/>
    <w:rsid w:val="005329B3"/>
    <w:rsid w:val="0053350C"/>
    <w:rsid w:val="00533A77"/>
    <w:rsid w:val="00534775"/>
    <w:rsid w:val="00534A4A"/>
    <w:rsid w:val="005353DD"/>
    <w:rsid w:val="005359D6"/>
    <w:rsid w:val="00536642"/>
    <w:rsid w:val="00536D29"/>
    <w:rsid w:val="00540177"/>
    <w:rsid w:val="005406F1"/>
    <w:rsid w:val="00541197"/>
    <w:rsid w:val="00541257"/>
    <w:rsid w:val="00541682"/>
    <w:rsid w:val="005416C9"/>
    <w:rsid w:val="00542DE4"/>
    <w:rsid w:val="00542F05"/>
    <w:rsid w:val="00543010"/>
    <w:rsid w:val="005442B8"/>
    <w:rsid w:val="005442D8"/>
    <w:rsid w:val="00545436"/>
    <w:rsid w:val="00545445"/>
    <w:rsid w:val="005458CE"/>
    <w:rsid w:val="00545C62"/>
    <w:rsid w:val="005464A0"/>
    <w:rsid w:val="00546B5B"/>
    <w:rsid w:val="00547815"/>
    <w:rsid w:val="00547DF3"/>
    <w:rsid w:val="0055074A"/>
    <w:rsid w:val="00550B66"/>
    <w:rsid w:val="00550C6B"/>
    <w:rsid w:val="00551129"/>
    <w:rsid w:val="00551DBD"/>
    <w:rsid w:val="00553307"/>
    <w:rsid w:val="0055351A"/>
    <w:rsid w:val="00553D03"/>
    <w:rsid w:val="005568BA"/>
    <w:rsid w:val="005573C1"/>
    <w:rsid w:val="00557AAD"/>
    <w:rsid w:val="0056018C"/>
    <w:rsid w:val="005606DD"/>
    <w:rsid w:val="005610FF"/>
    <w:rsid w:val="00561452"/>
    <w:rsid w:val="0056230C"/>
    <w:rsid w:val="00562743"/>
    <w:rsid w:val="00562B64"/>
    <w:rsid w:val="00564CFB"/>
    <w:rsid w:val="00564DCC"/>
    <w:rsid w:val="00565223"/>
    <w:rsid w:val="005653CB"/>
    <w:rsid w:val="0056552B"/>
    <w:rsid w:val="0056568F"/>
    <w:rsid w:val="00566012"/>
    <w:rsid w:val="00566093"/>
    <w:rsid w:val="005660B3"/>
    <w:rsid w:val="00566D4C"/>
    <w:rsid w:val="005671A6"/>
    <w:rsid w:val="00567B76"/>
    <w:rsid w:val="00570EE5"/>
    <w:rsid w:val="0057196B"/>
    <w:rsid w:val="0057255B"/>
    <w:rsid w:val="00572DEA"/>
    <w:rsid w:val="005740CF"/>
    <w:rsid w:val="00574402"/>
    <w:rsid w:val="00575940"/>
    <w:rsid w:val="00576175"/>
    <w:rsid w:val="005775F8"/>
    <w:rsid w:val="00577754"/>
    <w:rsid w:val="00577E95"/>
    <w:rsid w:val="00580569"/>
    <w:rsid w:val="00580C3A"/>
    <w:rsid w:val="00582118"/>
    <w:rsid w:val="005822D9"/>
    <w:rsid w:val="00582BC6"/>
    <w:rsid w:val="005833AB"/>
    <w:rsid w:val="005837CB"/>
    <w:rsid w:val="00583839"/>
    <w:rsid w:val="005846CA"/>
    <w:rsid w:val="00585DC4"/>
    <w:rsid w:val="00586C97"/>
    <w:rsid w:val="00586F8A"/>
    <w:rsid w:val="00587682"/>
    <w:rsid w:val="00587BF4"/>
    <w:rsid w:val="00590661"/>
    <w:rsid w:val="0059075E"/>
    <w:rsid w:val="00590BD1"/>
    <w:rsid w:val="0059178A"/>
    <w:rsid w:val="00593224"/>
    <w:rsid w:val="00593714"/>
    <w:rsid w:val="0059512F"/>
    <w:rsid w:val="005970A3"/>
    <w:rsid w:val="005A0658"/>
    <w:rsid w:val="005A2CC1"/>
    <w:rsid w:val="005A3127"/>
    <w:rsid w:val="005A74A3"/>
    <w:rsid w:val="005A752A"/>
    <w:rsid w:val="005B0380"/>
    <w:rsid w:val="005B0C14"/>
    <w:rsid w:val="005B3570"/>
    <w:rsid w:val="005B3A9F"/>
    <w:rsid w:val="005B3B47"/>
    <w:rsid w:val="005B4352"/>
    <w:rsid w:val="005B4922"/>
    <w:rsid w:val="005B49E0"/>
    <w:rsid w:val="005B501C"/>
    <w:rsid w:val="005B5684"/>
    <w:rsid w:val="005B58FF"/>
    <w:rsid w:val="005B5DD1"/>
    <w:rsid w:val="005B6679"/>
    <w:rsid w:val="005B6789"/>
    <w:rsid w:val="005B7070"/>
    <w:rsid w:val="005B7822"/>
    <w:rsid w:val="005B7B6E"/>
    <w:rsid w:val="005B7C9A"/>
    <w:rsid w:val="005B7FD1"/>
    <w:rsid w:val="005C00F5"/>
    <w:rsid w:val="005C046A"/>
    <w:rsid w:val="005C0779"/>
    <w:rsid w:val="005C0D32"/>
    <w:rsid w:val="005C1FBB"/>
    <w:rsid w:val="005C2460"/>
    <w:rsid w:val="005C24BF"/>
    <w:rsid w:val="005C2DD8"/>
    <w:rsid w:val="005C38B3"/>
    <w:rsid w:val="005C5A99"/>
    <w:rsid w:val="005C70B9"/>
    <w:rsid w:val="005C7A91"/>
    <w:rsid w:val="005C7DC0"/>
    <w:rsid w:val="005D0496"/>
    <w:rsid w:val="005D08CE"/>
    <w:rsid w:val="005D0CDB"/>
    <w:rsid w:val="005D0F2A"/>
    <w:rsid w:val="005D17A0"/>
    <w:rsid w:val="005D1F78"/>
    <w:rsid w:val="005D2AD4"/>
    <w:rsid w:val="005D320E"/>
    <w:rsid w:val="005D3252"/>
    <w:rsid w:val="005D3280"/>
    <w:rsid w:val="005D3527"/>
    <w:rsid w:val="005D3768"/>
    <w:rsid w:val="005D3844"/>
    <w:rsid w:val="005D5D90"/>
    <w:rsid w:val="005D6314"/>
    <w:rsid w:val="005D72E8"/>
    <w:rsid w:val="005E07AC"/>
    <w:rsid w:val="005E0FB8"/>
    <w:rsid w:val="005E272F"/>
    <w:rsid w:val="005E2D44"/>
    <w:rsid w:val="005E340C"/>
    <w:rsid w:val="005E3419"/>
    <w:rsid w:val="005E3787"/>
    <w:rsid w:val="005E43A6"/>
    <w:rsid w:val="005E43B4"/>
    <w:rsid w:val="005E48BB"/>
    <w:rsid w:val="005E4C33"/>
    <w:rsid w:val="005E52E3"/>
    <w:rsid w:val="005E562C"/>
    <w:rsid w:val="005E63B5"/>
    <w:rsid w:val="005E733B"/>
    <w:rsid w:val="005F0185"/>
    <w:rsid w:val="005F0245"/>
    <w:rsid w:val="005F04EE"/>
    <w:rsid w:val="005F0C8D"/>
    <w:rsid w:val="005F189D"/>
    <w:rsid w:val="005F1AD0"/>
    <w:rsid w:val="005F1D75"/>
    <w:rsid w:val="005F21AC"/>
    <w:rsid w:val="005F335B"/>
    <w:rsid w:val="005F37A5"/>
    <w:rsid w:val="005F506B"/>
    <w:rsid w:val="005F5150"/>
    <w:rsid w:val="005F7222"/>
    <w:rsid w:val="005F77B3"/>
    <w:rsid w:val="005F7EAB"/>
    <w:rsid w:val="005F7F13"/>
    <w:rsid w:val="00600D16"/>
    <w:rsid w:val="00600DA4"/>
    <w:rsid w:val="0060180A"/>
    <w:rsid w:val="00602E9A"/>
    <w:rsid w:val="006030D2"/>
    <w:rsid w:val="006035BB"/>
    <w:rsid w:val="00603624"/>
    <w:rsid w:val="00605441"/>
    <w:rsid w:val="00605E0C"/>
    <w:rsid w:val="006069CF"/>
    <w:rsid w:val="00606A39"/>
    <w:rsid w:val="0061064C"/>
    <w:rsid w:val="00610A9E"/>
    <w:rsid w:val="00611136"/>
    <w:rsid w:val="006123E7"/>
    <w:rsid w:val="00612BA3"/>
    <w:rsid w:val="00612FE8"/>
    <w:rsid w:val="00613311"/>
    <w:rsid w:val="00613402"/>
    <w:rsid w:val="006168E4"/>
    <w:rsid w:val="00617932"/>
    <w:rsid w:val="00620933"/>
    <w:rsid w:val="00621A0E"/>
    <w:rsid w:val="006221EA"/>
    <w:rsid w:val="00622672"/>
    <w:rsid w:val="006238E4"/>
    <w:rsid w:val="00623C4C"/>
    <w:rsid w:val="0062403F"/>
    <w:rsid w:val="006242FC"/>
    <w:rsid w:val="006247CE"/>
    <w:rsid w:val="00625363"/>
    <w:rsid w:val="00625708"/>
    <w:rsid w:val="00625A12"/>
    <w:rsid w:val="00625CFF"/>
    <w:rsid w:val="00625D26"/>
    <w:rsid w:val="0062797C"/>
    <w:rsid w:val="00627DAE"/>
    <w:rsid w:val="00630E31"/>
    <w:rsid w:val="006317EC"/>
    <w:rsid w:val="00631BA9"/>
    <w:rsid w:val="006323BF"/>
    <w:rsid w:val="006330EB"/>
    <w:rsid w:val="0063561D"/>
    <w:rsid w:val="00635C9A"/>
    <w:rsid w:val="00637835"/>
    <w:rsid w:val="00640113"/>
    <w:rsid w:val="0064050A"/>
    <w:rsid w:val="00640787"/>
    <w:rsid w:val="00640AB8"/>
    <w:rsid w:val="00640CCA"/>
    <w:rsid w:val="00641DD1"/>
    <w:rsid w:val="00642221"/>
    <w:rsid w:val="006424F2"/>
    <w:rsid w:val="00643A24"/>
    <w:rsid w:val="00643B48"/>
    <w:rsid w:val="00643B5A"/>
    <w:rsid w:val="0064404F"/>
    <w:rsid w:val="0064429D"/>
    <w:rsid w:val="006448E3"/>
    <w:rsid w:val="00644C67"/>
    <w:rsid w:val="00645DDF"/>
    <w:rsid w:val="006472AC"/>
    <w:rsid w:val="00647B07"/>
    <w:rsid w:val="006502D7"/>
    <w:rsid w:val="00650737"/>
    <w:rsid w:val="00650A0B"/>
    <w:rsid w:val="00650EB5"/>
    <w:rsid w:val="0065130F"/>
    <w:rsid w:val="006522EB"/>
    <w:rsid w:val="00652C18"/>
    <w:rsid w:val="00653631"/>
    <w:rsid w:val="006536AB"/>
    <w:rsid w:val="006543EC"/>
    <w:rsid w:val="00654E8C"/>
    <w:rsid w:val="0065535F"/>
    <w:rsid w:val="00656627"/>
    <w:rsid w:val="00656679"/>
    <w:rsid w:val="0065697E"/>
    <w:rsid w:val="00656C7E"/>
    <w:rsid w:val="006579AB"/>
    <w:rsid w:val="0066065A"/>
    <w:rsid w:val="00660897"/>
    <w:rsid w:val="00660C50"/>
    <w:rsid w:val="00661019"/>
    <w:rsid w:val="006620E6"/>
    <w:rsid w:val="00662230"/>
    <w:rsid w:val="00662502"/>
    <w:rsid w:val="0066271B"/>
    <w:rsid w:val="00662797"/>
    <w:rsid w:val="006627CB"/>
    <w:rsid w:val="00662B32"/>
    <w:rsid w:val="006630E1"/>
    <w:rsid w:val="00663D3B"/>
    <w:rsid w:val="0066476C"/>
    <w:rsid w:val="00664B1C"/>
    <w:rsid w:val="00665B63"/>
    <w:rsid w:val="00665D1D"/>
    <w:rsid w:val="00666D8D"/>
    <w:rsid w:val="006672A5"/>
    <w:rsid w:val="0066745B"/>
    <w:rsid w:val="00667963"/>
    <w:rsid w:val="0067012A"/>
    <w:rsid w:val="0067094F"/>
    <w:rsid w:val="00670A8F"/>
    <w:rsid w:val="006714B2"/>
    <w:rsid w:val="00671581"/>
    <w:rsid w:val="00671812"/>
    <w:rsid w:val="0067285F"/>
    <w:rsid w:val="00672C5E"/>
    <w:rsid w:val="00672D25"/>
    <w:rsid w:val="00673447"/>
    <w:rsid w:val="00674EC0"/>
    <w:rsid w:val="00675AB2"/>
    <w:rsid w:val="00676AC2"/>
    <w:rsid w:val="0067741B"/>
    <w:rsid w:val="00683858"/>
    <w:rsid w:val="006840BB"/>
    <w:rsid w:val="006845DE"/>
    <w:rsid w:val="006860F1"/>
    <w:rsid w:val="00686554"/>
    <w:rsid w:val="00691566"/>
    <w:rsid w:val="006922D8"/>
    <w:rsid w:val="00692333"/>
    <w:rsid w:val="00692FF7"/>
    <w:rsid w:val="0069360F"/>
    <w:rsid w:val="0069402E"/>
    <w:rsid w:val="00694915"/>
    <w:rsid w:val="006963BB"/>
    <w:rsid w:val="00696D16"/>
    <w:rsid w:val="006972D7"/>
    <w:rsid w:val="006974D9"/>
    <w:rsid w:val="006974FF"/>
    <w:rsid w:val="006975D8"/>
    <w:rsid w:val="0069769C"/>
    <w:rsid w:val="006A0879"/>
    <w:rsid w:val="006A0FA3"/>
    <w:rsid w:val="006A161F"/>
    <w:rsid w:val="006A2A31"/>
    <w:rsid w:val="006A37F1"/>
    <w:rsid w:val="006A428D"/>
    <w:rsid w:val="006A4B7D"/>
    <w:rsid w:val="006A51FF"/>
    <w:rsid w:val="006A5950"/>
    <w:rsid w:val="006A5E2D"/>
    <w:rsid w:val="006A7262"/>
    <w:rsid w:val="006A7B00"/>
    <w:rsid w:val="006B0445"/>
    <w:rsid w:val="006B0499"/>
    <w:rsid w:val="006B0843"/>
    <w:rsid w:val="006B0CB1"/>
    <w:rsid w:val="006B0F88"/>
    <w:rsid w:val="006B1961"/>
    <w:rsid w:val="006B1BB4"/>
    <w:rsid w:val="006B3932"/>
    <w:rsid w:val="006B3D86"/>
    <w:rsid w:val="006B4409"/>
    <w:rsid w:val="006B5C1E"/>
    <w:rsid w:val="006B65F7"/>
    <w:rsid w:val="006B755D"/>
    <w:rsid w:val="006B77CE"/>
    <w:rsid w:val="006B7C10"/>
    <w:rsid w:val="006C21B8"/>
    <w:rsid w:val="006C2EBE"/>
    <w:rsid w:val="006C39A6"/>
    <w:rsid w:val="006C51DD"/>
    <w:rsid w:val="006C572F"/>
    <w:rsid w:val="006C5CD2"/>
    <w:rsid w:val="006C618D"/>
    <w:rsid w:val="006C67BC"/>
    <w:rsid w:val="006C6DEF"/>
    <w:rsid w:val="006C6FCF"/>
    <w:rsid w:val="006C718C"/>
    <w:rsid w:val="006C766D"/>
    <w:rsid w:val="006D04E7"/>
    <w:rsid w:val="006D0D1D"/>
    <w:rsid w:val="006D0D96"/>
    <w:rsid w:val="006D0E59"/>
    <w:rsid w:val="006D1BAB"/>
    <w:rsid w:val="006D1CA1"/>
    <w:rsid w:val="006D1CF5"/>
    <w:rsid w:val="006D21AA"/>
    <w:rsid w:val="006D38A4"/>
    <w:rsid w:val="006D3BA8"/>
    <w:rsid w:val="006D476F"/>
    <w:rsid w:val="006D5C05"/>
    <w:rsid w:val="006D6FA9"/>
    <w:rsid w:val="006D6FDC"/>
    <w:rsid w:val="006D7042"/>
    <w:rsid w:val="006D7A2D"/>
    <w:rsid w:val="006D7E69"/>
    <w:rsid w:val="006E0C07"/>
    <w:rsid w:val="006E0ED9"/>
    <w:rsid w:val="006E2BED"/>
    <w:rsid w:val="006E3E9C"/>
    <w:rsid w:val="006E4A5A"/>
    <w:rsid w:val="006E4DF8"/>
    <w:rsid w:val="006E5223"/>
    <w:rsid w:val="006E5433"/>
    <w:rsid w:val="006E5D77"/>
    <w:rsid w:val="006E6352"/>
    <w:rsid w:val="006E74C2"/>
    <w:rsid w:val="006F03EA"/>
    <w:rsid w:val="006F126D"/>
    <w:rsid w:val="006F1319"/>
    <w:rsid w:val="006F1327"/>
    <w:rsid w:val="006F157C"/>
    <w:rsid w:val="006F1B2E"/>
    <w:rsid w:val="006F1D8B"/>
    <w:rsid w:val="006F1EE2"/>
    <w:rsid w:val="006F2037"/>
    <w:rsid w:val="006F2089"/>
    <w:rsid w:val="006F22CF"/>
    <w:rsid w:val="006F2495"/>
    <w:rsid w:val="006F2AB5"/>
    <w:rsid w:val="006F37D0"/>
    <w:rsid w:val="006F4560"/>
    <w:rsid w:val="006F5448"/>
    <w:rsid w:val="006F62C5"/>
    <w:rsid w:val="006F68FA"/>
    <w:rsid w:val="00700074"/>
    <w:rsid w:val="00701D7C"/>
    <w:rsid w:val="00702AE1"/>
    <w:rsid w:val="00703924"/>
    <w:rsid w:val="007045AB"/>
    <w:rsid w:val="007046E3"/>
    <w:rsid w:val="00704E8B"/>
    <w:rsid w:val="0070512B"/>
    <w:rsid w:val="007061F4"/>
    <w:rsid w:val="0070650B"/>
    <w:rsid w:val="007067FD"/>
    <w:rsid w:val="0070716D"/>
    <w:rsid w:val="00711102"/>
    <w:rsid w:val="007118F9"/>
    <w:rsid w:val="00711A7D"/>
    <w:rsid w:val="00711FAB"/>
    <w:rsid w:val="00712128"/>
    <w:rsid w:val="007133F0"/>
    <w:rsid w:val="00715107"/>
    <w:rsid w:val="00715B86"/>
    <w:rsid w:val="00715BDE"/>
    <w:rsid w:val="007167A6"/>
    <w:rsid w:val="00716E75"/>
    <w:rsid w:val="00717206"/>
    <w:rsid w:val="007172C3"/>
    <w:rsid w:val="00720820"/>
    <w:rsid w:val="00720B47"/>
    <w:rsid w:val="00720F22"/>
    <w:rsid w:val="00720FFD"/>
    <w:rsid w:val="007210B2"/>
    <w:rsid w:val="00722A82"/>
    <w:rsid w:val="00722ED7"/>
    <w:rsid w:val="0072304A"/>
    <w:rsid w:val="007233A9"/>
    <w:rsid w:val="00723D06"/>
    <w:rsid w:val="00723F82"/>
    <w:rsid w:val="00724934"/>
    <w:rsid w:val="00726164"/>
    <w:rsid w:val="007265A6"/>
    <w:rsid w:val="00726DC4"/>
    <w:rsid w:val="00727187"/>
    <w:rsid w:val="00727CCD"/>
    <w:rsid w:val="00731216"/>
    <w:rsid w:val="0073190C"/>
    <w:rsid w:val="007327AA"/>
    <w:rsid w:val="00732A56"/>
    <w:rsid w:val="00732F41"/>
    <w:rsid w:val="0073377C"/>
    <w:rsid w:val="007337C8"/>
    <w:rsid w:val="00733F32"/>
    <w:rsid w:val="00735458"/>
    <w:rsid w:val="0073601B"/>
    <w:rsid w:val="00736D73"/>
    <w:rsid w:val="00737AAD"/>
    <w:rsid w:val="0074051C"/>
    <w:rsid w:val="00740886"/>
    <w:rsid w:val="00741333"/>
    <w:rsid w:val="00741784"/>
    <w:rsid w:val="0074416E"/>
    <w:rsid w:val="007444EF"/>
    <w:rsid w:val="007448F3"/>
    <w:rsid w:val="007451F1"/>
    <w:rsid w:val="007456DF"/>
    <w:rsid w:val="007458BD"/>
    <w:rsid w:val="007458E6"/>
    <w:rsid w:val="00746541"/>
    <w:rsid w:val="007466A7"/>
    <w:rsid w:val="00747123"/>
    <w:rsid w:val="007478EE"/>
    <w:rsid w:val="00750025"/>
    <w:rsid w:val="00750419"/>
    <w:rsid w:val="00750495"/>
    <w:rsid w:val="00750A75"/>
    <w:rsid w:val="00750AA6"/>
    <w:rsid w:val="0075106D"/>
    <w:rsid w:val="00751FF9"/>
    <w:rsid w:val="00752085"/>
    <w:rsid w:val="0075261C"/>
    <w:rsid w:val="00752F51"/>
    <w:rsid w:val="00753B10"/>
    <w:rsid w:val="007543F2"/>
    <w:rsid w:val="00754921"/>
    <w:rsid w:val="00754F2F"/>
    <w:rsid w:val="0075598B"/>
    <w:rsid w:val="00755B06"/>
    <w:rsid w:val="00755B14"/>
    <w:rsid w:val="00755BCD"/>
    <w:rsid w:val="00755C97"/>
    <w:rsid w:val="00755F95"/>
    <w:rsid w:val="007560F3"/>
    <w:rsid w:val="007567A8"/>
    <w:rsid w:val="0076094F"/>
    <w:rsid w:val="00760F7F"/>
    <w:rsid w:val="00762AA7"/>
    <w:rsid w:val="00762D35"/>
    <w:rsid w:val="00762FA8"/>
    <w:rsid w:val="00764AD0"/>
    <w:rsid w:val="00764C1B"/>
    <w:rsid w:val="00765AA2"/>
    <w:rsid w:val="00765D51"/>
    <w:rsid w:val="007666F8"/>
    <w:rsid w:val="007671B2"/>
    <w:rsid w:val="0076746D"/>
    <w:rsid w:val="007717A1"/>
    <w:rsid w:val="00771888"/>
    <w:rsid w:val="00771F29"/>
    <w:rsid w:val="00771FD1"/>
    <w:rsid w:val="00772A71"/>
    <w:rsid w:val="00772B1F"/>
    <w:rsid w:val="007731F2"/>
    <w:rsid w:val="0077389E"/>
    <w:rsid w:val="00773C74"/>
    <w:rsid w:val="00774423"/>
    <w:rsid w:val="00774A0C"/>
    <w:rsid w:val="00774A15"/>
    <w:rsid w:val="00774D72"/>
    <w:rsid w:val="00775C48"/>
    <w:rsid w:val="00776734"/>
    <w:rsid w:val="00776A61"/>
    <w:rsid w:val="00776F8D"/>
    <w:rsid w:val="0077725B"/>
    <w:rsid w:val="00780180"/>
    <w:rsid w:val="00780282"/>
    <w:rsid w:val="00781653"/>
    <w:rsid w:val="00781844"/>
    <w:rsid w:val="007828E4"/>
    <w:rsid w:val="00782CDF"/>
    <w:rsid w:val="0078331C"/>
    <w:rsid w:val="00784581"/>
    <w:rsid w:val="00784831"/>
    <w:rsid w:val="00785005"/>
    <w:rsid w:val="00785484"/>
    <w:rsid w:val="00785FE8"/>
    <w:rsid w:val="00786C90"/>
    <w:rsid w:val="007876BA"/>
    <w:rsid w:val="00787A64"/>
    <w:rsid w:val="00790BB0"/>
    <w:rsid w:val="007919D4"/>
    <w:rsid w:val="00791EBA"/>
    <w:rsid w:val="0079243B"/>
    <w:rsid w:val="007928BF"/>
    <w:rsid w:val="00792C90"/>
    <w:rsid w:val="00793862"/>
    <w:rsid w:val="00793C66"/>
    <w:rsid w:val="0079713C"/>
    <w:rsid w:val="007A018B"/>
    <w:rsid w:val="007A0534"/>
    <w:rsid w:val="007A07B2"/>
    <w:rsid w:val="007A11AE"/>
    <w:rsid w:val="007A165D"/>
    <w:rsid w:val="007A32CD"/>
    <w:rsid w:val="007A3384"/>
    <w:rsid w:val="007A3CEA"/>
    <w:rsid w:val="007A618B"/>
    <w:rsid w:val="007A6AD7"/>
    <w:rsid w:val="007A6C18"/>
    <w:rsid w:val="007A6C5E"/>
    <w:rsid w:val="007A6DA9"/>
    <w:rsid w:val="007B035C"/>
    <w:rsid w:val="007B1D0D"/>
    <w:rsid w:val="007B2072"/>
    <w:rsid w:val="007B278D"/>
    <w:rsid w:val="007B31C0"/>
    <w:rsid w:val="007B3FA0"/>
    <w:rsid w:val="007B4316"/>
    <w:rsid w:val="007B5498"/>
    <w:rsid w:val="007B57A2"/>
    <w:rsid w:val="007B670C"/>
    <w:rsid w:val="007B7B66"/>
    <w:rsid w:val="007B7BFB"/>
    <w:rsid w:val="007C077F"/>
    <w:rsid w:val="007C120E"/>
    <w:rsid w:val="007C182E"/>
    <w:rsid w:val="007C1C86"/>
    <w:rsid w:val="007C1DEC"/>
    <w:rsid w:val="007C2497"/>
    <w:rsid w:val="007C39F3"/>
    <w:rsid w:val="007C3D56"/>
    <w:rsid w:val="007C3F59"/>
    <w:rsid w:val="007C4204"/>
    <w:rsid w:val="007C4224"/>
    <w:rsid w:val="007C42CB"/>
    <w:rsid w:val="007C478F"/>
    <w:rsid w:val="007C6629"/>
    <w:rsid w:val="007C6B46"/>
    <w:rsid w:val="007C6F0C"/>
    <w:rsid w:val="007D056F"/>
    <w:rsid w:val="007D0C07"/>
    <w:rsid w:val="007D0D8B"/>
    <w:rsid w:val="007D131C"/>
    <w:rsid w:val="007D24D2"/>
    <w:rsid w:val="007D30A0"/>
    <w:rsid w:val="007D3895"/>
    <w:rsid w:val="007D39AF"/>
    <w:rsid w:val="007D42E8"/>
    <w:rsid w:val="007D48EF"/>
    <w:rsid w:val="007D62F6"/>
    <w:rsid w:val="007D671D"/>
    <w:rsid w:val="007D68C5"/>
    <w:rsid w:val="007D7109"/>
    <w:rsid w:val="007D7AC7"/>
    <w:rsid w:val="007E2A72"/>
    <w:rsid w:val="007E2D94"/>
    <w:rsid w:val="007E2D9C"/>
    <w:rsid w:val="007E31A7"/>
    <w:rsid w:val="007E396E"/>
    <w:rsid w:val="007E445B"/>
    <w:rsid w:val="007E475D"/>
    <w:rsid w:val="007E4FB1"/>
    <w:rsid w:val="007E51E9"/>
    <w:rsid w:val="007E5CDC"/>
    <w:rsid w:val="007E6797"/>
    <w:rsid w:val="007E7C34"/>
    <w:rsid w:val="007E7C3D"/>
    <w:rsid w:val="007E7CB3"/>
    <w:rsid w:val="007E7FEA"/>
    <w:rsid w:val="007F1195"/>
    <w:rsid w:val="007F12B6"/>
    <w:rsid w:val="007F144F"/>
    <w:rsid w:val="007F2994"/>
    <w:rsid w:val="007F2CF3"/>
    <w:rsid w:val="007F3617"/>
    <w:rsid w:val="007F37D4"/>
    <w:rsid w:val="007F3954"/>
    <w:rsid w:val="007F4E3B"/>
    <w:rsid w:val="007F51A8"/>
    <w:rsid w:val="007F6D83"/>
    <w:rsid w:val="007F6DE7"/>
    <w:rsid w:val="007F6EFE"/>
    <w:rsid w:val="007F6F0B"/>
    <w:rsid w:val="007F78E4"/>
    <w:rsid w:val="008001C2"/>
    <w:rsid w:val="00800C83"/>
    <w:rsid w:val="0080133D"/>
    <w:rsid w:val="008017FF"/>
    <w:rsid w:val="00801A46"/>
    <w:rsid w:val="008027F6"/>
    <w:rsid w:val="00803995"/>
    <w:rsid w:val="00803B01"/>
    <w:rsid w:val="00804158"/>
    <w:rsid w:val="00804670"/>
    <w:rsid w:val="008049F3"/>
    <w:rsid w:val="00804F47"/>
    <w:rsid w:val="00806794"/>
    <w:rsid w:val="0080697E"/>
    <w:rsid w:val="008115CE"/>
    <w:rsid w:val="0081253D"/>
    <w:rsid w:val="00813153"/>
    <w:rsid w:val="008131D5"/>
    <w:rsid w:val="00814C33"/>
    <w:rsid w:val="00814E53"/>
    <w:rsid w:val="008151C1"/>
    <w:rsid w:val="00815CF0"/>
    <w:rsid w:val="00820AE8"/>
    <w:rsid w:val="00820E9F"/>
    <w:rsid w:val="0082122E"/>
    <w:rsid w:val="00821ACC"/>
    <w:rsid w:val="00823390"/>
    <w:rsid w:val="0082424C"/>
    <w:rsid w:val="00825FE5"/>
    <w:rsid w:val="00826707"/>
    <w:rsid w:val="00830B33"/>
    <w:rsid w:val="00830D2D"/>
    <w:rsid w:val="008327DA"/>
    <w:rsid w:val="00832DE6"/>
    <w:rsid w:val="0083344B"/>
    <w:rsid w:val="008339B3"/>
    <w:rsid w:val="008343DF"/>
    <w:rsid w:val="00834C21"/>
    <w:rsid w:val="00834FE0"/>
    <w:rsid w:val="0083670F"/>
    <w:rsid w:val="00837C20"/>
    <w:rsid w:val="00840A33"/>
    <w:rsid w:val="008417C2"/>
    <w:rsid w:val="0084185E"/>
    <w:rsid w:val="0084283A"/>
    <w:rsid w:val="00843C22"/>
    <w:rsid w:val="00843C44"/>
    <w:rsid w:val="00843D8F"/>
    <w:rsid w:val="00844F47"/>
    <w:rsid w:val="008460D9"/>
    <w:rsid w:val="008461D5"/>
    <w:rsid w:val="00846A6A"/>
    <w:rsid w:val="00846B95"/>
    <w:rsid w:val="00846D1E"/>
    <w:rsid w:val="00850A18"/>
    <w:rsid w:val="00850BEA"/>
    <w:rsid w:val="00851AD1"/>
    <w:rsid w:val="00851F17"/>
    <w:rsid w:val="00852162"/>
    <w:rsid w:val="008524E4"/>
    <w:rsid w:val="0085372C"/>
    <w:rsid w:val="008537A7"/>
    <w:rsid w:val="00853BDE"/>
    <w:rsid w:val="00853E43"/>
    <w:rsid w:val="0085405B"/>
    <w:rsid w:val="008553D5"/>
    <w:rsid w:val="008579AF"/>
    <w:rsid w:val="00861210"/>
    <w:rsid w:val="00861A0C"/>
    <w:rsid w:val="00861F7F"/>
    <w:rsid w:val="00862D7C"/>
    <w:rsid w:val="00862E6F"/>
    <w:rsid w:val="0086332E"/>
    <w:rsid w:val="00863618"/>
    <w:rsid w:val="00863CBF"/>
    <w:rsid w:val="008643A8"/>
    <w:rsid w:val="008645E2"/>
    <w:rsid w:val="00864766"/>
    <w:rsid w:val="00864F04"/>
    <w:rsid w:val="00865259"/>
    <w:rsid w:val="00865DD2"/>
    <w:rsid w:val="00866317"/>
    <w:rsid w:val="00866E77"/>
    <w:rsid w:val="0086727D"/>
    <w:rsid w:val="0087318C"/>
    <w:rsid w:val="008734BE"/>
    <w:rsid w:val="008735A8"/>
    <w:rsid w:val="008738D1"/>
    <w:rsid w:val="0087391A"/>
    <w:rsid w:val="00874083"/>
    <w:rsid w:val="00874182"/>
    <w:rsid w:val="00874FE7"/>
    <w:rsid w:val="008751A4"/>
    <w:rsid w:val="00875BF5"/>
    <w:rsid w:val="00875D70"/>
    <w:rsid w:val="00876C94"/>
    <w:rsid w:val="00876EDC"/>
    <w:rsid w:val="00876FA6"/>
    <w:rsid w:val="0087715C"/>
    <w:rsid w:val="008771EC"/>
    <w:rsid w:val="00877BFD"/>
    <w:rsid w:val="00880B0B"/>
    <w:rsid w:val="00880DBB"/>
    <w:rsid w:val="0088144F"/>
    <w:rsid w:val="00881B63"/>
    <w:rsid w:val="00881CA7"/>
    <w:rsid w:val="008822D8"/>
    <w:rsid w:val="00883B44"/>
    <w:rsid w:val="00884A9E"/>
    <w:rsid w:val="00885966"/>
    <w:rsid w:val="00886D55"/>
    <w:rsid w:val="008870E7"/>
    <w:rsid w:val="00887B4A"/>
    <w:rsid w:val="00887D54"/>
    <w:rsid w:val="00887D61"/>
    <w:rsid w:val="008903D3"/>
    <w:rsid w:val="00890DB4"/>
    <w:rsid w:val="00891006"/>
    <w:rsid w:val="00891DEF"/>
    <w:rsid w:val="0089419A"/>
    <w:rsid w:val="0089486F"/>
    <w:rsid w:val="00896B86"/>
    <w:rsid w:val="00896E65"/>
    <w:rsid w:val="00897166"/>
    <w:rsid w:val="008971CF"/>
    <w:rsid w:val="008A07D0"/>
    <w:rsid w:val="008A23FD"/>
    <w:rsid w:val="008A2652"/>
    <w:rsid w:val="008A2774"/>
    <w:rsid w:val="008A2A83"/>
    <w:rsid w:val="008A31D3"/>
    <w:rsid w:val="008A4AB7"/>
    <w:rsid w:val="008A5071"/>
    <w:rsid w:val="008A53FA"/>
    <w:rsid w:val="008A569B"/>
    <w:rsid w:val="008A5CBA"/>
    <w:rsid w:val="008A6471"/>
    <w:rsid w:val="008A64C7"/>
    <w:rsid w:val="008A6E9E"/>
    <w:rsid w:val="008A795B"/>
    <w:rsid w:val="008A79D8"/>
    <w:rsid w:val="008B1841"/>
    <w:rsid w:val="008B1910"/>
    <w:rsid w:val="008B1CD5"/>
    <w:rsid w:val="008B2E0D"/>
    <w:rsid w:val="008B34F1"/>
    <w:rsid w:val="008B5E8D"/>
    <w:rsid w:val="008B609D"/>
    <w:rsid w:val="008C012A"/>
    <w:rsid w:val="008C0A9F"/>
    <w:rsid w:val="008C11DC"/>
    <w:rsid w:val="008C142A"/>
    <w:rsid w:val="008C22B8"/>
    <w:rsid w:val="008C28BC"/>
    <w:rsid w:val="008C3103"/>
    <w:rsid w:val="008C33CC"/>
    <w:rsid w:val="008C4427"/>
    <w:rsid w:val="008C59F3"/>
    <w:rsid w:val="008C5F90"/>
    <w:rsid w:val="008C6844"/>
    <w:rsid w:val="008C6BEF"/>
    <w:rsid w:val="008C72A4"/>
    <w:rsid w:val="008C76D8"/>
    <w:rsid w:val="008D08F1"/>
    <w:rsid w:val="008D0B09"/>
    <w:rsid w:val="008D1588"/>
    <w:rsid w:val="008D2C3A"/>
    <w:rsid w:val="008D2CA0"/>
    <w:rsid w:val="008D3675"/>
    <w:rsid w:val="008D38F1"/>
    <w:rsid w:val="008D3A05"/>
    <w:rsid w:val="008D3A25"/>
    <w:rsid w:val="008D3B8D"/>
    <w:rsid w:val="008D3E07"/>
    <w:rsid w:val="008D4B1F"/>
    <w:rsid w:val="008D5C22"/>
    <w:rsid w:val="008D61C0"/>
    <w:rsid w:val="008D64DE"/>
    <w:rsid w:val="008D658D"/>
    <w:rsid w:val="008D7903"/>
    <w:rsid w:val="008D7FDF"/>
    <w:rsid w:val="008E0C8D"/>
    <w:rsid w:val="008E0CD9"/>
    <w:rsid w:val="008E0D9B"/>
    <w:rsid w:val="008E1128"/>
    <w:rsid w:val="008E1DD2"/>
    <w:rsid w:val="008E2052"/>
    <w:rsid w:val="008E4F94"/>
    <w:rsid w:val="008E6669"/>
    <w:rsid w:val="008E6E44"/>
    <w:rsid w:val="008E7DD7"/>
    <w:rsid w:val="008E7EFC"/>
    <w:rsid w:val="008E7F68"/>
    <w:rsid w:val="008F04B3"/>
    <w:rsid w:val="008F0F76"/>
    <w:rsid w:val="008F10A4"/>
    <w:rsid w:val="008F1FEC"/>
    <w:rsid w:val="008F3BCC"/>
    <w:rsid w:val="008F3EF1"/>
    <w:rsid w:val="008F462F"/>
    <w:rsid w:val="008F4B65"/>
    <w:rsid w:val="008F5237"/>
    <w:rsid w:val="008F61DC"/>
    <w:rsid w:val="008F6903"/>
    <w:rsid w:val="008F7307"/>
    <w:rsid w:val="008F766B"/>
    <w:rsid w:val="00900C49"/>
    <w:rsid w:val="009010D4"/>
    <w:rsid w:val="009011D1"/>
    <w:rsid w:val="00901AB9"/>
    <w:rsid w:val="00901FD9"/>
    <w:rsid w:val="009021B2"/>
    <w:rsid w:val="00902283"/>
    <w:rsid w:val="009027EE"/>
    <w:rsid w:val="00903626"/>
    <w:rsid w:val="00903778"/>
    <w:rsid w:val="00904F1D"/>
    <w:rsid w:val="00905923"/>
    <w:rsid w:val="00905B0D"/>
    <w:rsid w:val="009069DD"/>
    <w:rsid w:val="00907BFD"/>
    <w:rsid w:val="009108ED"/>
    <w:rsid w:val="00911E44"/>
    <w:rsid w:val="00914641"/>
    <w:rsid w:val="009149D0"/>
    <w:rsid w:val="0091563A"/>
    <w:rsid w:val="00915F54"/>
    <w:rsid w:val="009161AD"/>
    <w:rsid w:val="00916FE3"/>
    <w:rsid w:val="0091746B"/>
    <w:rsid w:val="00920C95"/>
    <w:rsid w:val="00921B57"/>
    <w:rsid w:val="00921B71"/>
    <w:rsid w:val="00922AD9"/>
    <w:rsid w:val="009231F3"/>
    <w:rsid w:val="009240BD"/>
    <w:rsid w:val="00924110"/>
    <w:rsid w:val="00924240"/>
    <w:rsid w:val="00924DF3"/>
    <w:rsid w:val="00926267"/>
    <w:rsid w:val="009264B0"/>
    <w:rsid w:val="009271AC"/>
    <w:rsid w:val="0093008D"/>
    <w:rsid w:val="00932DAE"/>
    <w:rsid w:val="009335F5"/>
    <w:rsid w:val="00933C9A"/>
    <w:rsid w:val="00936BFD"/>
    <w:rsid w:val="0093792C"/>
    <w:rsid w:val="00940AD3"/>
    <w:rsid w:val="00941120"/>
    <w:rsid w:val="009413AE"/>
    <w:rsid w:val="00941EEA"/>
    <w:rsid w:val="0094207A"/>
    <w:rsid w:val="00942A7A"/>
    <w:rsid w:val="00942BA5"/>
    <w:rsid w:val="00943371"/>
    <w:rsid w:val="009443A1"/>
    <w:rsid w:val="009455B4"/>
    <w:rsid w:val="00945D5F"/>
    <w:rsid w:val="00946065"/>
    <w:rsid w:val="00946213"/>
    <w:rsid w:val="009467A4"/>
    <w:rsid w:val="00946DCA"/>
    <w:rsid w:val="00947860"/>
    <w:rsid w:val="00947D10"/>
    <w:rsid w:val="00947F78"/>
    <w:rsid w:val="00950368"/>
    <w:rsid w:val="00951017"/>
    <w:rsid w:val="009528A6"/>
    <w:rsid w:val="00953349"/>
    <w:rsid w:val="00953631"/>
    <w:rsid w:val="009545B4"/>
    <w:rsid w:val="009567E2"/>
    <w:rsid w:val="00957B99"/>
    <w:rsid w:val="00957F3C"/>
    <w:rsid w:val="0096000D"/>
    <w:rsid w:val="0096191F"/>
    <w:rsid w:val="00962346"/>
    <w:rsid w:val="00962EF9"/>
    <w:rsid w:val="00962FC9"/>
    <w:rsid w:val="009631B6"/>
    <w:rsid w:val="00964C8D"/>
    <w:rsid w:val="0096505A"/>
    <w:rsid w:val="00965200"/>
    <w:rsid w:val="00965FD9"/>
    <w:rsid w:val="0097114D"/>
    <w:rsid w:val="00971370"/>
    <w:rsid w:val="00971731"/>
    <w:rsid w:val="00971C11"/>
    <w:rsid w:val="00972128"/>
    <w:rsid w:val="00972EC3"/>
    <w:rsid w:val="00972F15"/>
    <w:rsid w:val="0097447C"/>
    <w:rsid w:val="00976A70"/>
    <w:rsid w:val="00976E6F"/>
    <w:rsid w:val="00976FDF"/>
    <w:rsid w:val="00977AFE"/>
    <w:rsid w:val="009802AF"/>
    <w:rsid w:val="0098117E"/>
    <w:rsid w:val="00982061"/>
    <w:rsid w:val="00982DE5"/>
    <w:rsid w:val="00983794"/>
    <w:rsid w:val="00983851"/>
    <w:rsid w:val="00983F74"/>
    <w:rsid w:val="009842C1"/>
    <w:rsid w:val="0098437B"/>
    <w:rsid w:val="00984956"/>
    <w:rsid w:val="009851F7"/>
    <w:rsid w:val="0098726B"/>
    <w:rsid w:val="00990023"/>
    <w:rsid w:val="00990D59"/>
    <w:rsid w:val="009917FA"/>
    <w:rsid w:val="0099219B"/>
    <w:rsid w:val="00992593"/>
    <w:rsid w:val="00993322"/>
    <w:rsid w:val="00993526"/>
    <w:rsid w:val="00994043"/>
    <w:rsid w:val="00994B34"/>
    <w:rsid w:val="009963A0"/>
    <w:rsid w:val="00996C74"/>
    <w:rsid w:val="009977EC"/>
    <w:rsid w:val="00997820"/>
    <w:rsid w:val="00997C00"/>
    <w:rsid w:val="009A04CD"/>
    <w:rsid w:val="009A1328"/>
    <w:rsid w:val="009A1903"/>
    <w:rsid w:val="009A1AAA"/>
    <w:rsid w:val="009A1F15"/>
    <w:rsid w:val="009A25F4"/>
    <w:rsid w:val="009A2F6E"/>
    <w:rsid w:val="009A3112"/>
    <w:rsid w:val="009A3A84"/>
    <w:rsid w:val="009A5117"/>
    <w:rsid w:val="009A5253"/>
    <w:rsid w:val="009A5788"/>
    <w:rsid w:val="009A5FA9"/>
    <w:rsid w:val="009A6073"/>
    <w:rsid w:val="009A6909"/>
    <w:rsid w:val="009A6D79"/>
    <w:rsid w:val="009A6F96"/>
    <w:rsid w:val="009A74AA"/>
    <w:rsid w:val="009A7CE2"/>
    <w:rsid w:val="009B02ED"/>
    <w:rsid w:val="009B091A"/>
    <w:rsid w:val="009B1340"/>
    <w:rsid w:val="009B364C"/>
    <w:rsid w:val="009B3952"/>
    <w:rsid w:val="009B45F0"/>
    <w:rsid w:val="009B4BF8"/>
    <w:rsid w:val="009B62E7"/>
    <w:rsid w:val="009B65AB"/>
    <w:rsid w:val="009B6D2C"/>
    <w:rsid w:val="009B6EF9"/>
    <w:rsid w:val="009C0681"/>
    <w:rsid w:val="009C1015"/>
    <w:rsid w:val="009C1733"/>
    <w:rsid w:val="009C1CBB"/>
    <w:rsid w:val="009C2D31"/>
    <w:rsid w:val="009C364A"/>
    <w:rsid w:val="009C59C7"/>
    <w:rsid w:val="009C67A2"/>
    <w:rsid w:val="009C72BE"/>
    <w:rsid w:val="009C780A"/>
    <w:rsid w:val="009C7CDC"/>
    <w:rsid w:val="009D0EF3"/>
    <w:rsid w:val="009D1463"/>
    <w:rsid w:val="009D178C"/>
    <w:rsid w:val="009D4B5B"/>
    <w:rsid w:val="009D50F7"/>
    <w:rsid w:val="009D528A"/>
    <w:rsid w:val="009D5361"/>
    <w:rsid w:val="009D600A"/>
    <w:rsid w:val="009D65DF"/>
    <w:rsid w:val="009D66CD"/>
    <w:rsid w:val="009D7488"/>
    <w:rsid w:val="009E1601"/>
    <w:rsid w:val="009E17A5"/>
    <w:rsid w:val="009E19B2"/>
    <w:rsid w:val="009E1B52"/>
    <w:rsid w:val="009E291F"/>
    <w:rsid w:val="009E3304"/>
    <w:rsid w:val="009E378D"/>
    <w:rsid w:val="009E3C9A"/>
    <w:rsid w:val="009E4452"/>
    <w:rsid w:val="009E46CB"/>
    <w:rsid w:val="009E4AEA"/>
    <w:rsid w:val="009E55CF"/>
    <w:rsid w:val="009E577D"/>
    <w:rsid w:val="009E6506"/>
    <w:rsid w:val="009E741C"/>
    <w:rsid w:val="009E7C62"/>
    <w:rsid w:val="009F0771"/>
    <w:rsid w:val="009F1078"/>
    <w:rsid w:val="009F2414"/>
    <w:rsid w:val="009F272F"/>
    <w:rsid w:val="009F3DD3"/>
    <w:rsid w:val="009F52B7"/>
    <w:rsid w:val="009F54D7"/>
    <w:rsid w:val="009F5558"/>
    <w:rsid w:val="009F5B38"/>
    <w:rsid w:val="009F5C1D"/>
    <w:rsid w:val="009F5D37"/>
    <w:rsid w:val="009F63B3"/>
    <w:rsid w:val="009F6472"/>
    <w:rsid w:val="009F6707"/>
    <w:rsid w:val="009F7207"/>
    <w:rsid w:val="009F76BB"/>
    <w:rsid w:val="00A012D1"/>
    <w:rsid w:val="00A02B43"/>
    <w:rsid w:val="00A03AA0"/>
    <w:rsid w:val="00A03C27"/>
    <w:rsid w:val="00A04C27"/>
    <w:rsid w:val="00A05738"/>
    <w:rsid w:val="00A0573F"/>
    <w:rsid w:val="00A05841"/>
    <w:rsid w:val="00A05BC6"/>
    <w:rsid w:val="00A05E8A"/>
    <w:rsid w:val="00A0754A"/>
    <w:rsid w:val="00A100E0"/>
    <w:rsid w:val="00A10FF1"/>
    <w:rsid w:val="00A11A4F"/>
    <w:rsid w:val="00A11D30"/>
    <w:rsid w:val="00A12894"/>
    <w:rsid w:val="00A12982"/>
    <w:rsid w:val="00A13432"/>
    <w:rsid w:val="00A1347A"/>
    <w:rsid w:val="00A14826"/>
    <w:rsid w:val="00A179CB"/>
    <w:rsid w:val="00A17E7E"/>
    <w:rsid w:val="00A22B59"/>
    <w:rsid w:val="00A22B97"/>
    <w:rsid w:val="00A23A62"/>
    <w:rsid w:val="00A247D3"/>
    <w:rsid w:val="00A2535D"/>
    <w:rsid w:val="00A256B8"/>
    <w:rsid w:val="00A27938"/>
    <w:rsid w:val="00A30287"/>
    <w:rsid w:val="00A31305"/>
    <w:rsid w:val="00A3220A"/>
    <w:rsid w:val="00A32615"/>
    <w:rsid w:val="00A332B8"/>
    <w:rsid w:val="00A337DA"/>
    <w:rsid w:val="00A33951"/>
    <w:rsid w:val="00A3446A"/>
    <w:rsid w:val="00A34D47"/>
    <w:rsid w:val="00A3509E"/>
    <w:rsid w:val="00A362A2"/>
    <w:rsid w:val="00A36525"/>
    <w:rsid w:val="00A368DB"/>
    <w:rsid w:val="00A37DE9"/>
    <w:rsid w:val="00A37F79"/>
    <w:rsid w:val="00A407A6"/>
    <w:rsid w:val="00A407FA"/>
    <w:rsid w:val="00A40D5A"/>
    <w:rsid w:val="00A43154"/>
    <w:rsid w:val="00A438C7"/>
    <w:rsid w:val="00A451FA"/>
    <w:rsid w:val="00A4547D"/>
    <w:rsid w:val="00A45858"/>
    <w:rsid w:val="00A45923"/>
    <w:rsid w:val="00A45B90"/>
    <w:rsid w:val="00A45D75"/>
    <w:rsid w:val="00A46880"/>
    <w:rsid w:val="00A46956"/>
    <w:rsid w:val="00A46C7F"/>
    <w:rsid w:val="00A47083"/>
    <w:rsid w:val="00A5000D"/>
    <w:rsid w:val="00A501FE"/>
    <w:rsid w:val="00A518ED"/>
    <w:rsid w:val="00A51CAA"/>
    <w:rsid w:val="00A5203E"/>
    <w:rsid w:val="00A522B9"/>
    <w:rsid w:val="00A527FB"/>
    <w:rsid w:val="00A53AF0"/>
    <w:rsid w:val="00A549EF"/>
    <w:rsid w:val="00A55259"/>
    <w:rsid w:val="00A5562B"/>
    <w:rsid w:val="00A55B68"/>
    <w:rsid w:val="00A56B99"/>
    <w:rsid w:val="00A57F89"/>
    <w:rsid w:val="00A60249"/>
    <w:rsid w:val="00A607CF"/>
    <w:rsid w:val="00A612D1"/>
    <w:rsid w:val="00A61CDA"/>
    <w:rsid w:val="00A61FA8"/>
    <w:rsid w:val="00A62178"/>
    <w:rsid w:val="00A624CA"/>
    <w:rsid w:val="00A62AF2"/>
    <w:rsid w:val="00A63991"/>
    <w:rsid w:val="00A63BDC"/>
    <w:rsid w:val="00A642D7"/>
    <w:rsid w:val="00A64E45"/>
    <w:rsid w:val="00A65030"/>
    <w:rsid w:val="00A651B1"/>
    <w:rsid w:val="00A66215"/>
    <w:rsid w:val="00A6681A"/>
    <w:rsid w:val="00A678CE"/>
    <w:rsid w:val="00A67C7A"/>
    <w:rsid w:val="00A70143"/>
    <w:rsid w:val="00A70879"/>
    <w:rsid w:val="00A7199D"/>
    <w:rsid w:val="00A71BC7"/>
    <w:rsid w:val="00A7334C"/>
    <w:rsid w:val="00A73651"/>
    <w:rsid w:val="00A73AD0"/>
    <w:rsid w:val="00A742FC"/>
    <w:rsid w:val="00A74721"/>
    <w:rsid w:val="00A74839"/>
    <w:rsid w:val="00A74E2B"/>
    <w:rsid w:val="00A77365"/>
    <w:rsid w:val="00A774BC"/>
    <w:rsid w:val="00A774D3"/>
    <w:rsid w:val="00A77B65"/>
    <w:rsid w:val="00A77B85"/>
    <w:rsid w:val="00A77EDA"/>
    <w:rsid w:val="00A77F22"/>
    <w:rsid w:val="00A80A22"/>
    <w:rsid w:val="00A8142E"/>
    <w:rsid w:val="00A81A9E"/>
    <w:rsid w:val="00A85450"/>
    <w:rsid w:val="00A85517"/>
    <w:rsid w:val="00A85778"/>
    <w:rsid w:val="00A85AF0"/>
    <w:rsid w:val="00A85DC1"/>
    <w:rsid w:val="00A86DFA"/>
    <w:rsid w:val="00A912E4"/>
    <w:rsid w:val="00A9135F"/>
    <w:rsid w:val="00A91861"/>
    <w:rsid w:val="00A91AF2"/>
    <w:rsid w:val="00A930CE"/>
    <w:rsid w:val="00A93FA2"/>
    <w:rsid w:val="00A94BFD"/>
    <w:rsid w:val="00A95161"/>
    <w:rsid w:val="00A9566D"/>
    <w:rsid w:val="00A9581F"/>
    <w:rsid w:val="00A960A8"/>
    <w:rsid w:val="00A9611A"/>
    <w:rsid w:val="00A9644C"/>
    <w:rsid w:val="00A97806"/>
    <w:rsid w:val="00A97E38"/>
    <w:rsid w:val="00AA015F"/>
    <w:rsid w:val="00AA0BE3"/>
    <w:rsid w:val="00AA135C"/>
    <w:rsid w:val="00AA21BF"/>
    <w:rsid w:val="00AA27D2"/>
    <w:rsid w:val="00AA2A67"/>
    <w:rsid w:val="00AA3B20"/>
    <w:rsid w:val="00AA3D91"/>
    <w:rsid w:val="00AA41F7"/>
    <w:rsid w:val="00AA49A8"/>
    <w:rsid w:val="00AA51D5"/>
    <w:rsid w:val="00AA5DBC"/>
    <w:rsid w:val="00AA60C0"/>
    <w:rsid w:val="00AA665E"/>
    <w:rsid w:val="00AA72F3"/>
    <w:rsid w:val="00AB0380"/>
    <w:rsid w:val="00AB0471"/>
    <w:rsid w:val="00AB051D"/>
    <w:rsid w:val="00AB092A"/>
    <w:rsid w:val="00AB1070"/>
    <w:rsid w:val="00AB1919"/>
    <w:rsid w:val="00AB207D"/>
    <w:rsid w:val="00AB21CC"/>
    <w:rsid w:val="00AB3FDE"/>
    <w:rsid w:val="00AB4FDD"/>
    <w:rsid w:val="00AB5221"/>
    <w:rsid w:val="00AB5304"/>
    <w:rsid w:val="00AB55A7"/>
    <w:rsid w:val="00AB5D56"/>
    <w:rsid w:val="00AB60B1"/>
    <w:rsid w:val="00AB6BBA"/>
    <w:rsid w:val="00AB7BBB"/>
    <w:rsid w:val="00AC0F8B"/>
    <w:rsid w:val="00AC1210"/>
    <w:rsid w:val="00AC15EC"/>
    <w:rsid w:val="00AC1976"/>
    <w:rsid w:val="00AC22D1"/>
    <w:rsid w:val="00AC3196"/>
    <w:rsid w:val="00AC3510"/>
    <w:rsid w:val="00AC3BBB"/>
    <w:rsid w:val="00AC3F50"/>
    <w:rsid w:val="00AC4281"/>
    <w:rsid w:val="00AC4E8B"/>
    <w:rsid w:val="00AC5C7D"/>
    <w:rsid w:val="00AC6D9B"/>
    <w:rsid w:val="00AC7A33"/>
    <w:rsid w:val="00AC7E96"/>
    <w:rsid w:val="00AD0011"/>
    <w:rsid w:val="00AD00FB"/>
    <w:rsid w:val="00AD0CE5"/>
    <w:rsid w:val="00AD1E52"/>
    <w:rsid w:val="00AD2572"/>
    <w:rsid w:val="00AD2E31"/>
    <w:rsid w:val="00AD2FE1"/>
    <w:rsid w:val="00AD3025"/>
    <w:rsid w:val="00AD43F2"/>
    <w:rsid w:val="00AD444A"/>
    <w:rsid w:val="00AD460A"/>
    <w:rsid w:val="00AD4BF4"/>
    <w:rsid w:val="00AD4F7F"/>
    <w:rsid w:val="00AD639D"/>
    <w:rsid w:val="00AD694A"/>
    <w:rsid w:val="00AD6D13"/>
    <w:rsid w:val="00AD71AC"/>
    <w:rsid w:val="00AD77C3"/>
    <w:rsid w:val="00AD7B76"/>
    <w:rsid w:val="00AD7D40"/>
    <w:rsid w:val="00AE0115"/>
    <w:rsid w:val="00AE0367"/>
    <w:rsid w:val="00AE0E15"/>
    <w:rsid w:val="00AE247A"/>
    <w:rsid w:val="00AE26A9"/>
    <w:rsid w:val="00AE3044"/>
    <w:rsid w:val="00AE3297"/>
    <w:rsid w:val="00AE32C1"/>
    <w:rsid w:val="00AE33F0"/>
    <w:rsid w:val="00AE36FE"/>
    <w:rsid w:val="00AE378A"/>
    <w:rsid w:val="00AE421E"/>
    <w:rsid w:val="00AE56C2"/>
    <w:rsid w:val="00AE63B6"/>
    <w:rsid w:val="00AE64AD"/>
    <w:rsid w:val="00AE6B66"/>
    <w:rsid w:val="00AF0007"/>
    <w:rsid w:val="00AF08E6"/>
    <w:rsid w:val="00AF0D92"/>
    <w:rsid w:val="00AF0F89"/>
    <w:rsid w:val="00AF12D6"/>
    <w:rsid w:val="00AF1F7E"/>
    <w:rsid w:val="00AF3D29"/>
    <w:rsid w:val="00AF3EA6"/>
    <w:rsid w:val="00AF5C5D"/>
    <w:rsid w:val="00AF5CF7"/>
    <w:rsid w:val="00AF6392"/>
    <w:rsid w:val="00AF6C3A"/>
    <w:rsid w:val="00AF722D"/>
    <w:rsid w:val="00AF7AD5"/>
    <w:rsid w:val="00B0277D"/>
    <w:rsid w:val="00B02DFA"/>
    <w:rsid w:val="00B02F9F"/>
    <w:rsid w:val="00B03158"/>
    <w:rsid w:val="00B03675"/>
    <w:rsid w:val="00B043CC"/>
    <w:rsid w:val="00B053BB"/>
    <w:rsid w:val="00B062F5"/>
    <w:rsid w:val="00B071FC"/>
    <w:rsid w:val="00B07478"/>
    <w:rsid w:val="00B107A2"/>
    <w:rsid w:val="00B10D63"/>
    <w:rsid w:val="00B11CFA"/>
    <w:rsid w:val="00B135AE"/>
    <w:rsid w:val="00B135BA"/>
    <w:rsid w:val="00B14AC4"/>
    <w:rsid w:val="00B14DDB"/>
    <w:rsid w:val="00B1525F"/>
    <w:rsid w:val="00B162C6"/>
    <w:rsid w:val="00B167C0"/>
    <w:rsid w:val="00B16E01"/>
    <w:rsid w:val="00B1712E"/>
    <w:rsid w:val="00B17720"/>
    <w:rsid w:val="00B20058"/>
    <w:rsid w:val="00B207FF"/>
    <w:rsid w:val="00B22129"/>
    <w:rsid w:val="00B22545"/>
    <w:rsid w:val="00B231BD"/>
    <w:rsid w:val="00B24FA8"/>
    <w:rsid w:val="00B25DB5"/>
    <w:rsid w:val="00B25E04"/>
    <w:rsid w:val="00B27065"/>
    <w:rsid w:val="00B27178"/>
    <w:rsid w:val="00B3079F"/>
    <w:rsid w:val="00B31536"/>
    <w:rsid w:val="00B31883"/>
    <w:rsid w:val="00B32C67"/>
    <w:rsid w:val="00B334D0"/>
    <w:rsid w:val="00B33B75"/>
    <w:rsid w:val="00B33D0B"/>
    <w:rsid w:val="00B34071"/>
    <w:rsid w:val="00B35187"/>
    <w:rsid w:val="00B354E6"/>
    <w:rsid w:val="00B360AB"/>
    <w:rsid w:val="00B373AA"/>
    <w:rsid w:val="00B376EF"/>
    <w:rsid w:val="00B417B0"/>
    <w:rsid w:val="00B41D0D"/>
    <w:rsid w:val="00B41EAD"/>
    <w:rsid w:val="00B42A48"/>
    <w:rsid w:val="00B4333A"/>
    <w:rsid w:val="00B43C5A"/>
    <w:rsid w:val="00B44D3B"/>
    <w:rsid w:val="00B45033"/>
    <w:rsid w:val="00B45A5D"/>
    <w:rsid w:val="00B45AE9"/>
    <w:rsid w:val="00B46181"/>
    <w:rsid w:val="00B47005"/>
    <w:rsid w:val="00B47453"/>
    <w:rsid w:val="00B47DA0"/>
    <w:rsid w:val="00B5104D"/>
    <w:rsid w:val="00B51292"/>
    <w:rsid w:val="00B51899"/>
    <w:rsid w:val="00B521B9"/>
    <w:rsid w:val="00B52AA3"/>
    <w:rsid w:val="00B5326A"/>
    <w:rsid w:val="00B54D2B"/>
    <w:rsid w:val="00B54D7C"/>
    <w:rsid w:val="00B5564B"/>
    <w:rsid w:val="00B5602A"/>
    <w:rsid w:val="00B562AC"/>
    <w:rsid w:val="00B5682F"/>
    <w:rsid w:val="00B56A3C"/>
    <w:rsid w:val="00B56B33"/>
    <w:rsid w:val="00B56DB2"/>
    <w:rsid w:val="00B57D25"/>
    <w:rsid w:val="00B60208"/>
    <w:rsid w:val="00B60BEE"/>
    <w:rsid w:val="00B62136"/>
    <w:rsid w:val="00B633FA"/>
    <w:rsid w:val="00B634DB"/>
    <w:rsid w:val="00B636B2"/>
    <w:rsid w:val="00B638F3"/>
    <w:rsid w:val="00B64377"/>
    <w:rsid w:val="00B64CE5"/>
    <w:rsid w:val="00B653D0"/>
    <w:rsid w:val="00B65B60"/>
    <w:rsid w:val="00B666A8"/>
    <w:rsid w:val="00B668F6"/>
    <w:rsid w:val="00B671F7"/>
    <w:rsid w:val="00B67879"/>
    <w:rsid w:val="00B67B1B"/>
    <w:rsid w:val="00B700CA"/>
    <w:rsid w:val="00B70418"/>
    <w:rsid w:val="00B7045C"/>
    <w:rsid w:val="00B70480"/>
    <w:rsid w:val="00B704D8"/>
    <w:rsid w:val="00B70BC4"/>
    <w:rsid w:val="00B71A84"/>
    <w:rsid w:val="00B724B0"/>
    <w:rsid w:val="00B729F8"/>
    <w:rsid w:val="00B734D8"/>
    <w:rsid w:val="00B73E27"/>
    <w:rsid w:val="00B748B6"/>
    <w:rsid w:val="00B74C51"/>
    <w:rsid w:val="00B74CF2"/>
    <w:rsid w:val="00B752FE"/>
    <w:rsid w:val="00B75313"/>
    <w:rsid w:val="00B7579C"/>
    <w:rsid w:val="00B76963"/>
    <w:rsid w:val="00B7697D"/>
    <w:rsid w:val="00B76B90"/>
    <w:rsid w:val="00B76FF4"/>
    <w:rsid w:val="00B77351"/>
    <w:rsid w:val="00B8074C"/>
    <w:rsid w:val="00B8078E"/>
    <w:rsid w:val="00B80FFD"/>
    <w:rsid w:val="00B810AE"/>
    <w:rsid w:val="00B812FD"/>
    <w:rsid w:val="00B81A81"/>
    <w:rsid w:val="00B829DC"/>
    <w:rsid w:val="00B85890"/>
    <w:rsid w:val="00B85C4A"/>
    <w:rsid w:val="00B8639A"/>
    <w:rsid w:val="00B876FE"/>
    <w:rsid w:val="00B8794D"/>
    <w:rsid w:val="00B905D9"/>
    <w:rsid w:val="00B90D1E"/>
    <w:rsid w:val="00B934B2"/>
    <w:rsid w:val="00B9375A"/>
    <w:rsid w:val="00B942F2"/>
    <w:rsid w:val="00B94968"/>
    <w:rsid w:val="00B9538A"/>
    <w:rsid w:val="00B95B1C"/>
    <w:rsid w:val="00B95D64"/>
    <w:rsid w:val="00B9611D"/>
    <w:rsid w:val="00B96912"/>
    <w:rsid w:val="00B9693D"/>
    <w:rsid w:val="00B969E1"/>
    <w:rsid w:val="00B96ECD"/>
    <w:rsid w:val="00B97777"/>
    <w:rsid w:val="00B97BC8"/>
    <w:rsid w:val="00B97E62"/>
    <w:rsid w:val="00B97EAF"/>
    <w:rsid w:val="00BA0716"/>
    <w:rsid w:val="00BA2003"/>
    <w:rsid w:val="00BA221F"/>
    <w:rsid w:val="00BA2E89"/>
    <w:rsid w:val="00BA3DA5"/>
    <w:rsid w:val="00BA52FC"/>
    <w:rsid w:val="00BA5517"/>
    <w:rsid w:val="00BA5CC6"/>
    <w:rsid w:val="00BA61E9"/>
    <w:rsid w:val="00BA6472"/>
    <w:rsid w:val="00BA6B8E"/>
    <w:rsid w:val="00BB0618"/>
    <w:rsid w:val="00BB099E"/>
    <w:rsid w:val="00BB1BA6"/>
    <w:rsid w:val="00BB43BB"/>
    <w:rsid w:val="00BB60B8"/>
    <w:rsid w:val="00BB68F2"/>
    <w:rsid w:val="00BB7551"/>
    <w:rsid w:val="00BC0C93"/>
    <w:rsid w:val="00BC10A9"/>
    <w:rsid w:val="00BC1A23"/>
    <w:rsid w:val="00BC1EDA"/>
    <w:rsid w:val="00BC298C"/>
    <w:rsid w:val="00BC2E69"/>
    <w:rsid w:val="00BC3134"/>
    <w:rsid w:val="00BC3389"/>
    <w:rsid w:val="00BC3B07"/>
    <w:rsid w:val="00BC44CA"/>
    <w:rsid w:val="00BC5288"/>
    <w:rsid w:val="00BC61EC"/>
    <w:rsid w:val="00BC65A0"/>
    <w:rsid w:val="00BC685A"/>
    <w:rsid w:val="00BC6D89"/>
    <w:rsid w:val="00BC7D2B"/>
    <w:rsid w:val="00BC7EEF"/>
    <w:rsid w:val="00BC7F0E"/>
    <w:rsid w:val="00BD0078"/>
    <w:rsid w:val="00BD0860"/>
    <w:rsid w:val="00BD0E7C"/>
    <w:rsid w:val="00BD3391"/>
    <w:rsid w:val="00BD3B95"/>
    <w:rsid w:val="00BD45D1"/>
    <w:rsid w:val="00BD527F"/>
    <w:rsid w:val="00BD5655"/>
    <w:rsid w:val="00BD6B9F"/>
    <w:rsid w:val="00BD701F"/>
    <w:rsid w:val="00BE0650"/>
    <w:rsid w:val="00BE0700"/>
    <w:rsid w:val="00BE088D"/>
    <w:rsid w:val="00BE1696"/>
    <w:rsid w:val="00BE192A"/>
    <w:rsid w:val="00BE19B5"/>
    <w:rsid w:val="00BE1C18"/>
    <w:rsid w:val="00BE1EF6"/>
    <w:rsid w:val="00BE2475"/>
    <w:rsid w:val="00BE2584"/>
    <w:rsid w:val="00BE57D9"/>
    <w:rsid w:val="00BE6D92"/>
    <w:rsid w:val="00BE700C"/>
    <w:rsid w:val="00BE7397"/>
    <w:rsid w:val="00BE78B5"/>
    <w:rsid w:val="00BE7CDB"/>
    <w:rsid w:val="00BE7D88"/>
    <w:rsid w:val="00BF3B0D"/>
    <w:rsid w:val="00BF3D4D"/>
    <w:rsid w:val="00BF4708"/>
    <w:rsid w:val="00BF4B33"/>
    <w:rsid w:val="00BF5344"/>
    <w:rsid w:val="00BF555B"/>
    <w:rsid w:val="00BF58A0"/>
    <w:rsid w:val="00BF5F18"/>
    <w:rsid w:val="00BF64A0"/>
    <w:rsid w:val="00BF7418"/>
    <w:rsid w:val="00BF772C"/>
    <w:rsid w:val="00BF79C1"/>
    <w:rsid w:val="00BF7AFE"/>
    <w:rsid w:val="00BF7D13"/>
    <w:rsid w:val="00BF7FCC"/>
    <w:rsid w:val="00C00431"/>
    <w:rsid w:val="00C00872"/>
    <w:rsid w:val="00C013C5"/>
    <w:rsid w:val="00C030C3"/>
    <w:rsid w:val="00C03698"/>
    <w:rsid w:val="00C03948"/>
    <w:rsid w:val="00C03D2E"/>
    <w:rsid w:val="00C03E35"/>
    <w:rsid w:val="00C03F1C"/>
    <w:rsid w:val="00C04150"/>
    <w:rsid w:val="00C045C7"/>
    <w:rsid w:val="00C04F3A"/>
    <w:rsid w:val="00C05262"/>
    <w:rsid w:val="00C056B1"/>
    <w:rsid w:val="00C06495"/>
    <w:rsid w:val="00C06C52"/>
    <w:rsid w:val="00C07B02"/>
    <w:rsid w:val="00C10237"/>
    <w:rsid w:val="00C10C36"/>
    <w:rsid w:val="00C1212E"/>
    <w:rsid w:val="00C12607"/>
    <w:rsid w:val="00C12A5D"/>
    <w:rsid w:val="00C13457"/>
    <w:rsid w:val="00C140BE"/>
    <w:rsid w:val="00C146AE"/>
    <w:rsid w:val="00C153F2"/>
    <w:rsid w:val="00C15CDB"/>
    <w:rsid w:val="00C16066"/>
    <w:rsid w:val="00C16558"/>
    <w:rsid w:val="00C16693"/>
    <w:rsid w:val="00C17241"/>
    <w:rsid w:val="00C17AFB"/>
    <w:rsid w:val="00C20272"/>
    <w:rsid w:val="00C20B46"/>
    <w:rsid w:val="00C20EDC"/>
    <w:rsid w:val="00C21228"/>
    <w:rsid w:val="00C21AA4"/>
    <w:rsid w:val="00C21D93"/>
    <w:rsid w:val="00C2225B"/>
    <w:rsid w:val="00C23168"/>
    <w:rsid w:val="00C239A1"/>
    <w:rsid w:val="00C247C3"/>
    <w:rsid w:val="00C2513C"/>
    <w:rsid w:val="00C2540E"/>
    <w:rsid w:val="00C25A58"/>
    <w:rsid w:val="00C26BCD"/>
    <w:rsid w:val="00C27001"/>
    <w:rsid w:val="00C27488"/>
    <w:rsid w:val="00C277EE"/>
    <w:rsid w:val="00C301DA"/>
    <w:rsid w:val="00C32302"/>
    <w:rsid w:val="00C33239"/>
    <w:rsid w:val="00C33418"/>
    <w:rsid w:val="00C34268"/>
    <w:rsid w:val="00C34357"/>
    <w:rsid w:val="00C34519"/>
    <w:rsid w:val="00C34BE3"/>
    <w:rsid w:val="00C350BF"/>
    <w:rsid w:val="00C352E4"/>
    <w:rsid w:val="00C36603"/>
    <w:rsid w:val="00C36E44"/>
    <w:rsid w:val="00C3741D"/>
    <w:rsid w:val="00C40B72"/>
    <w:rsid w:val="00C41323"/>
    <w:rsid w:val="00C41575"/>
    <w:rsid w:val="00C41B16"/>
    <w:rsid w:val="00C41CE9"/>
    <w:rsid w:val="00C41FAF"/>
    <w:rsid w:val="00C42041"/>
    <w:rsid w:val="00C4379F"/>
    <w:rsid w:val="00C43C23"/>
    <w:rsid w:val="00C4536B"/>
    <w:rsid w:val="00C45541"/>
    <w:rsid w:val="00C45960"/>
    <w:rsid w:val="00C46CD7"/>
    <w:rsid w:val="00C4721A"/>
    <w:rsid w:val="00C477B6"/>
    <w:rsid w:val="00C5008B"/>
    <w:rsid w:val="00C50621"/>
    <w:rsid w:val="00C517D1"/>
    <w:rsid w:val="00C5267E"/>
    <w:rsid w:val="00C52742"/>
    <w:rsid w:val="00C53106"/>
    <w:rsid w:val="00C538BB"/>
    <w:rsid w:val="00C544DE"/>
    <w:rsid w:val="00C557F4"/>
    <w:rsid w:val="00C55CC9"/>
    <w:rsid w:val="00C569FE"/>
    <w:rsid w:val="00C56B4D"/>
    <w:rsid w:val="00C60EE2"/>
    <w:rsid w:val="00C60F44"/>
    <w:rsid w:val="00C6109C"/>
    <w:rsid w:val="00C618CE"/>
    <w:rsid w:val="00C61A2A"/>
    <w:rsid w:val="00C61E7D"/>
    <w:rsid w:val="00C62320"/>
    <w:rsid w:val="00C6285F"/>
    <w:rsid w:val="00C628B1"/>
    <w:rsid w:val="00C62D2F"/>
    <w:rsid w:val="00C630C1"/>
    <w:rsid w:val="00C64D03"/>
    <w:rsid w:val="00C64E87"/>
    <w:rsid w:val="00C651FF"/>
    <w:rsid w:val="00C65365"/>
    <w:rsid w:val="00C6585A"/>
    <w:rsid w:val="00C66289"/>
    <w:rsid w:val="00C66B1D"/>
    <w:rsid w:val="00C671F9"/>
    <w:rsid w:val="00C70260"/>
    <w:rsid w:val="00C702D4"/>
    <w:rsid w:val="00C704C2"/>
    <w:rsid w:val="00C71264"/>
    <w:rsid w:val="00C7195F"/>
    <w:rsid w:val="00C72303"/>
    <w:rsid w:val="00C7256A"/>
    <w:rsid w:val="00C75D3A"/>
    <w:rsid w:val="00C761D0"/>
    <w:rsid w:val="00C7648A"/>
    <w:rsid w:val="00C76C03"/>
    <w:rsid w:val="00C778B8"/>
    <w:rsid w:val="00C8016F"/>
    <w:rsid w:val="00C803D0"/>
    <w:rsid w:val="00C8172B"/>
    <w:rsid w:val="00C81BBC"/>
    <w:rsid w:val="00C820CD"/>
    <w:rsid w:val="00C82994"/>
    <w:rsid w:val="00C83503"/>
    <w:rsid w:val="00C83B20"/>
    <w:rsid w:val="00C83B9A"/>
    <w:rsid w:val="00C84874"/>
    <w:rsid w:val="00C84A03"/>
    <w:rsid w:val="00C84F94"/>
    <w:rsid w:val="00C84FC6"/>
    <w:rsid w:val="00C85078"/>
    <w:rsid w:val="00C86305"/>
    <w:rsid w:val="00C865B0"/>
    <w:rsid w:val="00C87760"/>
    <w:rsid w:val="00C8792D"/>
    <w:rsid w:val="00C87D6E"/>
    <w:rsid w:val="00C90101"/>
    <w:rsid w:val="00C9033F"/>
    <w:rsid w:val="00C904F6"/>
    <w:rsid w:val="00C912ED"/>
    <w:rsid w:val="00C91327"/>
    <w:rsid w:val="00C91572"/>
    <w:rsid w:val="00C91EEB"/>
    <w:rsid w:val="00C92FAA"/>
    <w:rsid w:val="00C93933"/>
    <w:rsid w:val="00C93A41"/>
    <w:rsid w:val="00C93E90"/>
    <w:rsid w:val="00C94C9A"/>
    <w:rsid w:val="00C95935"/>
    <w:rsid w:val="00C95944"/>
    <w:rsid w:val="00C95DAE"/>
    <w:rsid w:val="00C96278"/>
    <w:rsid w:val="00C97E2A"/>
    <w:rsid w:val="00C97F0A"/>
    <w:rsid w:val="00CA0BDD"/>
    <w:rsid w:val="00CA0C7F"/>
    <w:rsid w:val="00CA1224"/>
    <w:rsid w:val="00CA1489"/>
    <w:rsid w:val="00CA1ECF"/>
    <w:rsid w:val="00CA2B6B"/>
    <w:rsid w:val="00CA342D"/>
    <w:rsid w:val="00CA3A75"/>
    <w:rsid w:val="00CA3C30"/>
    <w:rsid w:val="00CA3D8E"/>
    <w:rsid w:val="00CA44D6"/>
    <w:rsid w:val="00CA5221"/>
    <w:rsid w:val="00CA53A7"/>
    <w:rsid w:val="00CA5878"/>
    <w:rsid w:val="00CA5D3A"/>
    <w:rsid w:val="00CA5DE1"/>
    <w:rsid w:val="00CA617A"/>
    <w:rsid w:val="00CA6686"/>
    <w:rsid w:val="00CA7B03"/>
    <w:rsid w:val="00CB014E"/>
    <w:rsid w:val="00CB06B0"/>
    <w:rsid w:val="00CB0C87"/>
    <w:rsid w:val="00CB196E"/>
    <w:rsid w:val="00CB245F"/>
    <w:rsid w:val="00CB26F3"/>
    <w:rsid w:val="00CB28DA"/>
    <w:rsid w:val="00CB2DA6"/>
    <w:rsid w:val="00CB2E74"/>
    <w:rsid w:val="00CB2F64"/>
    <w:rsid w:val="00CB3BA1"/>
    <w:rsid w:val="00CB5328"/>
    <w:rsid w:val="00CB64A0"/>
    <w:rsid w:val="00CB65E7"/>
    <w:rsid w:val="00CB6C2A"/>
    <w:rsid w:val="00CB6EE5"/>
    <w:rsid w:val="00CB742C"/>
    <w:rsid w:val="00CC0117"/>
    <w:rsid w:val="00CC08BF"/>
    <w:rsid w:val="00CC0BA2"/>
    <w:rsid w:val="00CC2CF3"/>
    <w:rsid w:val="00CC39F5"/>
    <w:rsid w:val="00CC422E"/>
    <w:rsid w:val="00CC4815"/>
    <w:rsid w:val="00CC4926"/>
    <w:rsid w:val="00CC4A88"/>
    <w:rsid w:val="00CC4DAA"/>
    <w:rsid w:val="00CC4E6A"/>
    <w:rsid w:val="00CC5A82"/>
    <w:rsid w:val="00CC65BE"/>
    <w:rsid w:val="00CC6D10"/>
    <w:rsid w:val="00CC6DB7"/>
    <w:rsid w:val="00CC773B"/>
    <w:rsid w:val="00CC7843"/>
    <w:rsid w:val="00CC78A6"/>
    <w:rsid w:val="00CC7C49"/>
    <w:rsid w:val="00CC7D47"/>
    <w:rsid w:val="00CD0C94"/>
    <w:rsid w:val="00CD2B04"/>
    <w:rsid w:val="00CD2D62"/>
    <w:rsid w:val="00CD2DD5"/>
    <w:rsid w:val="00CD35FA"/>
    <w:rsid w:val="00CD3B21"/>
    <w:rsid w:val="00CD3C5D"/>
    <w:rsid w:val="00CD3E67"/>
    <w:rsid w:val="00CD5954"/>
    <w:rsid w:val="00CD607F"/>
    <w:rsid w:val="00CD6A44"/>
    <w:rsid w:val="00CD7163"/>
    <w:rsid w:val="00CD742B"/>
    <w:rsid w:val="00CD7A53"/>
    <w:rsid w:val="00CE04AF"/>
    <w:rsid w:val="00CE0C48"/>
    <w:rsid w:val="00CE1055"/>
    <w:rsid w:val="00CE347B"/>
    <w:rsid w:val="00CE3929"/>
    <w:rsid w:val="00CE4D45"/>
    <w:rsid w:val="00CE5F9A"/>
    <w:rsid w:val="00CE602F"/>
    <w:rsid w:val="00CE60E4"/>
    <w:rsid w:val="00CF0280"/>
    <w:rsid w:val="00CF06F2"/>
    <w:rsid w:val="00CF0AEF"/>
    <w:rsid w:val="00CF1253"/>
    <w:rsid w:val="00CF16C5"/>
    <w:rsid w:val="00CF1C2B"/>
    <w:rsid w:val="00CF1C37"/>
    <w:rsid w:val="00CF23FD"/>
    <w:rsid w:val="00CF409F"/>
    <w:rsid w:val="00CF410E"/>
    <w:rsid w:val="00CF4790"/>
    <w:rsid w:val="00CF4B3D"/>
    <w:rsid w:val="00CF55C8"/>
    <w:rsid w:val="00CF5BF2"/>
    <w:rsid w:val="00CF5CCD"/>
    <w:rsid w:val="00CF6420"/>
    <w:rsid w:val="00CF652A"/>
    <w:rsid w:val="00CF6E82"/>
    <w:rsid w:val="00CF708A"/>
    <w:rsid w:val="00CF747E"/>
    <w:rsid w:val="00CF78C4"/>
    <w:rsid w:val="00D00664"/>
    <w:rsid w:val="00D00A7F"/>
    <w:rsid w:val="00D022C3"/>
    <w:rsid w:val="00D02759"/>
    <w:rsid w:val="00D02958"/>
    <w:rsid w:val="00D035B5"/>
    <w:rsid w:val="00D04842"/>
    <w:rsid w:val="00D04982"/>
    <w:rsid w:val="00D05E6E"/>
    <w:rsid w:val="00D070B5"/>
    <w:rsid w:val="00D074FC"/>
    <w:rsid w:val="00D12A59"/>
    <w:rsid w:val="00D12AC2"/>
    <w:rsid w:val="00D12F28"/>
    <w:rsid w:val="00D1447D"/>
    <w:rsid w:val="00D144EF"/>
    <w:rsid w:val="00D15A37"/>
    <w:rsid w:val="00D15A5C"/>
    <w:rsid w:val="00D16A38"/>
    <w:rsid w:val="00D16D8D"/>
    <w:rsid w:val="00D17DF9"/>
    <w:rsid w:val="00D20986"/>
    <w:rsid w:val="00D20F06"/>
    <w:rsid w:val="00D21CE3"/>
    <w:rsid w:val="00D21FAA"/>
    <w:rsid w:val="00D22E63"/>
    <w:rsid w:val="00D23750"/>
    <w:rsid w:val="00D23C76"/>
    <w:rsid w:val="00D23C8E"/>
    <w:rsid w:val="00D24690"/>
    <w:rsid w:val="00D24787"/>
    <w:rsid w:val="00D24E8D"/>
    <w:rsid w:val="00D25826"/>
    <w:rsid w:val="00D2675C"/>
    <w:rsid w:val="00D27655"/>
    <w:rsid w:val="00D30D7D"/>
    <w:rsid w:val="00D30EEC"/>
    <w:rsid w:val="00D31161"/>
    <w:rsid w:val="00D315EB"/>
    <w:rsid w:val="00D339C5"/>
    <w:rsid w:val="00D3420F"/>
    <w:rsid w:val="00D3434B"/>
    <w:rsid w:val="00D34EF3"/>
    <w:rsid w:val="00D368B6"/>
    <w:rsid w:val="00D36E6F"/>
    <w:rsid w:val="00D3739C"/>
    <w:rsid w:val="00D375BE"/>
    <w:rsid w:val="00D41131"/>
    <w:rsid w:val="00D41BD8"/>
    <w:rsid w:val="00D41DA1"/>
    <w:rsid w:val="00D42524"/>
    <w:rsid w:val="00D42E44"/>
    <w:rsid w:val="00D42EA7"/>
    <w:rsid w:val="00D43489"/>
    <w:rsid w:val="00D43835"/>
    <w:rsid w:val="00D44B64"/>
    <w:rsid w:val="00D44BA9"/>
    <w:rsid w:val="00D450F3"/>
    <w:rsid w:val="00D4560C"/>
    <w:rsid w:val="00D479BC"/>
    <w:rsid w:val="00D50766"/>
    <w:rsid w:val="00D50DD5"/>
    <w:rsid w:val="00D51EAB"/>
    <w:rsid w:val="00D52783"/>
    <w:rsid w:val="00D5363D"/>
    <w:rsid w:val="00D53FC2"/>
    <w:rsid w:val="00D559EC"/>
    <w:rsid w:val="00D564C6"/>
    <w:rsid w:val="00D56B86"/>
    <w:rsid w:val="00D57212"/>
    <w:rsid w:val="00D576EF"/>
    <w:rsid w:val="00D57F21"/>
    <w:rsid w:val="00D6061E"/>
    <w:rsid w:val="00D60AB6"/>
    <w:rsid w:val="00D61E3C"/>
    <w:rsid w:val="00D62110"/>
    <w:rsid w:val="00D6304F"/>
    <w:rsid w:val="00D633AF"/>
    <w:rsid w:val="00D63594"/>
    <w:rsid w:val="00D652FD"/>
    <w:rsid w:val="00D65C45"/>
    <w:rsid w:val="00D662F4"/>
    <w:rsid w:val="00D67666"/>
    <w:rsid w:val="00D678FA"/>
    <w:rsid w:val="00D70421"/>
    <w:rsid w:val="00D7083D"/>
    <w:rsid w:val="00D711BE"/>
    <w:rsid w:val="00D71E4C"/>
    <w:rsid w:val="00D72335"/>
    <w:rsid w:val="00D7289A"/>
    <w:rsid w:val="00D72B7F"/>
    <w:rsid w:val="00D73A07"/>
    <w:rsid w:val="00D74BB5"/>
    <w:rsid w:val="00D74DE8"/>
    <w:rsid w:val="00D74E29"/>
    <w:rsid w:val="00D74E46"/>
    <w:rsid w:val="00D74F41"/>
    <w:rsid w:val="00D74F72"/>
    <w:rsid w:val="00D752A9"/>
    <w:rsid w:val="00D752B6"/>
    <w:rsid w:val="00D757F1"/>
    <w:rsid w:val="00D761DE"/>
    <w:rsid w:val="00D76332"/>
    <w:rsid w:val="00D772FB"/>
    <w:rsid w:val="00D8085D"/>
    <w:rsid w:val="00D81C7C"/>
    <w:rsid w:val="00D82D70"/>
    <w:rsid w:val="00D832E7"/>
    <w:rsid w:val="00D83441"/>
    <w:rsid w:val="00D83921"/>
    <w:rsid w:val="00D84A4F"/>
    <w:rsid w:val="00D84ACB"/>
    <w:rsid w:val="00D84D9C"/>
    <w:rsid w:val="00D85FEA"/>
    <w:rsid w:val="00D87416"/>
    <w:rsid w:val="00D87FCF"/>
    <w:rsid w:val="00D903C8"/>
    <w:rsid w:val="00D918A7"/>
    <w:rsid w:val="00D9240D"/>
    <w:rsid w:val="00D92953"/>
    <w:rsid w:val="00D92CC7"/>
    <w:rsid w:val="00D92E67"/>
    <w:rsid w:val="00D931F6"/>
    <w:rsid w:val="00D94694"/>
    <w:rsid w:val="00D9483C"/>
    <w:rsid w:val="00D954EF"/>
    <w:rsid w:val="00D95F39"/>
    <w:rsid w:val="00D964C6"/>
    <w:rsid w:val="00D9672F"/>
    <w:rsid w:val="00D96E10"/>
    <w:rsid w:val="00D97BCC"/>
    <w:rsid w:val="00DA0298"/>
    <w:rsid w:val="00DA032A"/>
    <w:rsid w:val="00DA1826"/>
    <w:rsid w:val="00DA1BCA"/>
    <w:rsid w:val="00DA286C"/>
    <w:rsid w:val="00DA3458"/>
    <w:rsid w:val="00DA3C53"/>
    <w:rsid w:val="00DA4F97"/>
    <w:rsid w:val="00DA53B2"/>
    <w:rsid w:val="00DA5FD5"/>
    <w:rsid w:val="00DA6D2D"/>
    <w:rsid w:val="00DA715D"/>
    <w:rsid w:val="00DA7951"/>
    <w:rsid w:val="00DB1174"/>
    <w:rsid w:val="00DB2237"/>
    <w:rsid w:val="00DB2AED"/>
    <w:rsid w:val="00DB3B83"/>
    <w:rsid w:val="00DB3D65"/>
    <w:rsid w:val="00DB58C6"/>
    <w:rsid w:val="00DB5B45"/>
    <w:rsid w:val="00DB5D5F"/>
    <w:rsid w:val="00DB5D90"/>
    <w:rsid w:val="00DB5FB9"/>
    <w:rsid w:val="00DB61B1"/>
    <w:rsid w:val="00DB6B35"/>
    <w:rsid w:val="00DB75EC"/>
    <w:rsid w:val="00DB7D11"/>
    <w:rsid w:val="00DC07AA"/>
    <w:rsid w:val="00DC0915"/>
    <w:rsid w:val="00DC249C"/>
    <w:rsid w:val="00DC30E2"/>
    <w:rsid w:val="00DC314A"/>
    <w:rsid w:val="00DC3A30"/>
    <w:rsid w:val="00DC431A"/>
    <w:rsid w:val="00DC5B17"/>
    <w:rsid w:val="00DC6394"/>
    <w:rsid w:val="00DC67BD"/>
    <w:rsid w:val="00DC6A4A"/>
    <w:rsid w:val="00DC7FC6"/>
    <w:rsid w:val="00DD0297"/>
    <w:rsid w:val="00DD067D"/>
    <w:rsid w:val="00DD0C15"/>
    <w:rsid w:val="00DD0F3B"/>
    <w:rsid w:val="00DD1DDA"/>
    <w:rsid w:val="00DD1E6B"/>
    <w:rsid w:val="00DD1F8E"/>
    <w:rsid w:val="00DD2AD3"/>
    <w:rsid w:val="00DD2F33"/>
    <w:rsid w:val="00DD31D1"/>
    <w:rsid w:val="00DD3304"/>
    <w:rsid w:val="00DD58ED"/>
    <w:rsid w:val="00DD5B03"/>
    <w:rsid w:val="00DD6416"/>
    <w:rsid w:val="00DD6E1D"/>
    <w:rsid w:val="00DD704B"/>
    <w:rsid w:val="00DE2B04"/>
    <w:rsid w:val="00DE34CE"/>
    <w:rsid w:val="00DE3D4A"/>
    <w:rsid w:val="00DE459A"/>
    <w:rsid w:val="00DE45F1"/>
    <w:rsid w:val="00DE4DC5"/>
    <w:rsid w:val="00DE542B"/>
    <w:rsid w:val="00DE5731"/>
    <w:rsid w:val="00DE585A"/>
    <w:rsid w:val="00DE5ABF"/>
    <w:rsid w:val="00DE68A7"/>
    <w:rsid w:val="00DE7BC0"/>
    <w:rsid w:val="00DF0547"/>
    <w:rsid w:val="00DF18A3"/>
    <w:rsid w:val="00DF1916"/>
    <w:rsid w:val="00DF22AB"/>
    <w:rsid w:val="00DF3078"/>
    <w:rsid w:val="00DF34F6"/>
    <w:rsid w:val="00DF350A"/>
    <w:rsid w:val="00DF3565"/>
    <w:rsid w:val="00DF3F71"/>
    <w:rsid w:val="00DF4AE7"/>
    <w:rsid w:val="00DF5087"/>
    <w:rsid w:val="00DF5431"/>
    <w:rsid w:val="00DF5947"/>
    <w:rsid w:val="00DF5A63"/>
    <w:rsid w:val="00DF603C"/>
    <w:rsid w:val="00DF63A1"/>
    <w:rsid w:val="00DF6F89"/>
    <w:rsid w:val="00E010BE"/>
    <w:rsid w:val="00E010E0"/>
    <w:rsid w:val="00E0210F"/>
    <w:rsid w:val="00E02B40"/>
    <w:rsid w:val="00E03715"/>
    <w:rsid w:val="00E04143"/>
    <w:rsid w:val="00E04B3E"/>
    <w:rsid w:val="00E0532D"/>
    <w:rsid w:val="00E0587A"/>
    <w:rsid w:val="00E06A16"/>
    <w:rsid w:val="00E101FF"/>
    <w:rsid w:val="00E107E0"/>
    <w:rsid w:val="00E10BD4"/>
    <w:rsid w:val="00E12040"/>
    <w:rsid w:val="00E12A17"/>
    <w:rsid w:val="00E12BB3"/>
    <w:rsid w:val="00E1300E"/>
    <w:rsid w:val="00E13486"/>
    <w:rsid w:val="00E13D22"/>
    <w:rsid w:val="00E14DA2"/>
    <w:rsid w:val="00E1518D"/>
    <w:rsid w:val="00E15492"/>
    <w:rsid w:val="00E15976"/>
    <w:rsid w:val="00E161DB"/>
    <w:rsid w:val="00E162F5"/>
    <w:rsid w:val="00E1680B"/>
    <w:rsid w:val="00E16A1F"/>
    <w:rsid w:val="00E17B5B"/>
    <w:rsid w:val="00E21AA7"/>
    <w:rsid w:val="00E221EC"/>
    <w:rsid w:val="00E224A5"/>
    <w:rsid w:val="00E249A9"/>
    <w:rsid w:val="00E25950"/>
    <w:rsid w:val="00E269D2"/>
    <w:rsid w:val="00E305C6"/>
    <w:rsid w:val="00E30710"/>
    <w:rsid w:val="00E314F2"/>
    <w:rsid w:val="00E33E7D"/>
    <w:rsid w:val="00E33EAB"/>
    <w:rsid w:val="00E35027"/>
    <w:rsid w:val="00E35208"/>
    <w:rsid w:val="00E355F9"/>
    <w:rsid w:val="00E35E19"/>
    <w:rsid w:val="00E35EAA"/>
    <w:rsid w:val="00E360F0"/>
    <w:rsid w:val="00E36E30"/>
    <w:rsid w:val="00E36E84"/>
    <w:rsid w:val="00E374C3"/>
    <w:rsid w:val="00E37A7C"/>
    <w:rsid w:val="00E37B93"/>
    <w:rsid w:val="00E37BD6"/>
    <w:rsid w:val="00E402F7"/>
    <w:rsid w:val="00E40A33"/>
    <w:rsid w:val="00E41437"/>
    <w:rsid w:val="00E42017"/>
    <w:rsid w:val="00E4215E"/>
    <w:rsid w:val="00E42248"/>
    <w:rsid w:val="00E43104"/>
    <w:rsid w:val="00E43A03"/>
    <w:rsid w:val="00E43F79"/>
    <w:rsid w:val="00E44382"/>
    <w:rsid w:val="00E44C64"/>
    <w:rsid w:val="00E47282"/>
    <w:rsid w:val="00E47F9A"/>
    <w:rsid w:val="00E50045"/>
    <w:rsid w:val="00E503E2"/>
    <w:rsid w:val="00E525EB"/>
    <w:rsid w:val="00E529F6"/>
    <w:rsid w:val="00E53464"/>
    <w:rsid w:val="00E5418A"/>
    <w:rsid w:val="00E54A6F"/>
    <w:rsid w:val="00E56BF6"/>
    <w:rsid w:val="00E56F18"/>
    <w:rsid w:val="00E577A3"/>
    <w:rsid w:val="00E577A6"/>
    <w:rsid w:val="00E57979"/>
    <w:rsid w:val="00E62295"/>
    <w:rsid w:val="00E62A75"/>
    <w:rsid w:val="00E63221"/>
    <w:rsid w:val="00E63569"/>
    <w:rsid w:val="00E6444F"/>
    <w:rsid w:val="00E64BE1"/>
    <w:rsid w:val="00E65502"/>
    <w:rsid w:val="00E660F0"/>
    <w:rsid w:val="00E664FE"/>
    <w:rsid w:val="00E66CC8"/>
    <w:rsid w:val="00E66E9F"/>
    <w:rsid w:val="00E66FD3"/>
    <w:rsid w:val="00E67317"/>
    <w:rsid w:val="00E67446"/>
    <w:rsid w:val="00E67770"/>
    <w:rsid w:val="00E67DE1"/>
    <w:rsid w:val="00E7035B"/>
    <w:rsid w:val="00E71803"/>
    <w:rsid w:val="00E71C23"/>
    <w:rsid w:val="00E72547"/>
    <w:rsid w:val="00E72CB5"/>
    <w:rsid w:val="00E72F28"/>
    <w:rsid w:val="00E745D9"/>
    <w:rsid w:val="00E7490A"/>
    <w:rsid w:val="00E7504A"/>
    <w:rsid w:val="00E752B8"/>
    <w:rsid w:val="00E7538A"/>
    <w:rsid w:val="00E75592"/>
    <w:rsid w:val="00E75C9C"/>
    <w:rsid w:val="00E7717E"/>
    <w:rsid w:val="00E8033B"/>
    <w:rsid w:val="00E80357"/>
    <w:rsid w:val="00E82794"/>
    <w:rsid w:val="00E829FB"/>
    <w:rsid w:val="00E83844"/>
    <w:rsid w:val="00E84398"/>
    <w:rsid w:val="00E85145"/>
    <w:rsid w:val="00E8565A"/>
    <w:rsid w:val="00E85AD8"/>
    <w:rsid w:val="00E85B1B"/>
    <w:rsid w:val="00E85BF0"/>
    <w:rsid w:val="00E86224"/>
    <w:rsid w:val="00E863C1"/>
    <w:rsid w:val="00E8778D"/>
    <w:rsid w:val="00E87BC2"/>
    <w:rsid w:val="00E92277"/>
    <w:rsid w:val="00E92A47"/>
    <w:rsid w:val="00E92B53"/>
    <w:rsid w:val="00E93610"/>
    <w:rsid w:val="00E93879"/>
    <w:rsid w:val="00E94A7A"/>
    <w:rsid w:val="00E9744D"/>
    <w:rsid w:val="00E975FD"/>
    <w:rsid w:val="00E97946"/>
    <w:rsid w:val="00EA03CF"/>
    <w:rsid w:val="00EA090A"/>
    <w:rsid w:val="00EA0989"/>
    <w:rsid w:val="00EA0A25"/>
    <w:rsid w:val="00EA0A70"/>
    <w:rsid w:val="00EA0F29"/>
    <w:rsid w:val="00EA1BD2"/>
    <w:rsid w:val="00EA221C"/>
    <w:rsid w:val="00EA2A52"/>
    <w:rsid w:val="00EA421B"/>
    <w:rsid w:val="00EA49BA"/>
    <w:rsid w:val="00EA5529"/>
    <w:rsid w:val="00EA632A"/>
    <w:rsid w:val="00EA7029"/>
    <w:rsid w:val="00EA77F1"/>
    <w:rsid w:val="00EA77F9"/>
    <w:rsid w:val="00EB0F4E"/>
    <w:rsid w:val="00EB13FA"/>
    <w:rsid w:val="00EB1619"/>
    <w:rsid w:val="00EB182F"/>
    <w:rsid w:val="00EB25A6"/>
    <w:rsid w:val="00EB2E28"/>
    <w:rsid w:val="00EB53B1"/>
    <w:rsid w:val="00EB5791"/>
    <w:rsid w:val="00EB62B8"/>
    <w:rsid w:val="00EB64F5"/>
    <w:rsid w:val="00EB6693"/>
    <w:rsid w:val="00EB69BB"/>
    <w:rsid w:val="00EB79E1"/>
    <w:rsid w:val="00EB7B33"/>
    <w:rsid w:val="00EC1F02"/>
    <w:rsid w:val="00EC1F38"/>
    <w:rsid w:val="00EC2052"/>
    <w:rsid w:val="00EC2353"/>
    <w:rsid w:val="00EC2DB1"/>
    <w:rsid w:val="00EC2DF7"/>
    <w:rsid w:val="00EC3DAC"/>
    <w:rsid w:val="00EC42D9"/>
    <w:rsid w:val="00EC4B10"/>
    <w:rsid w:val="00EC4E2B"/>
    <w:rsid w:val="00EC60F5"/>
    <w:rsid w:val="00EC7163"/>
    <w:rsid w:val="00ED044E"/>
    <w:rsid w:val="00ED0E3A"/>
    <w:rsid w:val="00ED1095"/>
    <w:rsid w:val="00ED1437"/>
    <w:rsid w:val="00ED18AC"/>
    <w:rsid w:val="00ED1FBF"/>
    <w:rsid w:val="00ED20C3"/>
    <w:rsid w:val="00ED27B9"/>
    <w:rsid w:val="00ED3020"/>
    <w:rsid w:val="00ED3421"/>
    <w:rsid w:val="00ED4C73"/>
    <w:rsid w:val="00ED64F8"/>
    <w:rsid w:val="00ED665B"/>
    <w:rsid w:val="00ED7B34"/>
    <w:rsid w:val="00ED7DA2"/>
    <w:rsid w:val="00EE0814"/>
    <w:rsid w:val="00EE0ADF"/>
    <w:rsid w:val="00EE11FE"/>
    <w:rsid w:val="00EE13EE"/>
    <w:rsid w:val="00EE250A"/>
    <w:rsid w:val="00EE2F92"/>
    <w:rsid w:val="00EE307B"/>
    <w:rsid w:val="00EE3399"/>
    <w:rsid w:val="00EE33A8"/>
    <w:rsid w:val="00EE33A9"/>
    <w:rsid w:val="00EE5209"/>
    <w:rsid w:val="00EE545B"/>
    <w:rsid w:val="00EE5C4D"/>
    <w:rsid w:val="00EE5EFA"/>
    <w:rsid w:val="00EE63FC"/>
    <w:rsid w:val="00EE6A8E"/>
    <w:rsid w:val="00EE6D26"/>
    <w:rsid w:val="00EE7492"/>
    <w:rsid w:val="00EE7AFA"/>
    <w:rsid w:val="00EE7E51"/>
    <w:rsid w:val="00EE7F40"/>
    <w:rsid w:val="00EF0889"/>
    <w:rsid w:val="00EF17B9"/>
    <w:rsid w:val="00EF20F6"/>
    <w:rsid w:val="00EF2909"/>
    <w:rsid w:val="00EF35B6"/>
    <w:rsid w:val="00EF506C"/>
    <w:rsid w:val="00EF59B9"/>
    <w:rsid w:val="00EF5CB9"/>
    <w:rsid w:val="00EF642A"/>
    <w:rsid w:val="00EF6949"/>
    <w:rsid w:val="00EF6F0B"/>
    <w:rsid w:val="00EF77A2"/>
    <w:rsid w:val="00EF7E7B"/>
    <w:rsid w:val="00F00F53"/>
    <w:rsid w:val="00F012DF"/>
    <w:rsid w:val="00F01C8B"/>
    <w:rsid w:val="00F03474"/>
    <w:rsid w:val="00F05A3E"/>
    <w:rsid w:val="00F064C5"/>
    <w:rsid w:val="00F06888"/>
    <w:rsid w:val="00F06A2B"/>
    <w:rsid w:val="00F073C1"/>
    <w:rsid w:val="00F07D8D"/>
    <w:rsid w:val="00F07E4E"/>
    <w:rsid w:val="00F1018C"/>
    <w:rsid w:val="00F113DE"/>
    <w:rsid w:val="00F114EF"/>
    <w:rsid w:val="00F119AE"/>
    <w:rsid w:val="00F1365E"/>
    <w:rsid w:val="00F13900"/>
    <w:rsid w:val="00F146A9"/>
    <w:rsid w:val="00F14D0F"/>
    <w:rsid w:val="00F15F85"/>
    <w:rsid w:val="00F1690D"/>
    <w:rsid w:val="00F16C67"/>
    <w:rsid w:val="00F16C87"/>
    <w:rsid w:val="00F16F2A"/>
    <w:rsid w:val="00F17209"/>
    <w:rsid w:val="00F17758"/>
    <w:rsid w:val="00F2014E"/>
    <w:rsid w:val="00F20F55"/>
    <w:rsid w:val="00F23843"/>
    <w:rsid w:val="00F2389B"/>
    <w:rsid w:val="00F242A7"/>
    <w:rsid w:val="00F243F9"/>
    <w:rsid w:val="00F24477"/>
    <w:rsid w:val="00F24702"/>
    <w:rsid w:val="00F256DC"/>
    <w:rsid w:val="00F258F0"/>
    <w:rsid w:val="00F26AB6"/>
    <w:rsid w:val="00F26FA9"/>
    <w:rsid w:val="00F27D65"/>
    <w:rsid w:val="00F27EBB"/>
    <w:rsid w:val="00F30505"/>
    <w:rsid w:val="00F30579"/>
    <w:rsid w:val="00F3119D"/>
    <w:rsid w:val="00F31D0D"/>
    <w:rsid w:val="00F335EA"/>
    <w:rsid w:val="00F33631"/>
    <w:rsid w:val="00F33FA5"/>
    <w:rsid w:val="00F34301"/>
    <w:rsid w:val="00F3569B"/>
    <w:rsid w:val="00F35C65"/>
    <w:rsid w:val="00F363C0"/>
    <w:rsid w:val="00F36BB8"/>
    <w:rsid w:val="00F36E32"/>
    <w:rsid w:val="00F377B4"/>
    <w:rsid w:val="00F37F93"/>
    <w:rsid w:val="00F40CBF"/>
    <w:rsid w:val="00F41105"/>
    <w:rsid w:val="00F41C43"/>
    <w:rsid w:val="00F41CE9"/>
    <w:rsid w:val="00F4228B"/>
    <w:rsid w:val="00F4274B"/>
    <w:rsid w:val="00F428A9"/>
    <w:rsid w:val="00F43624"/>
    <w:rsid w:val="00F4387B"/>
    <w:rsid w:val="00F43BA5"/>
    <w:rsid w:val="00F44042"/>
    <w:rsid w:val="00F440F6"/>
    <w:rsid w:val="00F47DD9"/>
    <w:rsid w:val="00F50101"/>
    <w:rsid w:val="00F501A4"/>
    <w:rsid w:val="00F50BE5"/>
    <w:rsid w:val="00F515DE"/>
    <w:rsid w:val="00F52728"/>
    <w:rsid w:val="00F529A5"/>
    <w:rsid w:val="00F52E6E"/>
    <w:rsid w:val="00F530AE"/>
    <w:rsid w:val="00F535D8"/>
    <w:rsid w:val="00F53BCA"/>
    <w:rsid w:val="00F53DE5"/>
    <w:rsid w:val="00F54552"/>
    <w:rsid w:val="00F5505C"/>
    <w:rsid w:val="00F55A0D"/>
    <w:rsid w:val="00F56213"/>
    <w:rsid w:val="00F56522"/>
    <w:rsid w:val="00F56DD3"/>
    <w:rsid w:val="00F57899"/>
    <w:rsid w:val="00F578F5"/>
    <w:rsid w:val="00F57B50"/>
    <w:rsid w:val="00F57D4D"/>
    <w:rsid w:val="00F612A2"/>
    <w:rsid w:val="00F618E7"/>
    <w:rsid w:val="00F61A61"/>
    <w:rsid w:val="00F61F88"/>
    <w:rsid w:val="00F6281B"/>
    <w:rsid w:val="00F62C2E"/>
    <w:rsid w:val="00F633D6"/>
    <w:rsid w:val="00F63906"/>
    <w:rsid w:val="00F6393A"/>
    <w:rsid w:val="00F64244"/>
    <w:rsid w:val="00F644A6"/>
    <w:rsid w:val="00F64B4B"/>
    <w:rsid w:val="00F64CA3"/>
    <w:rsid w:val="00F665E1"/>
    <w:rsid w:val="00F667D6"/>
    <w:rsid w:val="00F66AC4"/>
    <w:rsid w:val="00F66C09"/>
    <w:rsid w:val="00F67351"/>
    <w:rsid w:val="00F67C3B"/>
    <w:rsid w:val="00F71139"/>
    <w:rsid w:val="00F712E7"/>
    <w:rsid w:val="00F716B2"/>
    <w:rsid w:val="00F71AB5"/>
    <w:rsid w:val="00F722A1"/>
    <w:rsid w:val="00F72387"/>
    <w:rsid w:val="00F73960"/>
    <w:rsid w:val="00F73C57"/>
    <w:rsid w:val="00F7488B"/>
    <w:rsid w:val="00F74944"/>
    <w:rsid w:val="00F74D1A"/>
    <w:rsid w:val="00F74FD5"/>
    <w:rsid w:val="00F764B6"/>
    <w:rsid w:val="00F765A0"/>
    <w:rsid w:val="00F76EAC"/>
    <w:rsid w:val="00F83867"/>
    <w:rsid w:val="00F83F4B"/>
    <w:rsid w:val="00F84733"/>
    <w:rsid w:val="00F84A77"/>
    <w:rsid w:val="00F85479"/>
    <w:rsid w:val="00F87A9F"/>
    <w:rsid w:val="00F87C66"/>
    <w:rsid w:val="00F91022"/>
    <w:rsid w:val="00F91AB6"/>
    <w:rsid w:val="00F92674"/>
    <w:rsid w:val="00F93058"/>
    <w:rsid w:val="00F93750"/>
    <w:rsid w:val="00F94039"/>
    <w:rsid w:val="00F95F38"/>
    <w:rsid w:val="00F96378"/>
    <w:rsid w:val="00F96F7B"/>
    <w:rsid w:val="00FA02BF"/>
    <w:rsid w:val="00FA0ABE"/>
    <w:rsid w:val="00FA0B9B"/>
    <w:rsid w:val="00FA0E72"/>
    <w:rsid w:val="00FA19AF"/>
    <w:rsid w:val="00FA2954"/>
    <w:rsid w:val="00FA3324"/>
    <w:rsid w:val="00FA3459"/>
    <w:rsid w:val="00FA370E"/>
    <w:rsid w:val="00FA3F59"/>
    <w:rsid w:val="00FA3F79"/>
    <w:rsid w:val="00FA40B1"/>
    <w:rsid w:val="00FA476F"/>
    <w:rsid w:val="00FA4A06"/>
    <w:rsid w:val="00FA5AEA"/>
    <w:rsid w:val="00FA5B71"/>
    <w:rsid w:val="00FA649A"/>
    <w:rsid w:val="00FA6C58"/>
    <w:rsid w:val="00FA7442"/>
    <w:rsid w:val="00FA7519"/>
    <w:rsid w:val="00FA7FC4"/>
    <w:rsid w:val="00FB0DD1"/>
    <w:rsid w:val="00FB1016"/>
    <w:rsid w:val="00FB115E"/>
    <w:rsid w:val="00FB1AC2"/>
    <w:rsid w:val="00FB21A2"/>
    <w:rsid w:val="00FB2DAE"/>
    <w:rsid w:val="00FB3C14"/>
    <w:rsid w:val="00FB40F6"/>
    <w:rsid w:val="00FB4C1D"/>
    <w:rsid w:val="00FB7854"/>
    <w:rsid w:val="00FC0A25"/>
    <w:rsid w:val="00FC0E41"/>
    <w:rsid w:val="00FC10C3"/>
    <w:rsid w:val="00FC1A8A"/>
    <w:rsid w:val="00FC242B"/>
    <w:rsid w:val="00FC2B97"/>
    <w:rsid w:val="00FC41F2"/>
    <w:rsid w:val="00FC48B6"/>
    <w:rsid w:val="00FC59D4"/>
    <w:rsid w:val="00FC5AF9"/>
    <w:rsid w:val="00FC62D8"/>
    <w:rsid w:val="00FC64D7"/>
    <w:rsid w:val="00FD0D6A"/>
    <w:rsid w:val="00FD1184"/>
    <w:rsid w:val="00FD125E"/>
    <w:rsid w:val="00FD13C0"/>
    <w:rsid w:val="00FD17B3"/>
    <w:rsid w:val="00FD19EE"/>
    <w:rsid w:val="00FD1C1F"/>
    <w:rsid w:val="00FD37E9"/>
    <w:rsid w:val="00FD3A35"/>
    <w:rsid w:val="00FD3E5C"/>
    <w:rsid w:val="00FD4830"/>
    <w:rsid w:val="00FD49A3"/>
    <w:rsid w:val="00FD4BE3"/>
    <w:rsid w:val="00FD5769"/>
    <w:rsid w:val="00FD5933"/>
    <w:rsid w:val="00FD6804"/>
    <w:rsid w:val="00FD6830"/>
    <w:rsid w:val="00FD69D6"/>
    <w:rsid w:val="00FD7485"/>
    <w:rsid w:val="00FD7657"/>
    <w:rsid w:val="00FD769C"/>
    <w:rsid w:val="00FD7AEF"/>
    <w:rsid w:val="00FD7D73"/>
    <w:rsid w:val="00FD7F38"/>
    <w:rsid w:val="00FD7F45"/>
    <w:rsid w:val="00FE0127"/>
    <w:rsid w:val="00FE0D23"/>
    <w:rsid w:val="00FE1602"/>
    <w:rsid w:val="00FE1832"/>
    <w:rsid w:val="00FE2265"/>
    <w:rsid w:val="00FE29EB"/>
    <w:rsid w:val="00FE3EC6"/>
    <w:rsid w:val="00FE3FFF"/>
    <w:rsid w:val="00FE4059"/>
    <w:rsid w:val="00FE494C"/>
    <w:rsid w:val="00FE5684"/>
    <w:rsid w:val="00FE5761"/>
    <w:rsid w:val="00FE706A"/>
    <w:rsid w:val="00FE73B8"/>
    <w:rsid w:val="00FE7637"/>
    <w:rsid w:val="00FF146D"/>
    <w:rsid w:val="00FF1960"/>
    <w:rsid w:val="00FF1E48"/>
    <w:rsid w:val="00FF2902"/>
    <w:rsid w:val="00FF3693"/>
    <w:rsid w:val="00FF3C1B"/>
    <w:rsid w:val="00FF437B"/>
    <w:rsid w:val="00FF4A87"/>
    <w:rsid w:val="00FF524A"/>
    <w:rsid w:val="00FF5E05"/>
    <w:rsid w:val="00FF638D"/>
    <w:rsid w:val="00FF6612"/>
    <w:rsid w:val="00FF6771"/>
    <w:rsid w:val="00FF7049"/>
    <w:rsid w:val="00FF7E3B"/>
    <w:rsid w:val="00FF7F1C"/>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360"/>
    </w:pPr>
    <w:rPr>
      <w:rFonts w:ascii="Times New Roman" w:hAnsi="Times New Roman"/>
      <w:sz w:val="24"/>
      <w:szCs w:val="22"/>
    </w:rPr>
  </w:style>
  <w:style w:type="paragraph" w:styleId="Heading1">
    <w:name w:val="heading 1"/>
    <w:basedOn w:val="Heading3"/>
    <w:next w:val="Normal"/>
    <w:qFormat/>
    <w:pPr>
      <w:outlineLvl w:val="0"/>
    </w:pPr>
  </w:style>
  <w:style w:type="paragraph" w:styleId="Heading2">
    <w:name w:val="heading 2"/>
    <w:aliases w:val="Appendix"/>
    <w:basedOn w:val="Normal"/>
    <w:autoRedefine/>
    <w:uiPriority w:val="9"/>
    <w:qFormat/>
    <w:rsid w:val="004E0E55"/>
    <w:pPr>
      <w:spacing w:after="0" w:line="240" w:lineRule="auto"/>
      <w:ind w:firstLine="0"/>
      <w:jc w:val="both"/>
      <w:outlineLvl w:val="1"/>
    </w:pPr>
    <w:rPr>
      <w:i/>
      <w:sz w:val="20"/>
      <w:szCs w:val="20"/>
    </w:rPr>
  </w:style>
  <w:style w:type="paragraph" w:styleId="Heading3">
    <w:name w:val="heading 3"/>
    <w:basedOn w:val="Normal"/>
    <w:next w:val="Normal"/>
    <w:qFormat/>
    <w:pPr>
      <w:keepNext/>
      <w:spacing w:before="240" w:after="60" w:line="240" w:lineRule="auto"/>
      <w:ind w:firstLine="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133D1"/>
    <w:pPr>
      <w:keepNext/>
      <w:spacing w:before="240" w:after="60" w:line="240" w:lineRule="auto"/>
      <w:ind w:firstLine="0"/>
      <w:outlineLvl w:val="3"/>
    </w:pPr>
    <w:rPr>
      <w:rFonts w:eastAsia="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6"/>
      <w:szCs w:val="26"/>
    </w:rPr>
  </w:style>
  <w:style w:type="character" w:customStyle="1" w:styleId="Heading2Char">
    <w:name w:val="Heading 2 Char"/>
    <w:aliases w:val="Appendix Char"/>
    <w:uiPriority w:val="9"/>
    <w:rPr>
      <w:rFonts w:ascii="Times New Roman" w:hAnsi="Times New Roman"/>
      <w:sz w:val="24"/>
      <w:szCs w:val="22"/>
    </w:rPr>
  </w:style>
  <w:style w:type="character" w:customStyle="1" w:styleId="Heading3Char">
    <w:name w:val="Heading 3 Char"/>
    <w:rPr>
      <w:rFonts w:ascii="Arial" w:eastAsia="Times New Roman" w:hAnsi="Arial" w:cs="Arial"/>
      <w:b/>
      <w:bCs/>
      <w:sz w:val="26"/>
      <w:szCs w:val="26"/>
    </w:rPr>
  </w:style>
  <w:style w:type="paragraph" w:styleId="FootnoteText">
    <w:name w:val="footnote text"/>
    <w:aliases w:val="Note de bas de page Car Car Car,Note de bas de page Car Car Car Car Car Car,Note de bas de page Car Car Car Car Car"/>
    <w:basedOn w:val="Normal"/>
    <w:unhideWhenUsed/>
    <w:pPr>
      <w:spacing w:after="0" w:line="240" w:lineRule="auto"/>
    </w:pPr>
    <w:rPr>
      <w:sz w:val="20"/>
      <w:szCs w:val="20"/>
    </w:rPr>
  </w:style>
  <w:style w:type="character" w:customStyle="1" w:styleId="FootnoteTextChar">
    <w:name w:val="Footnote Text Char"/>
    <w:rPr>
      <w:rFonts w:ascii="Times New Roman" w:eastAsia="Calibri" w:hAnsi="Times New Roman" w:cs="Times New Roman"/>
      <w:sz w:val="20"/>
      <w:szCs w:val="20"/>
    </w:rPr>
  </w:style>
  <w:style w:type="character" w:styleId="FootnoteReference">
    <w:name w:val="footnote reference"/>
    <w:unhideWhenUsed/>
    <w:rPr>
      <w:vertAlign w:val="superscript"/>
    </w:rPr>
  </w:style>
  <w:style w:type="paragraph" w:customStyle="1" w:styleId="NoSpacing1">
    <w:name w:val="No Spacing1"/>
    <w:aliases w:val="Numbered"/>
    <w:basedOn w:val="Normal"/>
    <w:qFormat/>
    <w:pPr>
      <w:numPr>
        <w:numId w:val="1"/>
      </w:numPr>
      <w:spacing w:before="120" w:after="120" w:line="240" w:lineRule="auto"/>
    </w:pPr>
  </w:style>
  <w:style w:type="paragraph" w:customStyle="1" w:styleId="OrdinaryParagraph">
    <w:name w:val="Ordinary Paragraph"/>
    <w:basedOn w:val="Normal"/>
    <w:pPr>
      <w:spacing w:before="120" w:after="120" w:line="240" w:lineRule="auto"/>
      <w:ind w:firstLine="288"/>
    </w:pPr>
    <w:rPr>
      <w:rFonts w:eastAsia="Times New Roman"/>
      <w:szCs w:val="20"/>
    </w:rPr>
  </w:style>
  <w:style w:type="paragraph" w:styleId="Header">
    <w:name w:val="header"/>
    <w:basedOn w:val="Normal"/>
    <w:uiPriority w:val="99"/>
    <w:unhideWhenUsed/>
    <w:pPr>
      <w:tabs>
        <w:tab w:val="center" w:pos="4680"/>
        <w:tab w:val="right" w:pos="9360"/>
      </w:tabs>
      <w:spacing w:before="120" w:after="120" w:line="240" w:lineRule="auto"/>
    </w:pPr>
  </w:style>
  <w:style w:type="character" w:customStyle="1" w:styleId="HeaderChar">
    <w:name w:val="Header Char"/>
    <w:uiPriority w:val="99"/>
    <w:rPr>
      <w:rFonts w:ascii="Times New Roman" w:eastAsia="Calibri" w:hAnsi="Times New Roman" w:cs="Times New Roman"/>
      <w:sz w:val="24"/>
    </w:rPr>
  </w:style>
  <w:style w:type="paragraph" w:styleId="Footer">
    <w:name w:val="footer"/>
    <w:basedOn w:val="Normal"/>
    <w:uiPriority w:val="99"/>
    <w:unhideWhenUsed/>
    <w:pPr>
      <w:tabs>
        <w:tab w:val="center" w:pos="4680"/>
        <w:tab w:val="right" w:pos="9360"/>
      </w:tabs>
      <w:spacing w:before="120" w:after="120" w:line="240" w:lineRule="auto"/>
    </w:pPr>
  </w:style>
  <w:style w:type="character" w:customStyle="1" w:styleId="FooterChar">
    <w:name w:val="Footer Char"/>
    <w:uiPriority w:val="99"/>
    <w:rPr>
      <w:rFonts w:ascii="Times New Roman" w:eastAsia="Calibri" w:hAnsi="Times New Roman" w:cs="Times New Roman"/>
      <w:sz w:val="24"/>
    </w:rPr>
  </w:style>
  <w:style w:type="paragraph" w:customStyle="1" w:styleId="JEHarticletext">
    <w:name w:val="JEH article text"/>
    <w:basedOn w:val="Normal"/>
    <w:pPr>
      <w:tabs>
        <w:tab w:val="left" w:pos="240"/>
        <w:tab w:val="center" w:pos="3480"/>
        <w:tab w:val="right" w:pos="6960"/>
      </w:tabs>
      <w:spacing w:after="0" w:line="240" w:lineRule="auto"/>
      <w:ind w:firstLine="0"/>
      <w:jc w:val="both"/>
    </w:pPr>
    <w:rPr>
      <w:rFonts w:eastAsia="Times New Roman"/>
      <w:szCs w:val="24"/>
    </w:rPr>
  </w:style>
  <w:style w:type="paragraph" w:customStyle="1" w:styleId="BlockQuoation">
    <w:name w:val="Block Quoation"/>
    <w:basedOn w:val="Normal"/>
    <w:autoRedefine/>
    <w:pPr>
      <w:spacing w:after="120"/>
      <w:ind w:left="720" w:right="720" w:firstLine="0"/>
    </w:pPr>
    <w:rPr>
      <w:rFonts w:eastAsia="Times New Roman"/>
      <w:szCs w:val="24"/>
    </w:rPr>
  </w:style>
  <w:style w:type="paragraph" w:styleId="BalloonText">
    <w:name w:val="Balloon Text"/>
    <w:basedOn w:val="Normal"/>
    <w:uiPriority w:val="99"/>
    <w:semiHidden/>
    <w:pPr>
      <w:spacing w:after="0" w:line="240" w:lineRule="auto"/>
      <w:ind w:firstLine="0"/>
    </w:pPr>
    <w:rPr>
      <w:rFonts w:ascii="Tahoma" w:eastAsia="Times New Roman" w:hAnsi="Tahoma" w:cs="Tahoma"/>
      <w:sz w:val="16"/>
      <w:szCs w:val="16"/>
    </w:rPr>
  </w:style>
  <w:style w:type="character" w:customStyle="1" w:styleId="BalloonTextChar">
    <w:name w:val="Balloon Text Char"/>
    <w:uiPriority w:val="99"/>
    <w:semiHidden/>
    <w:rPr>
      <w:rFonts w:ascii="Tahoma" w:eastAsia="Times New Roman" w:hAnsi="Tahoma" w:cs="Tahoma"/>
      <w:sz w:val="16"/>
      <w:szCs w:val="16"/>
    </w:rPr>
  </w:style>
  <w:style w:type="character" w:styleId="FollowedHyperlink">
    <w:name w:val="FollowedHyperlink"/>
    <w:unhideWhenUsed/>
    <w:rPr>
      <w:color w:val="800080"/>
      <w:u w:val="single"/>
    </w:rPr>
  </w:style>
  <w:style w:type="character" w:styleId="PageNumber">
    <w:name w:val="page number"/>
    <w:basedOn w:val="DefaultParagraphFont"/>
    <w:uiPriority w:val="99"/>
    <w:semiHidden/>
  </w:style>
  <w:style w:type="paragraph" w:customStyle="1" w:styleId="Default">
    <w:name w:val="Default"/>
    <w:rsid w:val="00916FE3"/>
    <w:pPr>
      <w:autoSpaceDE w:val="0"/>
      <w:autoSpaceDN w:val="0"/>
      <w:adjustRightInd w:val="0"/>
    </w:pPr>
    <w:rPr>
      <w:rFonts w:ascii="Times New Roman" w:hAnsi="Times New Roman"/>
      <w:color w:val="000000"/>
      <w:sz w:val="24"/>
      <w:szCs w:val="24"/>
    </w:rPr>
  </w:style>
  <w:style w:type="character" w:customStyle="1" w:styleId="CommentTextChar">
    <w:name w:val="Comment Text Char"/>
    <w:link w:val="CommentText"/>
    <w:semiHidden/>
    <w:rsid w:val="000B3CCE"/>
    <w:rPr>
      <w:rFonts w:eastAsia="Times New Roman" w:cs="Calibri"/>
    </w:rPr>
  </w:style>
  <w:style w:type="paragraph" w:styleId="CommentText">
    <w:name w:val="annotation text"/>
    <w:basedOn w:val="Normal"/>
    <w:link w:val="CommentTextChar"/>
    <w:semiHidden/>
    <w:unhideWhenUsed/>
    <w:rsid w:val="000B3CCE"/>
    <w:pPr>
      <w:widowControl w:val="0"/>
      <w:autoSpaceDE w:val="0"/>
      <w:autoSpaceDN w:val="0"/>
      <w:adjustRightInd w:val="0"/>
      <w:spacing w:after="0" w:line="240" w:lineRule="auto"/>
      <w:ind w:firstLine="0"/>
    </w:pPr>
    <w:rPr>
      <w:rFonts w:ascii="Calibri" w:eastAsia="Times New Roman" w:hAnsi="Calibri" w:cs="Calibri"/>
      <w:sz w:val="20"/>
      <w:szCs w:val="20"/>
    </w:rPr>
  </w:style>
  <w:style w:type="character" w:customStyle="1" w:styleId="CommentSubjectChar">
    <w:name w:val="Comment Subject Char"/>
    <w:link w:val="CommentSubject"/>
    <w:semiHidden/>
    <w:rsid w:val="000B3CCE"/>
    <w:rPr>
      <w:rFonts w:eastAsia="Times New Roman" w:cs="Calibri"/>
      <w:b/>
      <w:bCs/>
    </w:rPr>
  </w:style>
  <w:style w:type="paragraph" w:styleId="CommentSubject">
    <w:name w:val="annotation subject"/>
    <w:basedOn w:val="CommentText"/>
    <w:next w:val="CommentText"/>
    <w:link w:val="CommentSubjectChar"/>
    <w:semiHidden/>
    <w:unhideWhenUsed/>
    <w:rsid w:val="000B3CCE"/>
    <w:rPr>
      <w:b/>
      <w:bCs/>
    </w:rPr>
  </w:style>
  <w:style w:type="character" w:customStyle="1" w:styleId="def">
    <w:name w:val="def"/>
    <w:rsid w:val="005E0FB8"/>
  </w:style>
  <w:style w:type="character" w:styleId="Hyperlink">
    <w:name w:val="Hyperlink"/>
    <w:uiPriority w:val="99"/>
    <w:unhideWhenUsed/>
    <w:rsid w:val="005E0FB8"/>
    <w:rPr>
      <w:color w:val="0000FF"/>
      <w:u w:val="single"/>
    </w:rPr>
  </w:style>
  <w:style w:type="paragraph" w:styleId="Subtitle">
    <w:name w:val="Subtitle"/>
    <w:basedOn w:val="Normal"/>
    <w:link w:val="SubtitleChar"/>
    <w:qFormat/>
    <w:rsid w:val="005E0FB8"/>
    <w:pPr>
      <w:spacing w:after="0" w:line="240" w:lineRule="auto"/>
      <w:ind w:firstLine="0"/>
      <w:jc w:val="center"/>
    </w:pPr>
    <w:rPr>
      <w:rFonts w:ascii="Book Antiqua" w:eastAsia="Times New Roman" w:hAnsi="Book Antiqua"/>
      <w:i/>
      <w:iCs/>
      <w:sz w:val="20"/>
      <w:szCs w:val="24"/>
      <w:lang w:val="en-GB" w:eastAsia="es-ES"/>
    </w:rPr>
  </w:style>
  <w:style w:type="character" w:customStyle="1" w:styleId="SubtitleChar">
    <w:name w:val="Subtitle Char"/>
    <w:link w:val="Subtitle"/>
    <w:rsid w:val="005E0FB8"/>
    <w:rPr>
      <w:rFonts w:ascii="Book Antiqua" w:eastAsia="Times New Roman" w:hAnsi="Book Antiqua"/>
      <w:i/>
      <w:iCs/>
      <w:szCs w:val="24"/>
      <w:lang w:val="en-GB" w:eastAsia="es-ES"/>
    </w:rPr>
  </w:style>
  <w:style w:type="table" w:styleId="TableGrid">
    <w:name w:val="Table Grid"/>
    <w:basedOn w:val="TableNormal"/>
    <w:uiPriority w:val="59"/>
    <w:rsid w:val="005E0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semiHidden/>
    <w:rsid w:val="005E0FB8"/>
    <w:rPr>
      <w:rFonts w:ascii="Consolas" w:hAnsi="Consolas"/>
      <w:sz w:val="21"/>
      <w:szCs w:val="21"/>
      <w:lang w:val="it-IT"/>
    </w:rPr>
  </w:style>
  <w:style w:type="paragraph" w:styleId="PlainText">
    <w:name w:val="Plain Text"/>
    <w:basedOn w:val="Normal"/>
    <w:link w:val="PlainTextChar"/>
    <w:uiPriority w:val="99"/>
    <w:semiHidden/>
    <w:unhideWhenUsed/>
    <w:rsid w:val="005E0FB8"/>
    <w:pPr>
      <w:spacing w:after="0" w:line="240" w:lineRule="auto"/>
      <w:ind w:firstLine="0"/>
    </w:pPr>
    <w:rPr>
      <w:rFonts w:ascii="Consolas" w:hAnsi="Consolas"/>
      <w:sz w:val="21"/>
      <w:szCs w:val="21"/>
      <w:lang w:val="it-IT"/>
    </w:rPr>
  </w:style>
  <w:style w:type="character" w:customStyle="1" w:styleId="PlainTextChar1">
    <w:name w:val="Plain Text Char1"/>
    <w:uiPriority w:val="99"/>
    <w:semiHidden/>
    <w:rsid w:val="005E0FB8"/>
    <w:rPr>
      <w:rFonts w:ascii="Courier New" w:hAnsi="Courier New" w:cs="Courier New"/>
    </w:rPr>
  </w:style>
  <w:style w:type="character" w:styleId="Strong">
    <w:name w:val="Strong"/>
    <w:uiPriority w:val="99"/>
    <w:qFormat/>
    <w:rsid w:val="005E0FB8"/>
    <w:rPr>
      <w:b/>
      <w:bCs/>
    </w:rPr>
  </w:style>
  <w:style w:type="character" w:customStyle="1" w:styleId="apple-converted-space">
    <w:name w:val="apple-converted-space"/>
    <w:rsid w:val="005E0FB8"/>
  </w:style>
  <w:style w:type="character" w:customStyle="1" w:styleId="apple-style-span">
    <w:name w:val="apple-style-span"/>
    <w:rsid w:val="005E0FB8"/>
  </w:style>
  <w:style w:type="paragraph" w:styleId="NormalWeb">
    <w:name w:val="Normal (Web)"/>
    <w:basedOn w:val="Normal"/>
    <w:uiPriority w:val="99"/>
    <w:unhideWhenUsed/>
    <w:rsid w:val="005E0FB8"/>
    <w:pPr>
      <w:spacing w:before="100" w:beforeAutospacing="1" w:after="100" w:afterAutospacing="1" w:line="240" w:lineRule="auto"/>
      <w:ind w:firstLine="0"/>
    </w:pPr>
    <w:rPr>
      <w:rFonts w:eastAsia="Times New Roman"/>
      <w:szCs w:val="24"/>
      <w:lang w:val="it-IT" w:eastAsia="it-IT"/>
    </w:rPr>
  </w:style>
  <w:style w:type="character" w:customStyle="1" w:styleId="Heading4Char">
    <w:name w:val="Heading 4 Char"/>
    <w:link w:val="Heading4"/>
    <w:rsid w:val="000133D1"/>
    <w:rPr>
      <w:rFonts w:ascii="Times New Roman" w:eastAsia="Cambria" w:hAnsi="Times New Roman"/>
      <w:b/>
      <w:bCs/>
      <w:sz w:val="28"/>
      <w:szCs w:val="28"/>
    </w:rPr>
  </w:style>
  <w:style w:type="paragraph" w:customStyle="1" w:styleId="Appheading">
    <w:name w:val="Appheading"/>
    <w:basedOn w:val="Normal"/>
    <w:rsid w:val="00273386"/>
    <w:pPr>
      <w:spacing w:before="200" w:after="60" w:line="240" w:lineRule="auto"/>
      <w:ind w:firstLine="0"/>
    </w:pPr>
    <w:rPr>
      <w:rFonts w:eastAsia="Cambria"/>
      <w:szCs w:val="24"/>
      <w:u w:val="single"/>
    </w:rPr>
  </w:style>
  <w:style w:type="paragraph" w:customStyle="1" w:styleId="TableNotes">
    <w:name w:val="Table Notes"/>
    <w:rsid w:val="004164D5"/>
    <w:pPr>
      <w:spacing w:before="120" w:line="180" w:lineRule="atLeast"/>
      <w:ind w:right="720"/>
      <w:jc w:val="both"/>
    </w:pPr>
    <w:rPr>
      <w:rFonts w:ascii="Times New Roman" w:eastAsia="Calisto MT" w:hAnsi="Times New Roman" w:cs="TimesLTStd-Roman"/>
      <w:color w:val="000000"/>
      <w:sz w:val="16"/>
      <w:szCs w:val="16"/>
    </w:rPr>
  </w:style>
  <w:style w:type="paragraph" w:customStyle="1" w:styleId="FigureTitle">
    <w:name w:val="Figure Title"/>
    <w:next w:val="Normal"/>
    <w:rsid w:val="004C11A5"/>
    <w:pPr>
      <w:keepLines/>
      <w:suppressAutoHyphens/>
      <w:spacing w:after="80" w:line="180" w:lineRule="atLeast"/>
      <w:jc w:val="center"/>
    </w:pPr>
    <w:rPr>
      <w:rFonts w:ascii="Times New Roman" w:eastAsia="Calisto MT" w:hAnsi="Times New Roman" w:cs="TimesLTStd-Roman"/>
      <w:smallCaps/>
      <w:color w:val="000000"/>
      <w:spacing w:val="-1"/>
      <w:sz w:val="16"/>
      <w:szCs w:val="16"/>
    </w:rPr>
  </w:style>
  <w:style w:type="paragraph" w:customStyle="1" w:styleId="References">
    <w:name w:val="References"/>
    <w:basedOn w:val="Normal"/>
    <w:rsid w:val="007B2072"/>
    <w:pPr>
      <w:widowControl w:val="0"/>
      <w:autoSpaceDE w:val="0"/>
      <w:autoSpaceDN w:val="0"/>
      <w:adjustRightInd w:val="0"/>
      <w:spacing w:after="0" w:line="360" w:lineRule="auto"/>
      <w:ind w:left="202" w:hanging="202"/>
      <w:jc w:val="both"/>
      <w:textAlignment w:val="center"/>
    </w:pPr>
    <w:rPr>
      <w:rFonts w:eastAsia="Calisto MT" w:cs="TimesLTStd-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360"/>
    </w:pPr>
    <w:rPr>
      <w:rFonts w:ascii="Times New Roman" w:hAnsi="Times New Roman"/>
      <w:sz w:val="24"/>
      <w:szCs w:val="22"/>
    </w:rPr>
  </w:style>
  <w:style w:type="paragraph" w:styleId="Heading1">
    <w:name w:val="heading 1"/>
    <w:basedOn w:val="Heading3"/>
    <w:next w:val="Normal"/>
    <w:qFormat/>
    <w:pPr>
      <w:outlineLvl w:val="0"/>
    </w:pPr>
  </w:style>
  <w:style w:type="paragraph" w:styleId="Heading2">
    <w:name w:val="heading 2"/>
    <w:aliases w:val="Appendix"/>
    <w:basedOn w:val="Normal"/>
    <w:autoRedefine/>
    <w:uiPriority w:val="9"/>
    <w:qFormat/>
    <w:rsid w:val="004E0E55"/>
    <w:pPr>
      <w:spacing w:after="0" w:line="240" w:lineRule="auto"/>
      <w:ind w:firstLine="0"/>
      <w:jc w:val="both"/>
      <w:outlineLvl w:val="1"/>
    </w:pPr>
    <w:rPr>
      <w:i/>
      <w:sz w:val="20"/>
      <w:szCs w:val="20"/>
    </w:rPr>
  </w:style>
  <w:style w:type="paragraph" w:styleId="Heading3">
    <w:name w:val="heading 3"/>
    <w:basedOn w:val="Normal"/>
    <w:next w:val="Normal"/>
    <w:qFormat/>
    <w:pPr>
      <w:keepNext/>
      <w:spacing w:before="240" w:after="60" w:line="240" w:lineRule="auto"/>
      <w:ind w:firstLine="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133D1"/>
    <w:pPr>
      <w:keepNext/>
      <w:spacing w:before="240" w:after="60" w:line="240" w:lineRule="auto"/>
      <w:ind w:firstLine="0"/>
      <w:outlineLvl w:val="3"/>
    </w:pPr>
    <w:rPr>
      <w:rFonts w:eastAsia="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6"/>
      <w:szCs w:val="26"/>
    </w:rPr>
  </w:style>
  <w:style w:type="character" w:customStyle="1" w:styleId="Heading2Char">
    <w:name w:val="Heading 2 Char"/>
    <w:aliases w:val="Appendix Char"/>
    <w:uiPriority w:val="9"/>
    <w:rPr>
      <w:rFonts w:ascii="Times New Roman" w:hAnsi="Times New Roman"/>
      <w:sz w:val="24"/>
      <w:szCs w:val="22"/>
    </w:rPr>
  </w:style>
  <w:style w:type="character" w:customStyle="1" w:styleId="Heading3Char">
    <w:name w:val="Heading 3 Char"/>
    <w:rPr>
      <w:rFonts w:ascii="Arial" w:eastAsia="Times New Roman" w:hAnsi="Arial" w:cs="Arial"/>
      <w:b/>
      <w:bCs/>
      <w:sz w:val="26"/>
      <w:szCs w:val="26"/>
    </w:rPr>
  </w:style>
  <w:style w:type="paragraph" w:styleId="FootnoteText">
    <w:name w:val="footnote text"/>
    <w:aliases w:val="Note de bas de page Car Car Car,Note de bas de page Car Car Car Car Car Car,Note de bas de page Car Car Car Car Car"/>
    <w:basedOn w:val="Normal"/>
    <w:unhideWhenUsed/>
    <w:pPr>
      <w:spacing w:after="0" w:line="240" w:lineRule="auto"/>
    </w:pPr>
    <w:rPr>
      <w:sz w:val="20"/>
      <w:szCs w:val="20"/>
    </w:rPr>
  </w:style>
  <w:style w:type="character" w:customStyle="1" w:styleId="FootnoteTextChar">
    <w:name w:val="Footnote Text Char"/>
    <w:rPr>
      <w:rFonts w:ascii="Times New Roman" w:eastAsia="Calibri" w:hAnsi="Times New Roman" w:cs="Times New Roman"/>
      <w:sz w:val="20"/>
      <w:szCs w:val="20"/>
    </w:rPr>
  </w:style>
  <w:style w:type="character" w:styleId="FootnoteReference">
    <w:name w:val="footnote reference"/>
    <w:unhideWhenUsed/>
    <w:rPr>
      <w:vertAlign w:val="superscript"/>
    </w:rPr>
  </w:style>
  <w:style w:type="paragraph" w:customStyle="1" w:styleId="NoSpacing1">
    <w:name w:val="No Spacing1"/>
    <w:aliases w:val="Numbered"/>
    <w:basedOn w:val="Normal"/>
    <w:qFormat/>
    <w:pPr>
      <w:numPr>
        <w:numId w:val="1"/>
      </w:numPr>
      <w:spacing w:before="120" w:after="120" w:line="240" w:lineRule="auto"/>
    </w:pPr>
  </w:style>
  <w:style w:type="paragraph" w:customStyle="1" w:styleId="OrdinaryParagraph">
    <w:name w:val="Ordinary Paragraph"/>
    <w:basedOn w:val="Normal"/>
    <w:pPr>
      <w:spacing w:before="120" w:after="120" w:line="240" w:lineRule="auto"/>
      <w:ind w:firstLine="288"/>
    </w:pPr>
    <w:rPr>
      <w:rFonts w:eastAsia="Times New Roman"/>
      <w:szCs w:val="20"/>
    </w:rPr>
  </w:style>
  <w:style w:type="paragraph" w:styleId="Header">
    <w:name w:val="header"/>
    <w:basedOn w:val="Normal"/>
    <w:uiPriority w:val="99"/>
    <w:unhideWhenUsed/>
    <w:pPr>
      <w:tabs>
        <w:tab w:val="center" w:pos="4680"/>
        <w:tab w:val="right" w:pos="9360"/>
      </w:tabs>
      <w:spacing w:before="120" w:after="120" w:line="240" w:lineRule="auto"/>
    </w:pPr>
  </w:style>
  <w:style w:type="character" w:customStyle="1" w:styleId="HeaderChar">
    <w:name w:val="Header Char"/>
    <w:uiPriority w:val="99"/>
    <w:rPr>
      <w:rFonts w:ascii="Times New Roman" w:eastAsia="Calibri" w:hAnsi="Times New Roman" w:cs="Times New Roman"/>
      <w:sz w:val="24"/>
    </w:rPr>
  </w:style>
  <w:style w:type="paragraph" w:styleId="Footer">
    <w:name w:val="footer"/>
    <w:basedOn w:val="Normal"/>
    <w:uiPriority w:val="99"/>
    <w:unhideWhenUsed/>
    <w:pPr>
      <w:tabs>
        <w:tab w:val="center" w:pos="4680"/>
        <w:tab w:val="right" w:pos="9360"/>
      </w:tabs>
      <w:spacing w:before="120" w:after="120" w:line="240" w:lineRule="auto"/>
    </w:pPr>
  </w:style>
  <w:style w:type="character" w:customStyle="1" w:styleId="FooterChar">
    <w:name w:val="Footer Char"/>
    <w:uiPriority w:val="99"/>
    <w:rPr>
      <w:rFonts w:ascii="Times New Roman" w:eastAsia="Calibri" w:hAnsi="Times New Roman" w:cs="Times New Roman"/>
      <w:sz w:val="24"/>
    </w:rPr>
  </w:style>
  <w:style w:type="paragraph" w:customStyle="1" w:styleId="JEHarticletext">
    <w:name w:val="JEH article text"/>
    <w:basedOn w:val="Normal"/>
    <w:pPr>
      <w:tabs>
        <w:tab w:val="left" w:pos="240"/>
        <w:tab w:val="center" w:pos="3480"/>
        <w:tab w:val="right" w:pos="6960"/>
      </w:tabs>
      <w:spacing w:after="0" w:line="240" w:lineRule="auto"/>
      <w:ind w:firstLine="0"/>
      <w:jc w:val="both"/>
    </w:pPr>
    <w:rPr>
      <w:rFonts w:eastAsia="Times New Roman"/>
      <w:szCs w:val="24"/>
    </w:rPr>
  </w:style>
  <w:style w:type="paragraph" w:customStyle="1" w:styleId="BlockQuoation">
    <w:name w:val="Block Quoation"/>
    <w:basedOn w:val="Normal"/>
    <w:autoRedefine/>
    <w:pPr>
      <w:spacing w:after="120"/>
      <w:ind w:left="720" w:right="720" w:firstLine="0"/>
    </w:pPr>
    <w:rPr>
      <w:rFonts w:eastAsia="Times New Roman"/>
      <w:szCs w:val="24"/>
    </w:rPr>
  </w:style>
  <w:style w:type="paragraph" w:styleId="BalloonText">
    <w:name w:val="Balloon Text"/>
    <w:basedOn w:val="Normal"/>
    <w:uiPriority w:val="99"/>
    <w:semiHidden/>
    <w:pPr>
      <w:spacing w:after="0" w:line="240" w:lineRule="auto"/>
      <w:ind w:firstLine="0"/>
    </w:pPr>
    <w:rPr>
      <w:rFonts w:ascii="Tahoma" w:eastAsia="Times New Roman" w:hAnsi="Tahoma" w:cs="Tahoma"/>
      <w:sz w:val="16"/>
      <w:szCs w:val="16"/>
    </w:rPr>
  </w:style>
  <w:style w:type="character" w:customStyle="1" w:styleId="BalloonTextChar">
    <w:name w:val="Balloon Text Char"/>
    <w:uiPriority w:val="99"/>
    <w:semiHidden/>
    <w:rPr>
      <w:rFonts w:ascii="Tahoma" w:eastAsia="Times New Roman" w:hAnsi="Tahoma" w:cs="Tahoma"/>
      <w:sz w:val="16"/>
      <w:szCs w:val="16"/>
    </w:rPr>
  </w:style>
  <w:style w:type="character" w:styleId="FollowedHyperlink">
    <w:name w:val="FollowedHyperlink"/>
    <w:unhideWhenUsed/>
    <w:rPr>
      <w:color w:val="800080"/>
      <w:u w:val="single"/>
    </w:rPr>
  </w:style>
  <w:style w:type="character" w:styleId="PageNumber">
    <w:name w:val="page number"/>
    <w:basedOn w:val="DefaultParagraphFont"/>
    <w:uiPriority w:val="99"/>
    <w:semiHidden/>
  </w:style>
  <w:style w:type="paragraph" w:customStyle="1" w:styleId="Default">
    <w:name w:val="Default"/>
    <w:rsid w:val="00916FE3"/>
    <w:pPr>
      <w:autoSpaceDE w:val="0"/>
      <w:autoSpaceDN w:val="0"/>
      <w:adjustRightInd w:val="0"/>
    </w:pPr>
    <w:rPr>
      <w:rFonts w:ascii="Times New Roman" w:hAnsi="Times New Roman"/>
      <w:color w:val="000000"/>
      <w:sz w:val="24"/>
      <w:szCs w:val="24"/>
    </w:rPr>
  </w:style>
  <w:style w:type="character" w:customStyle="1" w:styleId="CommentTextChar">
    <w:name w:val="Comment Text Char"/>
    <w:link w:val="CommentText"/>
    <w:semiHidden/>
    <w:rsid w:val="000B3CCE"/>
    <w:rPr>
      <w:rFonts w:eastAsia="Times New Roman" w:cs="Calibri"/>
    </w:rPr>
  </w:style>
  <w:style w:type="paragraph" w:styleId="CommentText">
    <w:name w:val="annotation text"/>
    <w:basedOn w:val="Normal"/>
    <w:link w:val="CommentTextChar"/>
    <w:semiHidden/>
    <w:unhideWhenUsed/>
    <w:rsid w:val="000B3CCE"/>
    <w:pPr>
      <w:widowControl w:val="0"/>
      <w:autoSpaceDE w:val="0"/>
      <w:autoSpaceDN w:val="0"/>
      <w:adjustRightInd w:val="0"/>
      <w:spacing w:after="0" w:line="240" w:lineRule="auto"/>
      <w:ind w:firstLine="0"/>
    </w:pPr>
    <w:rPr>
      <w:rFonts w:ascii="Calibri" w:eastAsia="Times New Roman" w:hAnsi="Calibri" w:cs="Calibri"/>
      <w:sz w:val="20"/>
      <w:szCs w:val="20"/>
    </w:rPr>
  </w:style>
  <w:style w:type="character" w:customStyle="1" w:styleId="CommentSubjectChar">
    <w:name w:val="Comment Subject Char"/>
    <w:link w:val="CommentSubject"/>
    <w:semiHidden/>
    <w:rsid w:val="000B3CCE"/>
    <w:rPr>
      <w:rFonts w:eastAsia="Times New Roman" w:cs="Calibri"/>
      <w:b/>
      <w:bCs/>
    </w:rPr>
  </w:style>
  <w:style w:type="paragraph" w:styleId="CommentSubject">
    <w:name w:val="annotation subject"/>
    <w:basedOn w:val="CommentText"/>
    <w:next w:val="CommentText"/>
    <w:link w:val="CommentSubjectChar"/>
    <w:semiHidden/>
    <w:unhideWhenUsed/>
    <w:rsid w:val="000B3CCE"/>
    <w:rPr>
      <w:b/>
      <w:bCs/>
    </w:rPr>
  </w:style>
  <w:style w:type="character" w:customStyle="1" w:styleId="def">
    <w:name w:val="def"/>
    <w:rsid w:val="005E0FB8"/>
  </w:style>
  <w:style w:type="character" w:styleId="Hyperlink">
    <w:name w:val="Hyperlink"/>
    <w:uiPriority w:val="99"/>
    <w:unhideWhenUsed/>
    <w:rsid w:val="005E0FB8"/>
    <w:rPr>
      <w:color w:val="0000FF"/>
      <w:u w:val="single"/>
    </w:rPr>
  </w:style>
  <w:style w:type="paragraph" w:styleId="Subtitle">
    <w:name w:val="Subtitle"/>
    <w:basedOn w:val="Normal"/>
    <w:link w:val="SubtitleChar"/>
    <w:qFormat/>
    <w:rsid w:val="005E0FB8"/>
    <w:pPr>
      <w:spacing w:after="0" w:line="240" w:lineRule="auto"/>
      <w:ind w:firstLine="0"/>
      <w:jc w:val="center"/>
    </w:pPr>
    <w:rPr>
      <w:rFonts w:ascii="Book Antiqua" w:eastAsia="Times New Roman" w:hAnsi="Book Antiqua"/>
      <w:i/>
      <w:iCs/>
      <w:sz w:val="20"/>
      <w:szCs w:val="24"/>
      <w:lang w:val="en-GB" w:eastAsia="es-ES"/>
    </w:rPr>
  </w:style>
  <w:style w:type="character" w:customStyle="1" w:styleId="SubtitleChar">
    <w:name w:val="Subtitle Char"/>
    <w:link w:val="Subtitle"/>
    <w:rsid w:val="005E0FB8"/>
    <w:rPr>
      <w:rFonts w:ascii="Book Antiqua" w:eastAsia="Times New Roman" w:hAnsi="Book Antiqua"/>
      <w:i/>
      <w:iCs/>
      <w:szCs w:val="24"/>
      <w:lang w:val="en-GB" w:eastAsia="es-ES"/>
    </w:rPr>
  </w:style>
  <w:style w:type="table" w:styleId="TableGrid">
    <w:name w:val="Table Grid"/>
    <w:basedOn w:val="TableNormal"/>
    <w:uiPriority w:val="59"/>
    <w:rsid w:val="005E0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semiHidden/>
    <w:rsid w:val="005E0FB8"/>
    <w:rPr>
      <w:rFonts w:ascii="Consolas" w:hAnsi="Consolas"/>
      <w:sz w:val="21"/>
      <w:szCs w:val="21"/>
      <w:lang w:val="it-IT"/>
    </w:rPr>
  </w:style>
  <w:style w:type="paragraph" w:styleId="PlainText">
    <w:name w:val="Plain Text"/>
    <w:basedOn w:val="Normal"/>
    <w:link w:val="PlainTextChar"/>
    <w:uiPriority w:val="99"/>
    <w:semiHidden/>
    <w:unhideWhenUsed/>
    <w:rsid w:val="005E0FB8"/>
    <w:pPr>
      <w:spacing w:after="0" w:line="240" w:lineRule="auto"/>
      <w:ind w:firstLine="0"/>
    </w:pPr>
    <w:rPr>
      <w:rFonts w:ascii="Consolas" w:hAnsi="Consolas"/>
      <w:sz w:val="21"/>
      <w:szCs w:val="21"/>
      <w:lang w:val="it-IT"/>
    </w:rPr>
  </w:style>
  <w:style w:type="character" w:customStyle="1" w:styleId="PlainTextChar1">
    <w:name w:val="Plain Text Char1"/>
    <w:uiPriority w:val="99"/>
    <w:semiHidden/>
    <w:rsid w:val="005E0FB8"/>
    <w:rPr>
      <w:rFonts w:ascii="Courier New" w:hAnsi="Courier New" w:cs="Courier New"/>
    </w:rPr>
  </w:style>
  <w:style w:type="character" w:styleId="Strong">
    <w:name w:val="Strong"/>
    <w:uiPriority w:val="99"/>
    <w:qFormat/>
    <w:rsid w:val="005E0FB8"/>
    <w:rPr>
      <w:b/>
      <w:bCs/>
    </w:rPr>
  </w:style>
  <w:style w:type="character" w:customStyle="1" w:styleId="apple-converted-space">
    <w:name w:val="apple-converted-space"/>
    <w:rsid w:val="005E0FB8"/>
  </w:style>
  <w:style w:type="character" w:customStyle="1" w:styleId="apple-style-span">
    <w:name w:val="apple-style-span"/>
    <w:rsid w:val="005E0FB8"/>
  </w:style>
  <w:style w:type="paragraph" w:styleId="NormalWeb">
    <w:name w:val="Normal (Web)"/>
    <w:basedOn w:val="Normal"/>
    <w:uiPriority w:val="99"/>
    <w:unhideWhenUsed/>
    <w:rsid w:val="005E0FB8"/>
    <w:pPr>
      <w:spacing w:before="100" w:beforeAutospacing="1" w:after="100" w:afterAutospacing="1" w:line="240" w:lineRule="auto"/>
      <w:ind w:firstLine="0"/>
    </w:pPr>
    <w:rPr>
      <w:rFonts w:eastAsia="Times New Roman"/>
      <w:szCs w:val="24"/>
      <w:lang w:val="it-IT" w:eastAsia="it-IT"/>
    </w:rPr>
  </w:style>
  <w:style w:type="character" w:customStyle="1" w:styleId="Heading4Char">
    <w:name w:val="Heading 4 Char"/>
    <w:link w:val="Heading4"/>
    <w:rsid w:val="000133D1"/>
    <w:rPr>
      <w:rFonts w:ascii="Times New Roman" w:eastAsia="Cambria" w:hAnsi="Times New Roman"/>
      <w:b/>
      <w:bCs/>
      <w:sz w:val="28"/>
      <w:szCs w:val="28"/>
    </w:rPr>
  </w:style>
  <w:style w:type="paragraph" w:customStyle="1" w:styleId="Appheading">
    <w:name w:val="Appheading"/>
    <w:basedOn w:val="Normal"/>
    <w:rsid w:val="00273386"/>
    <w:pPr>
      <w:spacing w:before="200" w:after="60" w:line="240" w:lineRule="auto"/>
      <w:ind w:firstLine="0"/>
    </w:pPr>
    <w:rPr>
      <w:rFonts w:eastAsia="Cambria"/>
      <w:szCs w:val="24"/>
      <w:u w:val="single"/>
    </w:rPr>
  </w:style>
  <w:style w:type="paragraph" w:customStyle="1" w:styleId="TableNotes">
    <w:name w:val="Table Notes"/>
    <w:rsid w:val="004164D5"/>
    <w:pPr>
      <w:spacing w:before="120" w:line="180" w:lineRule="atLeast"/>
      <w:ind w:right="720"/>
      <w:jc w:val="both"/>
    </w:pPr>
    <w:rPr>
      <w:rFonts w:ascii="Times New Roman" w:eastAsia="Calisto MT" w:hAnsi="Times New Roman" w:cs="TimesLTStd-Roman"/>
      <w:color w:val="000000"/>
      <w:sz w:val="16"/>
      <w:szCs w:val="16"/>
    </w:rPr>
  </w:style>
  <w:style w:type="paragraph" w:customStyle="1" w:styleId="FigureTitle">
    <w:name w:val="Figure Title"/>
    <w:next w:val="Normal"/>
    <w:rsid w:val="004C11A5"/>
    <w:pPr>
      <w:keepLines/>
      <w:suppressAutoHyphens/>
      <w:spacing w:after="80" w:line="180" w:lineRule="atLeast"/>
      <w:jc w:val="center"/>
    </w:pPr>
    <w:rPr>
      <w:rFonts w:ascii="Times New Roman" w:eastAsia="Calisto MT" w:hAnsi="Times New Roman" w:cs="TimesLTStd-Roman"/>
      <w:smallCaps/>
      <w:color w:val="000000"/>
      <w:spacing w:val="-1"/>
      <w:sz w:val="16"/>
      <w:szCs w:val="16"/>
    </w:rPr>
  </w:style>
  <w:style w:type="paragraph" w:customStyle="1" w:styleId="References">
    <w:name w:val="References"/>
    <w:basedOn w:val="Normal"/>
    <w:rsid w:val="007B2072"/>
    <w:pPr>
      <w:widowControl w:val="0"/>
      <w:autoSpaceDE w:val="0"/>
      <w:autoSpaceDN w:val="0"/>
      <w:adjustRightInd w:val="0"/>
      <w:spacing w:after="0" w:line="360" w:lineRule="auto"/>
      <w:ind w:left="202" w:hanging="202"/>
      <w:jc w:val="both"/>
      <w:textAlignment w:val="center"/>
    </w:pPr>
    <w:rPr>
      <w:rFonts w:eastAsia="Calisto MT" w:cs="TimesLTStd-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1756">
      <w:bodyDiv w:val="1"/>
      <w:marLeft w:val="0"/>
      <w:marRight w:val="0"/>
      <w:marTop w:val="0"/>
      <w:marBottom w:val="0"/>
      <w:divBdr>
        <w:top w:val="none" w:sz="0" w:space="0" w:color="auto"/>
        <w:left w:val="none" w:sz="0" w:space="0" w:color="auto"/>
        <w:bottom w:val="none" w:sz="0" w:space="0" w:color="auto"/>
        <w:right w:val="none" w:sz="0" w:space="0" w:color="auto"/>
      </w:divBdr>
    </w:div>
    <w:div w:id="1206676364">
      <w:bodyDiv w:val="1"/>
      <w:marLeft w:val="0"/>
      <w:marRight w:val="0"/>
      <w:marTop w:val="0"/>
      <w:marBottom w:val="0"/>
      <w:divBdr>
        <w:top w:val="none" w:sz="0" w:space="0" w:color="auto"/>
        <w:left w:val="none" w:sz="0" w:space="0" w:color="auto"/>
        <w:bottom w:val="none" w:sz="0" w:space="0" w:color="auto"/>
        <w:right w:val="none" w:sz="0" w:space="0" w:color="auto"/>
      </w:divBdr>
    </w:div>
    <w:div w:id="18055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33BCC1-63E2-443D-835B-DA58367A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Corruption, Quasi-Rents, and the Regulation of Electric Utilities</vt:lpstr>
    </vt:vector>
  </TitlesOfParts>
  <Company>UNCG</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Quasi-Rents, and the Regulation of Electric Utilities</dc:title>
  <dc:creator>jlneufeld</dc:creator>
  <cp:lastModifiedBy>Sabrina C. Boschetti</cp:lastModifiedBy>
  <cp:revision>2</cp:revision>
  <cp:lastPrinted>2013-03-08T22:06:00Z</cp:lastPrinted>
  <dcterms:created xsi:type="dcterms:W3CDTF">2013-09-18T18:15:00Z</dcterms:created>
  <dcterms:modified xsi:type="dcterms:W3CDTF">2013-09-18T18:15:00Z</dcterms:modified>
</cp:coreProperties>
</file>