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0" w:lineRule="atLeast"/>
        <w:ind w:left="-360" w:leftChars="0" w:right="0" w:rightChars="0" w:firstLine="241" w:firstLineChars="100"/>
        <w:rPr>
          <w:rFonts w:hint="eastAsia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Table S1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The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GPS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coordinates of the six </w:t>
      </w:r>
      <w:bookmarkStart w:id="0" w:name="OLE_LINK1"/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sampling locations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690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GB"/>
              </w:rPr>
              <w:t>sampling locations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GPS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coordinates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Tai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’</w:t>
            </w:r>
            <w:bookmarkStart w:id="3" w:name="_GoBack"/>
            <w:bookmarkEnd w:id="3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an, Shandong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116°20′</w:t>
            </w:r>
            <w:r>
              <w:rPr>
                <w:rFonts w:hint="eastAsia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117</w:t>
            </w:r>
            <w:bookmarkStart w:id="1" w:name="OLE_LINK3"/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bookmarkEnd w:id="1"/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59′</w:t>
            </w:r>
            <w:r>
              <w:rPr>
                <w:rFonts w:hint="eastAsia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, N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35°38′</w:t>
            </w:r>
            <w:r>
              <w:rPr>
                <w:rFonts w:hint="eastAsia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36°28′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Linyi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, Shandong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117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Weifang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, Shandong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20.01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Laiwu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, Shandong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17.58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Rizhao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, </w:t>
            </w:r>
            <w:bookmarkStart w:id="2" w:name="OLE_LINK2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Shandong</w:t>
            </w:r>
            <w:bookmarkEnd w:id="2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19.39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04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04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Qingdao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, Shandong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21.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′</w:t>
            </w:r>
          </w:p>
        </w:tc>
      </w:tr>
    </w:tbl>
    <w:p>
      <w:pPr>
        <w:spacing w:after="160" w:line="48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>
      <w:pPr>
        <w:spacing w:after="160" w:line="480" w:lineRule="auto"/>
        <w:ind w:firstLine="480" w:firstLineChars="20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/>
    <w:p/>
    <w:sectPr>
      <w:pgSz w:w="11906" w:h="16838"/>
      <w:pgMar w:top="986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200B"/>
    <w:rsid w:val="1CE04763"/>
    <w:rsid w:val="289A68A1"/>
    <w:rsid w:val="358B3CC3"/>
    <w:rsid w:val="44EF5DC7"/>
    <w:rsid w:val="493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2020-03-26T13:44:00Z</dcterms:created>
  <dc:creator>披风</dc:creator>
  <cp:lastModifiedBy>披风</cp:lastModifiedBy>
  <dcterms:modified xsi:type="dcterms:W3CDTF">2020-03-27T08:34:19Z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