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498" w:rsidRPr="00F74498" w:rsidRDefault="00F74498" w:rsidP="00F74498">
      <w:pPr>
        <w:keepNext/>
        <w:keepLines/>
        <w:suppressAutoHyphens/>
        <w:spacing w:after="0" w:line="480" w:lineRule="auto"/>
        <w:jc w:val="both"/>
        <w:textAlignment w:val="baseline"/>
        <w:outlineLvl w:val="1"/>
        <w:rPr>
          <w:rFonts w:ascii="Times New Roman" w:eastAsia="SimSun" w:hAnsi="Times New Roman" w:cs="Arial"/>
          <w:b/>
          <w:color w:val="538135"/>
          <w:kern w:val="2"/>
          <w:sz w:val="24"/>
          <w:szCs w:val="26"/>
        </w:rPr>
      </w:pPr>
      <w:r w:rsidRPr="00F74498">
        <w:rPr>
          <w:rFonts w:ascii="Times New Roman" w:eastAsia="SimSun" w:hAnsi="Times New Roman" w:cs="Arial"/>
          <w:b/>
          <w:color w:val="538135"/>
          <w:kern w:val="2"/>
          <w:sz w:val="24"/>
          <w:szCs w:val="26"/>
        </w:rPr>
        <w:t>Supplementary material</w:t>
      </w:r>
    </w:p>
    <w:p w:rsidR="00F74498" w:rsidRPr="00F74498" w:rsidRDefault="00F74498" w:rsidP="00F74498">
      <w:pPr>
        <w:suppressAutoHyphens/>
        <w:spacing w:after="0" w:line="480" w:lineRule="auto"/>
        <w:jc w:val="both"/>
        <w:textAlignment w:val="baseline"/>
        <w:rPr>
          <w:rFonts w:ascii="Times New Roman" w:eastAsia="SimSun" w:hAnsi="Times New Roman" w:cs="Arial"/>
          <w:color w:val="000000"/>
          <w:kern w:val="2"/>
          <w:sz w:val="24"/>
        </w:rPr>
      </w:pPr>
      <w:r w:rsidRPr="00F74498">
        <w:rPr>
          <w:rFonts w:ascii="Times New Roman" w:eastAsia="SimSun" w:hAnsi="Times New Roman" w:cs="Arial"/>
          <w:b/>
          <w:noProof/>
          <w:color w:val="000000"/>
          <w:kern w:val="2"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75A17A2B" wp14:editId="4ED8BC1B">
            <wp:simplePos x="0" y="0"/>
            <wp:positionH relativeFrom="column">
              <wp:posOffset>884555</wp:posOffset>
            </wp:positionH>
            <wp:positionV relativeFrom="paragraph">
              <wp:posOffset>83820</wp:posOffset>
            </wp:positionV>
            <wp:extent cx="3704590" cy="3145155"/>
            <wp:effectExtent l="0" t="0" r="0" b="0"/>
            <wp:wrapSquare wrapText="bothSides"/>
            <wp:docPr id="12" name="Imagen 16" descr="C:\Users\Usuari\OneDrive\Ibañez_2018\Figures_def\ternary_plot.ti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C:\Users\Usuari\OneDrive\Ibañez_2018\Figures_def\ternary_plot.tiff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5" b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498" w:rsidRPr="00F74498" w:rsidRDefault="00F74498" w:rsidP="00F74498">
      <w:pPr>
        <w:suppressAutoHyphens/>
        <w:spacing w:after="0" w:line="480" w:lineRule="auto"/>
        <w:jc w:val="center"/>
        <w:textAlignment w:val="baseline"/>
        <w:rPr>
          <w:rFonts w:ascii="Times New Roman" w:eastAsia="SimSun" w:hAnsi="Times New Roman" w:cs="Arial"/>
          <w:b/>
          <w:color w:val="000000"/>
          <w:kern w:val="2"/>
          <w:sz w:val="24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  <w:bookmarkStart w:id="0" w:name="_Ref17132416"/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b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widowControl w:val="0"/>
        <w:spacing w:after="0" w:line="480" w:lineRule="auto"/>
        <w:jc w:val="both"/>
        <w:rPr>
          <w:rFonts w:ascii="Arial" w:eastAsia="SimSun" w:hAnsi="Arial" w:cs="Tahoma"/>
          <w:bCs/>
          <w:i/>
          <w:kern w:val="2"/>
          <w:szCs w:val="18"/>
        </w:rPr>
      </w:pPr>
      <w:bookmarkStart w:id="1" w:name="_Ref19202176"/>
      <w:bookmarkStart w:id="2" w:name="_Toc19009401"/>
      <w:bookmarkStart w:id="3" w:name="_Ref17394510"/>
      <w:bookmarkEnd w:id="0"/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t>Fig. S</w:t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fldChar w:fldCharType="begin"/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instrText xml:space="preserve"> SEQ Figure_S \* ARABIC </w:instrText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fldChar w:fldCharType="separate"/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t>1</w:t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fldChar w:fldCharType="end"/>
      </w:r>
      <w:bookmarkEnd w:id="1"/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t>.</w:t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18"/>
        </w:rPr>
        <w:t xml:space="preserve"> </w:t>
      </w:r>
      <w:bookmarkEnd w:id="2"/>
      <w:bookmarkEnd w:id="3"/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t xml:space="preserve">Plant functional type (PFT) dominance groups </w:t>
      </w:r>
      <w:r w:rsidRPr="00F74498">
        <w:rPr>
          <w:rFonts w:ascii="Times New Roman" w:eastAsia="SimSun" w:hAnsi="Times New Roman" w:cs="Times New Roman"/>
          <w:bCs/>
          <w:color w:val="545454"/>
          <w:kern w:val="2"/>
          <w:sz w:val="24"/>
          <w:szCs w:val="24"/>
          <w:shd w:val="clear" w:color="auto" w:fill="FFFFFF"/>
        </w:rPr>
        <w:t xml:space="preserve">— </w:t>
      </w:r>
      <w:r w:rsidRPr="00F74498">
        <w:rPr>
          <w:rFonts w:ascii="Times New Roman" w:eastAsia="SimSun" w:hAnsi="Times New Roman" w:cs="Times New Roman"/>
          <w:bCs/>
          <w:color w:val="000000"/>
          <w:kern w:val="2"/>
          <w:sz w:val="24"/>
          <w:szCs w:val="24"/>
        </w:rPr>
        <w:t>forbs dominated (F</w:t>
      </w:r>
      <w:r w:rsidRPr="00F74498">
        <w:rPr>
          <w:rFonts w:ascii="Times New Roman" w:eastAsia="SimSun" w:hAnsi="Times New Roman" w:cs="Times New Roman"/>
          <w:bCs/>
          <w:color w:val="000000"/>
          <w:kern w:val="2"/>
          <w:sz w:val="24"/>
          <w:szCs w:val="24"/>
        </w:rPr>
        <w:noBreakHyphen/>
        <w:t>dominated), grasses dominated (G</w:t>
      </w:r>
      <w:r w:rsidRPr="00F74498">
        <w:rPr>
          <w:rFonts w:ascii="Times New Roman" w:eastAsia="SimSun" w:hAnsi="Times New Roman" w:cs="Times New Roman"/>
          <w:bCs/>
          <w:color w:val="000000"/>
          <w:kern w:val="2"/>
          <w:sz w:val="24"/>
          <w:szCs w:val="24"/>
        </w:rPr>
        <w:noBreakHyphen/>
        <w:t>dominated), and legumes dominated (L</w:t>
      </w:r>
      <w:r w:rsidRPr="00F74498">
        <w:rPr>
          <w:rFonts w:ascii="Times New Roman" w:eastAsia="SimSun" w:hAnsi="Times New Roman" w:cs="Times New Roman"/>
          <w:bCs/>
          <w:color w:val="000000"/>
          <w:kern w:val="2"/>
          <w:sz w:val="24"/>
          <w:szCs w:val="24"/>
        </w:rPr>
        <w:noBreakHyphen/>
        <w:t xml:space="preserve">dominated) </w:t>
      </w:r>
      <w:r w:rsidRPr="00F74498">
        <w:rPr>
          <w:rFonts w:ascii="Times New Roman" w:eastAsia="SimSun" w:hAnsi="Times New Roman" w:cs="Times New Roman"/>
          <w:bCs/>
          <w:color w:val="545454"/>
          <w:kern w:val="2"/>
          <w:sz w:val="24"/>
          <w:szCs w:val="24"/>
          <w:shd w:val="clear" w:color="auto" w:fill="FFFFFF"/>
        </w:rPr>
        <w:t xml:space="preserve">— </w:t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t xml:space="preserve">after clustering (Ward’s method), based in the proportion of each PFT and the evenness index </w:t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fldChar w:fldCharType="begin" w:fldLock="1"/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instrText>ADDIN CSL_CITATION {"citationItems":[{"id":"ITEM-1","itemData":{"DOI":"10.1111/j.1365-2745.2007.01225.x","author":[{"dropping-particle":"","family":"Kirwan","given":"L.","non-dropping-particle":"","parse-names":false,"suffix":""},{"dropping-particle":"","family":"Lüscher","given":"A.","non-dropping-particle":"","parse-names":false,"suffix":""},{"dropping-particle":"","family":"Sebastià","given":"M. T.","non-dropping-particle":"","parse-names":false,"suffix":""},{"dropping-particle":"","family":"Finn","given":"J. A.","non-dropping-particle":"","parse-names":false,"suffix":""},{"dropping-particle":"","family":"Collins","given":"R. P.","non-dropping-particle":"","parse-names":false,"suffix":""},{"dropping-particle":"","family":"Porqueddu","given":"C.","non-dropping-particle":"","parse-names":false,"suffix":""},{"dropping-particle":"","family":"Helgadottir","given":"A.","non-dropping-particle":"","parse-names":false,"suffix":""},{"dropping-particle":"","family":"Baadshaug","given":"O. H.","non-dropping-particle":"","parse-names":false,"suffix":""},{"dropping-particle":"","family":"Brophy","given":"C.","non-dropping-particle":"","parse-names":false,"suffix":""},{"dropping-particle":"","family":"Coran","given":"C.","non-dropping-particle":"","parse-names":false,"suffix":""},{"dropping-particle":"","family":"Dalmannsdóttir","given":"S.","non-dropping-particle":"","parse-names":false,"suffix":""},{"dropping-particle":"","family":"Delgado","given":"I.","non-dropping-particle":"","parse-names":false,"suffix":""},{"dropping-particle":"","family":"Elgersma","given":"A.","non-dropping-particle":"","parse-names":false,"suffix":""},{"dropping-particle":"","family":"Fothergill","given":"M.","non-dropping-particle":"","parse-names":false,"suffix":""},{"dropping-particle":"","family":"Frankow-Lindberg","given":"B. E.","non-dropping-particle":"","parse-names":false,"suffix":""},{"dropping-particle":"","family":"Golinski","given":"P.","non-dropping-particle":"","parse-names":false,"suffix":""},{"dropping-particle":"","family":"Grieu","given":"P.","non-dropping-particle":"","parse-names":false,"suffix":""},{"dropping-particle":"","family":"Gustavsson","given":"A. M.","non-dropping-particle":"","parse-names":false,"suffix":""},{"dropping-particle":"","family":"Höglind","given":"M.","non-dropping-particle":"","parse-names":false,"suffix":""},{"dropping-particle":"","family":"Huguenin-Elie","given":"O.","non-dropping-particle":"","parse-names":false,"suffix":""},{"dropping-particle":"","family":"Iliadis","given":"C.","non-dropping-particle":"","parse-names":false,"suffix":""},{"dropping-particle":"","family":"Jørgensen","given":"M.","non-dropping-particle":"","parse-names":false,"suffix":""},{"dropping-particle":"","family":"Kadziuliene","given":"Z.","non-dropping-particle":"","parse-names":false,"suffix":""},{"dropping-particle":"","family":"Karyotis","given":"T.","non-dropping-particle":"","parse-names":false,"suffix":""},{"dropping-particle":"","family":"Lunnan","given":"T.","non-dropping-particle":"","parse-names":false,"suffix":""},{"dropping-particle":"","family":"Malengier","given":"M.","non-dropping-particle":"","parse-names":false,"suffix":""},{"dropping-particle":"","family":"Maltoni","given":"S.","non-dropping-particle":"","parse-names":false,"suffix":""},{"dropping-particle":"","family":"Meyer","given":"V.","non-dropping-particle":"","parse-names":false,"suffix":""},{"dropping-particle":"","family":"Nyfeler","given":"D.","non-dropping-particle":"","parse-names":false,"suffix":""},{"dropping-particle":"","family":"Nykanen-Kurki","given":"P.","non-dropping-particle":"","parse-names":false,"suffix":""},{"dropping-particle":"","family":"Parente","given":"J.","non-dropping-particle":"","parse-names":false,"suffix":""},{"dropping-particle":"","family":"Smit","given":"H. J.","non-dropping-particle":"","parse-names":false,"suffix":""},{"dropping-particle":"","family":"Humm","given":"U. T","non-dropping-particle":"","parse-names":false,"suffix":""},{"dropping-particle":"","family":"Connolly","given":"J.","non-dropping-particle":"","parse-names":false,"suffix":""}],"container-title":"Journal of Ecology","id":"ITEM-1","issued":{"date-parts":[["2007"]]},"page":"530-539","title":"Evenness drives consistent diversity effects in intensive grassland systems across 28 European sites","type":"article-journal","volume":"95"},"uris":["http://www.mendeley.com/documents/?uuid=2b3acee1-4906-4052-a092-e4d05a33aced"]}],"mendeley":{"formattedCitation":"(Kirwan &lt;i&gt;et al.&lt;/i&gt; 2007)","plainTextFormattedCitation":"(Kirwan et al. 2007)","previouslyFormattedCitation":"(Kirwan &lt;i&gt;et al.&lt;/i&gt; 2007)"},"properties":{"noteIndex":0},"schema":"https://github.com/citation-style-language/schema/raw/master/csl-citation.json"}</w:instrText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fldChar w:fldCharType="separate"/>
      </w:r>
      <w:bookmarkStart w:id="4" w:name="__Fieldmark__6103_3079829901"/>
      <w:bookmarkStart w:id="5" w:name="__Fieldmark__5155_699844795"/>
      <w:bookmarkStart w:id="6" w:name="__Fieldmark__5022_4052046585"/>
      <w:bookmarkStart w:id="7" w:name="__Fieldmark__6453_2730065008"/>
      <w:bookmarkStart w:id="8" w:name="__Fieldmark__5496_2526816051"/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t xml:space="preserve">(Kirwan </w:t>
      </w:r>
      <w:r w:rsidRPr="00F74498">
        <w:rPr>
          <w:rFonts w:ascii="Times New Roman" w:eastAsia="SimSun" w:hAnsi="Times New Roman" w:cs="Times New Roman"/>
          <w:bCs/>
          <w:i/>
          <w:kern w:val="2"/>
          <w:sz w:val="24"/>
          <w:szCs w:val="24"/>
        </w:rPr>
        <w:t>et al.</w:t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t xml:space="preserve"> 2007)</w:t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fldChar w:fldCharType="end"/>
      </w:r>
      <w:bookmarkEnd w:id="4"/>
      <w:bookmarkEnd w:id="5"/>
      <w:bookmarkEnd w:id="6"/>
      <w:bookmarkEnd w:id="7"/>
      <w:bookmarkEnd w:id="8"/>
      <w:r w:rsidRPr="00F74498">
        <w:rPr>
          <w:rFonts w:ascii="Times New Roman" w:eastAsia="SimSun" w:hAnsi="Times New Roman" w:cs="Times New Roman"/>
          <w:bCs/>
          <w:kern w:val="2"/>
          <w:sz w:val="24"/>
          <w:szCs w:val="24"/>
        </w:rPr>
        <w:t>. The position in the ternary plot indicates the proportion of the corresponding PFT and the size of the point corresponds to the evenness index.</w:t>
      </w:r>
      <w:r w:rsidRPr="00F74498">
        <w:rPr>
          <w:rFonts w:ascii="Arial" w:eastAsia="SimSun" w:hAnsi="Arial" w:cs="Tahoma"/>
          <w:bCs/>
          <w:i/>
          <w:kern w:val="2"/>
          <w:szCs w:val="18"/>
        </w:rPr>
        <w:br w:type="page"/>
      </w: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  <w:r w:rsidRPr="00F74498">
        <w:rPr>
          <w:rFonts w:ascii="Arial" w:eastAsia="Droid Sans Fallback" w:hAnsi="Arial" w:cs="Arial"/>
          <w:b/>
          <w:noProof/>
          <w:color w:val="000000"/>
          <w:kern w:val="2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BB534A4" wp14:editId="21B179CE">
            <wp:simplePos x="0" y="0"/>
            <wp:positionH relativeFrom="column">
              <wp:posOffset>710565</wp:posOffset>
            </wp:positionH>
            <wp:positionV relativeFrom="paragraph">
              <wp:posOffset>12700</wp:posOffset>
            </wp:positionV>
            <wp:extent cx="4191635" cy="2666365"/>
            <wp:effectExtent l="0" t="0" r="0" b="0"/>
            <wp:wrapSquare wrapText="bothSides"/>
            <wp:docPr id="11" name="Imagen 10" descr="C:\Users\Usuari\OneDrive\Ibañez_2018\Figures_def\figure_S2_new.ti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Usuari\OneDrive\Ibañez_2018\Figures_def\figure_S2_new.tiff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suppressAutoHyphens/>
        <w:spacing w:after="0" w:line="480" w:lineRule="auto"/>
        <w:jc w:val="both"/>
        <w:rPr>
          <w:rFonts w:ascii="Arial" w:eastAsia="Droid Sans Fallback" w:hAnsi="Arial" w:cs="Arial"/>
          <w:color w:val="000000"/>
          <w:kern w:val="2"/>
          <w:szCs w:val="24"/>
          <w:lang w:eastAsia="zh-CN" w:bidi="hi-IN"/>
        </w:rPr>
      </w:pPr>
    </w:p>
    <w:p w:rsidR="00F74498" w:rsidRPr="00F74498" w:rsidRDefault="00F74498" w:rsidP="00F74498">
      <w:pPr>
        <w:widowControl w:val="0"/>
        <w:spacing w:after="0" w:line="480" w:lineRule="auto"/>
        <w:jc w:val="both"/>
        <w:rPr>
          <w:rFonts w:ascii="Times New Roman" w:eastAsia="SimSun" w:hAnsi="Times New Roman" w:cs="Times New Roman"/>
          <w:bCs/>
          <w:kern w:val="2"/>
          <w:sz w:val="24"/>
          <w:szCs w:val="18"/>
        </w:rPr>
      </w:pPr>
      <w:bookmarkStart w:id="9" w:name="_Ref19203191"/>
      <w:bookmarkStart w:id="10" w:name="_Toc19009402"/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t>Fig. S</w:t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fldChar w:fldCharType="begin"/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instrText xml:space="preserve"> SEQ Figure_S \* ARABIC </w:instrText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fldChar w:fldCharType="separate"/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t>2</w:t>
      </w:r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fldChar w:fldCharType="end"/>
      </w:r>
      <w:bookmarkEnd w:id="9"/>
      <w:r w:rsidRPr="00F74498">
        <w:rPr>
          <w:rFonts w:ascii="Times New Roman" w:eastAsia="SimSun" w:hAnsi="Times New Roman" w:cs="Times New Roman"/>
          <w:b/>
          <w:bCs/>
          <w:kern w:val="2"/>
          <w:sz w:val="24"/>
          <w:szCs w:val="18"/>
        </w:rPr>
        <w:t>.</w:t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18"/>
        </w:rPr>
        <w:t xml:space="preserve"> Aboveground living biomass (AGLB) per site and per plan functional type (PFT) dominance group: forbs dominated (F-dominated), grasses dominated (G</w:t>
      </w:r>
      <w:r w:rsidRPr="00F74498">
        <w:rPr>
          <w:rFonts w:ascii="Times New Roman" w:eastAsia="SimSun" w:hAnsi="Times New Roman" w:cs="Times New Roman"/>
          <w:bCs/>
          <w:kern w:val="2"/>
          <w:sz w:val="24"/>
          <w:szCs w:val="18"/>
        </w:rPr>
        <w:noBreakHyphen/>
        <w:t>dominated) and legumes dominated (L-dominated).</w:t>
      </w:r>
      <w:bookmarkEnd w:id="10"/>
    </w:p>
    <w:p w:rsidR="00742C72" w:rsidRDefault="00F74498">
      <w:bookmarkStart w:id="11" w:name="_GoBack"/>
      <w:bookmarkEnd w:id="11"/>
    </w:p>
    <w:sectPr w:rsidR="00742C72" w:rsidSect="009207FA">
      <w:footerReference w:type="first" r:id="rId6"/>
      <w:pgSz w:w="11906" w:h="16838"/>
      <w:pgMar w:top="1417" w:right="1701" w:bottom="1417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Segoe Print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52F" w:rsidRDefault="00F74498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es-ES"/>
      </w:rPr>
      <w:t>1</w:t>
    </w:r>
    <w:r>
      <w:fldChar w:fldCharType="end"/>
    </w:r>
  </w:p>
  <w:p w:rsidR="0034452F" w:rsidRDefault="00F74498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98"/>
    <w:rsid w:val="00033928"/>
    <w:rsid w:val="003F12EE"/>
    <w:rsid w:val="0084167D"/>
    <w:rsid w:val="00B66DC7"/>
    <w:rsid w:val="00F7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B8788A-DC19-48F1-92C8-FFE3B79F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74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4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Alison Sage</cp:lastModifiedBy>
  <cp:revision>1</cp:revision>
  <dcterms:created xsi:type="dcterms:W3CDTF">2020-02-21T09:18:00Z</dcterms:created>
  <dcterms:modified xsi:type="dcterms:W3CDTF">2020-02-21T09:18:00Z</dcterms:modified>
</cp:coreProperties>
</file>