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
        <w:tblW w:w="0" w:type="auto"/>
        <w:tblLayout w:type="fixed"/>
        <w:tblLook w:val="04A0" w:firstRow="1" w:lastRow="0" w:firstColumn="1" w:lastColumn="0" w:noHBand="0" w:noVBand="1"/>
      </w:tblPr>
      <w:tblGrid>
        <w:gridCol w:w="2410"/>
        <w:gridCol w:w="1640"/>
        <w:gridCol w:w="4881"/>
        <w:gridCol w:w="4029"/>
      </w:tblGrid>
      <w:tr w:rsidR="00AE74B3" w:rsidRPr="002E2C37" w14:paraId="0EBAE636" w14:textId="77777777" w:rsidTr="007E665C">
        <w:tc>
          <w:tcPr>
            <w:tcW w:w="12960" w:type="dxa"/>
            <w:gridSpan w:val="4"/>
            <w:tcBorders>
              <w:top w:val="nil"/>
              <w:left w:val="nil"/>
              <w:bottom w:val="single" w:sz="4" w:space="0" w:color="auto"/>
              <w:right w:val="nil"/>
            </w:tcBorders>
          </w:tcPr>
          <w:p w14:paraId="1BFBB0A6" w14:textId="77777777" w:rsidR="00AE74B3" w:rsidRDefault="00AE74B3" w:rsidP="007E665C">
            <w:pPr>
              <w:widowControl w:val="0"/>
              <w:autoSpaceDE w:val="0"/>
              <w:autoSpaceDN w:val="0"/>
              <w:adjustRightInd w:val="0"/>
              <w:contextualSpacing/>
              <w:rPr>
                <w:rFonts w:ascii="Times New Roman" w:hAnsi="Times New Roman"/>
                <w:b/>
                <w:sz w:val="24"/>
                <w:szCs w:val="24"/>
              </w:rPr>
            </w:pPr>
            <w:r w:rsidRPr="002E2C37">
              <w:rPr>
                <w:rFonts w:ascii="Times New Roman" w:hAnsi="Times New Roman"/>
                <w:b/>
                <w:sz w:val="24"/>
                <w:szCs w:val="24"/>
              </w:rPr>
              <w:t>Appendix A2: Variable Descriptions</w:t>
            </w:r>
            <w:r>
              <w:rPr>
                <w:rFonts w:ascii="Times New Roman" w:hAnsi="Times New Roman"/>
                <w:b/>
                <w:sz w:val="24"/>
                <w:szCs w:val="24"/>
              </w:rPr>
              <w:t xml:space="preserve">, </w:t>
            </w:r>
            <w:r w:rsidRPr="002E2C37">
              <w:rPr>
                <w:rFonts w:ascii="Times New Roman" w:hAnsi="Times New Roman"/>
                <w:b/>
                <w:sz w:val="24"/>
                <w:szCs w:val="24"/>
              </w:rPr>
              <w:t>Data Sources</w:t>
            </w:r>
            <w:r>
              <w:rPr>
                <w:rFonts w:ascii="Times New Roman" w:hAnsi="Times New Roman"/>
                <w:b/>
                <w:sz w:val="24"/>
                <w:szCs w:val="24"/>
              </w:rPr>
              <w:t>, Correlation Matrix</w:t>
            </w:r>
          </w:p>
          <w:p w14:paraId="6958CCEF" w14:textId="44FF94C9" w:rsidR="008F046D" w:rsidRPr="002E2C37" w:rsidRDefault="008F046D" w:rsidP="007E665C">
            <w:pPr>
              <w:widowControl w:val="0"/>
              <w:autoSpaceDE w:val="0"/>
              <w:autoSpaceDN w:val="0"/>
              <w:adjustRightInd w:val="0"/>
              <w:contextualSpacing/>
              <w:rPr>
                <w:rFonts w:ascii="Times New Roman" w:hAnsi="Times New Roman"/>
                <w:b/>
                <w:sz w:val="24"/>
                <w:szCs w:val="24"/>
              </w:rPr>
            </w:pPr>
          </w:p>
        </w:tc>
      </w:tr>
      <w:tr w:rsidR="00AE74B3" w:rsidRPr="002E2C37" w14:paraId="6BE2BFFF" w14:textId="77777777" w:rsidTr="007E665C">
        <w:tc>
          <w:tcPr>
            <w:tcW w:w="2410" w:type="dxa"/>
            <w:tcBorders>
              <w:top w:val="single" w:sz="4" w:space="0" w:color="auto"/>
            </w:tcBorders>
          </w:tcPr>
          <w:p w14:paraId="331E62FC" w14:textId="77777777" w:rsidR="00AE74B3" w:rsidRPr="002E2C37" w:rsidRDefault="00AE74B3" w:rsidP="007E665C">
            <w:pPr>
              <w:widowControl w:val="0"/>
              <w:autoSpaceDE w:val="0"/>
              <w:autoSpaceDN w:val="0"/>
              <w:adjustRightInd w:val="0"/>
              <w:contextualSpacing/>
              <w:rPr>
                <w:rFonts w:ascii="Times New Roman" w:hAnsi="Times New Roman"/>
                <w:b/>
                <w:sz w:val="20"/>
                <w:szCs w:val="20"/>
              </w:rPr>
            </w:pPr>
            <w:r w:rsidRPr="002E2C37">
              <w:rPr>
                <w:rFonts w:ascii="Times New Roman" w:hAnsi="Times New Roman"/>
                <w:b/>
                <w:sz w:val="20"/>
                <w:szCs w:val="20"/>
              </w:rPr>
              <w:t>Variable</w:t>
            </w:r>
          </w:p>
        </w:tc>
        <w:tc>
          <w:tcPr>
            <w:tcW w:w="1640" w:type="dxa"/>
            <w:tcBorders>
              <w:top w:val="single" w:sz="4" w:space="0" w:color="auto"/>
            </w:tcBorders>
          </w:tcPr>
          <w:p w14:paraId="2FC82E52" w14:textId="77777777" w:rsidR="00AE74B3" w:rsidRPr="002E2C37" w:rsidRDefault="00AE74B3" w:rsidP="007E665C">
            <w:pPr>
              <w:widowControl w:val="0"/>
              <w:autoSpaceDE w:val="0"/>
              <w:autoSpaceDN w:val="0"/>
              <w:adjustRightInd w:val="0"/>
              <w:contextualSpacing/>
              <w:rPr>
                <w:rFonts w:ascii="Times New Roman" w:hAnsi="Times New Roman"/>
                <w:b/>
                <w:sz w:val="20"/>
                <w:szCs w:val="20"/>
              </w:rPr>
            </w:pPr>
            <w:r w:rsidRPr="002E2C37">
              <w:rPr>
                <w:rFonts w:ascii="Times New Roman" w:hAnsi="Times New Roman"/>
                <w:b/>
                <w:sz w:val="20"/>
                <w:szCs w:val="20"/>
              </w:rPr>
              <w:t>Type of Variable</w:t>
            </w:r>
          </w:p>
        </w:tc>
        <w:tc>
          <w:tcPr>
            <w:tcW w:w="4881" w:type="dxa"/>
            <w:tcBorders>
              <w:top w:val="single" w:sz="4" w:space="0" w:color="auto"/>
            </w:tcBorders>
          </w:tcPr>
          <w:p w14:paraId="2DA5D249" w14:textId="77777777" w:rsidR="00AE74B3" w:rsidRPr="002E2C37" w:rsidRDefault="00AE74B3" w:rsidP="007E665C">
            <w:pPr>
              <w:widowControl w:val="0"/>
              <w:autoSpaceDE w:val="0"/>
              <w:autoSpaceDN w:val="0"/>
              <w:adjustRightInd w:val="0"/>
              <w:contextualSpacing/>
              <w:rPr>
                <w:rFonts w:ascii="Times New Roman" w:hAnsi="Times New Roman"/>
                <w:b/>
                <w:sz w:val="20"/>
                <w:szCs w:val="20"/>
              </w:rPr>
            </w:pPr>
            <w:r w:rsidRPr="002E2C37">
              <w:rPr>
                <w:rFonts w:ascii="Times New Roman" w:hAnsi="Times New Roman"/>
                <w:b/>
                <w:sz w:val="20"/>
                <w:szCs w:val="20"/>
              </w:rPr>
              <w:t>Description</w:t>
            </w:r>
          </w:p>
        </w:tc>
        <w:tc>
          <w:tcPr>
            <w:tcW w:w="4029" w:type="dxa"/>
            <w:tcBorders>
              <w:top w:val="single" w:sz="4" w:space="0" w:color="auto"/>
            </w:tcBorders>
          </w:tcPr>
          <w:p w14:paraId="4D8113D5" w14:textId="77777777" w:rsidR="00AE74B3" w:rsidRPr="002E2C37" w:rsidRDefault="00AE74B3" w:rsidP="007E665C">
            <w:pPr>
              <w:widowControl w:val="0"/>
              <w:autoSpaceDE w:val="0"/>
              <w:autoSpaceDN w:val="0"/>
              <w:adjustRightInd w:val="0"/>
              <w:contextualSpacing/>
              <w:rPr>
                <w:rFonts w:ascii="Times New Roman" w:hAnsi="Times New Roman"/>
                <w:b/>
                <w:sz w:val="20"/>
                <w:szCs w:val="20"/>
              </w:rPr>
            </w:pPr>
            <w:r w:rsidRPr="002E2C37">
              <w:rPr>
                <w:rFonts w:ascii="Times New Roman" w:hAnsi="Times New Roman"/>
                <w:b/>
                <w:sz w:val="20"/>
                <w:szCs w:val="20"/>
              </w:rPr>
              <w:t>Data Source</w:t>
            </w:r>
          </w:p>
        </w:tc>
      </w:tr>
      <w:tr w:rsidR="00AE74B3" w:rsidRPr="002E2C37" w14:paraId="19128E73" w14:textId="77777777" w:rsidTr="007E665C">
        <w:tc>
          <w:tcPr>
            <w:tcW w:w="2410" w:type="dxa"/>
          </w:tcPr>
          <w:p w14:paraId="74EC8FDF"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Attendance</w:t>
            </w:r>
          </w:p>
        </w:tc>
        <w:tc>
          <w:tcPr>
            <w:tcW w:w="1640" w:type="dxa"/>
          </w:tcPr>
          <w:p w14:paraId="32585021"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Dependent Variable</w:t>
            </w:r>
          </w:p>
        </w:tc>
        <w:tc>
          <w:tcPr>
            <w:tcW w:w="4881" w:type="dxa"/>
          </w:tcPr>
          <w:p w14:paraId="0106CE0B"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Head of state (president or prime minister) attended the Belt and Road Forum for International Cooperation on 14-15 May 2017; 1=Yes, 0=No.</w:t>
            </w:r>
          </w:p>
        </w:tc>
        <w:tc>
          <w:tcPr>
            <w:tcW w:w="4029" w:type="dxa"/>
          </w:tcPr>
          <w:p w14:paraId="7D1B3D7B" w14:textId="77777777" w:rsidR="00AE74B3" w:rsidRPr="002E2C37" w:rsidRDefault="00AE74B3" w:rsidP="007E665C">
            <w:pPr>
              <w:widowControl w:val="0"/>
              <w:autoSpaceDE w:val="0"/>
              <w:autoSpaceDN w:val="0"/>
              <w:adjustRightInd w:val="0"/>
              <w:ind w:left="100" w:hangingChars="50" w:hanging="100"/>
              <w:contextualSpacing/>
              <w:rPr>
                <w:rFonts w:ascii="Times New Roman" w:hAnsi="Times New Roman"/>
                <w:sz w:val="20"/>
                <w:szCs w:val="20"/>
              </w:rPr>
            </w:pPr>
            <w:r w:rsidRPr="002E2C37">
              <w:rPr>
                <w:rFonts w:ascii="Times New Roman" w:hAnsi="Times New Roman"/>
                <w:sz w:val="20"/>
                <w:szCs w:val="20"/>
              </w:rPr>
              <w:t xml:space="preserve">Belt and Road Forum’s Official Website: </w:t>
            </w:r>
            <w:hyperlink r:id="rId7" w:history="1">
              <w:r w:rsidRPr="002E2C37">
                <w:rPr>
                  <w:rFonts w:ascii="Times New Roman" w:hAnsi="Times New Roman"/>
                  <w:color w:val="0563C1"/>
                  <w:sz w:val="20"/>
                  <w:szCs w:val="20"/>
                  <w:u w:val="single"/>
                </w:rPr>
                <w:t>http://www.beltandroadforum.org/english/n100/2017/0516/c22-423.html</w:t>
              </w:r>
            </w:hyperlink>
            <w:r w:rsidRPr="002E2C37">
              <w:rPr>
                <w:rFonts w:ascii="Times New Roman" w:hAnsi="Times New Roman"/>
                <w:color w:val="0563C1"/>
                <w:sz w:val="20"/>
                <w:szCs w:val="20"/>
                <w:u w:val="single"/>
              </w:rPr>
              <w:t xml:space="preserve"> </w:t>
            </w:r>
          </w:p>
        </w:tc>
      </w:tr>
      <w:tr w:rsidR="00AE74B3" w:rsidRPr="002E2C37" w14:paraId="580191EC" w14:textId="77777777" w:rsidTr="007E665C">
        <w:tc>
          <w:tcPr>
            <w:tcW w:w="2410" w:type="dxa"/>
          </w:tcPr>
          <w:p w14:paraId="77EF8D0B"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Ordered Attendance</w:t>
            </w:r>
          </w:p>
        </w:tc>
        <w:tc>
          <w:tcPr>
            <w:tcW w:w="1640" w:type="dxa"/>
          </w:tcPr>
          <w:p w14:paraId="3C02D2D6"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Dependent Variable</w:t>
            </w:r>
          </w:p>
        </w:tc>
        <w:tc>
          <w:tcPr>
            <w:tcW w:w="4881" w:type="dxa"/>
          </w:tcPr>
          <w:p w14:paraId="535F2EB0"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Head of state attendance at the BRI Forum = 2, Cabinet minister attendance = 1, and lower-level official or non-attending = 0</w:t>
            </w:r>
          </w:p>
        </w:tc>
        <w:tc>
          <w:tcPr>
            <w:tcW w:w="4029" w:type="dxa"/>
          </w:tcPr>
          <w:p w14:paraId="058EF2B4" w14:textId="79733835"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Compiled by the authors from the official website of the Chinese Foreign Ministry and Google searches.</w:t>
            </w:r>
            <w:r w:rsidRPr="002E2C37">
              <w:rPr>
                <w:rFonts w:ascii="Times New Roman" w:hAnsi="Times New Roman"/>
              </w:rPr>
              <w:t xml:space="preserve"> </w:t>
            </w:r>
            <w:r w:rsidR="00BB3E2E" w:rsidRPr="00BB3E2E">
              <w:rPr>
                <w:rFonts w:ascii="Times New Roman" w:hAnsi="Times New Roman"/>
              </w:rPr>
              <w:t xml:space="preserve">Since no official roster of ministerial and lower-level attendees was released, we used Google searches to identify and confirm our lists of ministers and lower officials. </w:t>
            </w:r>
            <w:r w:rsidRPr="002E2C37">
              <w:rPr>
                <w:rFonts w:ascii="Times New Roman" w:hAnsi="Times New Roman"/>
              </w:rPr>
              <w:t>Our search terms were “ONE BELT, ONE ROAD FORUM + NATION NAME + MINISTER” (in English). We could not confirm participation for Colombia, Croatia, Cuba and Oman so we treat these nations as missing data.</w:t>
            </w:r>
          </w:p>
        </w:tc>
      </w:tr>
      <w:tr w:rsidR="00AE74B3" w:rsidRPr="002E2C37" w14:paraId="1C8B99BC" w14:textId="77777777" w:rsidTr="007E665C">
        <w:tc>
          <w:tcPr>
            <w:tcW w:w="2410" w:type="dxa"/>
          </w:tcPr>
          <w:p w14:paraId="4F47DCDB"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one belt, one road position</w:t>
            </w:r>
          </w:p>
        </w:tc>
        <w:tc>
          <w:tcPr>
            <w:tcW w:w="1640" w:type="dxa"/>
          </w:tcPr>
          <w:p w14:paraId="12F09A66"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Pull Factor</w:t>
            </w:r>
          </w:p>
        </w:tc>
        <w:tc>
          <w:tcPr>
            <w:tcW w:w="4881" w:type="dxa"/>
          </w:tcPr>
          <w:p w14:paraId="335FF08E"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Equal to 1 if a nation is geographically positioned along the </w:t>
            </w:r>
            <w:r w:rsidRPr="002E2C37">
              <w:rPr>
                <w:rFonts w:ascii="Times New Roman" w:hAnsi="Times New Roman"/>
                <w:i/>
                <w:sz w:val="20"/>
                <w:szCs w:val="20"/>
              </w:rPr>
              <w:t>One Belt, One Road</w:t>
            </w:r>
            <w:r w:rsidRPr="002E2C37">
              <w:rPr>
                <w:rFonts w:ascii="Times New Roman" w:hAnsi="Times New Roman"/>
                <w:sz w:val="20"/>
                <w:szCs w:val="20"/>
              </w:rPr>
              <w:t xml:space="preserve"> trade routes, 0 otherwise.</w:t>
            </w:r>
          </w:p>
        </w:tc>
        <w:tc>
          <w:tcPr>
            <w:tcW w:w="4029" w:type="dxa"/>
          </w:tcPr>
          <w:p w14:paraId="029C4597"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Belt and Road Official Website:</w:t>
            </w:r>
          </w:p>
          <w:p w14:paraId="402668B4" w14:textId="77777777" w:rsidR="00AE74B3" w:rsidRPr="002E2C37" w:rsidRDefault="00902899" w:rsidP="007E665C">
            <w:pPr>
              <w:widowControl w:val="0"/>
              <w:autoSpaceDE w:val="0"/>
              <w:autoSpaceDN w:val="0"/>
              <w:adjustRightInd w:val="0"/>
              <w:contextualSpacing/>
              <w:rPr>
                <w:rFonts w:ascii="Times New Roman" w:hAnsi="Times New Roman"/>
                <w:sz w:val="20"/>
                <w:szCs w:val="20"/>
              </w:rPr>
            </w:pPr>
            <w:hyperlink r:id="rId8" w:history="1">
              <w:r w:rsidR="00AE74B3" w:rsidRPr="002E2C37">
                <w:rPr>
                  <w:rFonts w:ascii="Times New Roman" w:hAnsi="Times New Roman"/>
                  <w:color w:val="0563C1"/>
                  <w:sz w:val="20"/>
                  <w:szCs w:val="20"/>
                  <w:u w:val="single"/>
                </w:rPr>
                <w:t>https://eng.yidaiyilu.gov.cn/info/iList.jsp?cat_id=10076</w:t>
              </w:r>
            </w:hyperlink>
            <w:r w:rsidR="00AE74B3" w:rsidRPr="002E2C37">
              <w:rPr>
                <w:rFonts w:ascii="Times New Roman" w:hAnsi="Times New Roman"/>
                <w:sz w:val="20"/>
                <w:szCs w:val="20"/>
              </w:rPr>
              <w:t xml:space="preserve">. </w:t>
            </w:r>
          </w:p>
        </w:tc>
      </w:tr>
      <w:tr w:rsidR="00AE74B3" w:rsidRPr="002E2C37" w14:paraId="18990AC8" w14:textId="77777777" w:rsidTr="007E665C">
        <w:tc>
          <w:tcPr>
            <w:tcW w:w="2410" w:type="dxa"/>
          </w:tcPr>
          <w:p w14:paraId="329591B2"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fTA with china</w:t>
            </w:r>
          </w:p>
        </w:tc>
        <w:tc>
          <w:tcPr>
            <w:tcW w:w="1640" w:type="dxa"/>
          </w:tcPr>
          <w:p w14:paraId="2F032FAF"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Pull Factor</w:t>
            </w:r>
          </w:p>
        </w:tc>
        <w:tc>
          <w:tcPr>
            <w:tcW w:w="4881" w:type="dxa"/>
          </w:tcPr>
          <w:p w14:paraId="28491422"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Free Trade Agreement with China. 1=Yes, 0=No. China also has Preferential Trade Agreements (PTAs) with Bangladesh, India, Lao, Republic of Korea and Sri Lanka via the Asia-Pacific Trade Agreement. We include these PTAs in our measure</w:t>
            </w:r>
          </w:p>
        </w:tc>
        <w:tc>
          <w:tcPr>
            <w:tcW w:w="4029" w:type="dxa"/>
          </w:tcPr>
          <w:p w14:paraId="169621BD"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Authors’ calculation using the official website of Chinese Ministry of Commerce at </w:t>
            </w:r>
            <w:hyperlink r:id="rId9" w:history="1">
              <w:r w:rsidRPr="002E2C37">
                <w:rPr>
                  <w:rFonts w:ascii="Times New Roman" w:hAnsi="Times New Roman"/>
                  <w:color w:val="0563C1"/>
                  <w:sz w:val="20"/>
                  <w:szCs w:val="20"/>
                  <w:u w:val="single"/>
                </w:rPr>
                <w:t>http://fta.mofcom.gov.cn/english/index.shtml</w:t>
              </w:r>
            </w:hyperlink>
          </w:p>
        </w:tc>
      </w:tr>
      <w:tr w:rsidR="00AE74B3" w:rsidRPr="002E2C37" w14:paraId="5EDA38DD" w14:textId="77777777" w:rsidTr="007E665C">
        <w:tc>
          <w:tcPr>
            <w:tcW w:w="2410" w:type="dxa"/>
          </w:tcPr>
          <w:p w14:paraId="423F5A32"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BIT with china</w:t>
            </w:r>
          </w:p>
        </w:tc>
        <w:tc>
          <w:tcPr>
            <w:tcW w:w="1640" w:type="dxa"/>
          </w:tcPr>
          <w:p w14:paraId="13740B34"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Pull Factor</w:t>
            </w:r>
          </w:p>
        </w:tc>
        <w:tc>
          <w:tcPr>
            <w:tcW w:w="4881" w:type="dxa"/>
          </w:tcPr>
          <w:p w14:paraId="65DE97F7"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Bilateral investment treaty with China. 1=Yes, 0=No.</w:t>
            </w:r>
          </w:p>
        </w:tc>
        <w:tc>
          <w:tcPr>
            <w:tcW w:w="4029" w:type="dxa"/>
          </w:tcPr>
          <w:p w14:paraId="2778C2E9"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Official website of Chinese Ministry of Commerce </w:t>
            </w:r>
            <w:hyperlink r:id="rId10" w:history="1">
              <w:r w:rsidRPr="002E2C37">
                <w:rPr>
                  <w:rFonts w:ascii="Times New Roman" w:hAnsi="Times New Roman"/>
                  <w:color w:val="0563C1"/>
                  <w:sz w:val="20"/>
                  <w:szCs w:val="20"/>
                  <w:u w:val="single"/>
                </w:rPr>
                <w:t>http://tfs.mofcom.gov.cn/article/Nocategory/201111/20111107819474.shtml</w:t>
              </w:r>
            </w:hyperlink>
          </w:p>
        </w:tc>
      </w:tr>
      <w:tr w:rsidR="00AE74B3" w:rsidRPr="002E2C37" w14:paraId="0E2A179A" w14:textId="77777777" w:rsidTr="007E665C">
        <w:tc>
          <w:tcPr>
            <w:tcW w:w="2410" w:type="dxa"/>
          </w:tcPr>
          <w:p w14:paraId="74C4566A"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Financial Crises</w:t>
            </w:r>
          </w:p>
        </w:tc>
        <w:tc>
          <w:tcPr>
            <w:tcW w:w="1640" w:type="dxa"/>
          </w:tcPr>
          <w:p w14:paraId="2B34226F"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Push Factor</w:t>
            </w:r>
          </w:p>
        </w:tc>
        <w:tc>
          <w:tcPr>
            <w:tcW w:w="4881" w:type="dxa"/>
          </w:tcPr>
          <w:p w14:paraId="0A19D4F8"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Cumulative count of major financial crises, 1990-2016</w:t>
            </w:r>
          </w:p>
        </w:tc>
        <w:tc>
          <w:tcPr>
            <w:tcW w:w="4029" w:type="dxa"/>
          </w:tcPr>
          <w:p w14:paraId="1C0BDD00"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Author’s calculation based on raw data from Reinhart and Rogoff (2011), updated to 2016 at: </w:t>
            </w:r>
            <w:hyperlink r:id="rId11" w:history="1">
              <w:r w:rsidRPr="002E2C37">
                <w:rPr>
                  <w:rStyle w:val="Hyperlink"/>
                  <w:rFonts w:ascii="Times New Roman" w:hAnsi="Times New Roman"/>
                  <w:sz w:val="20"/>
                  <w:szCs w:val="20"/>
                </w:rPr>
                <w:t>https://www.hbs.edu/behavioral-finance-and-financial-stability/data/Pages/global.aspx</w:t>
              </w:r>
            </w:hyperlink>
          </w:p>
        </w:tc>
      </w:tr>
      <w:tr w:rsidR="00AE74B3" w:rsidRPr="002E2C37" w14:paraId="33714FF9" w14:textId="77777777" w:rsidTr="007E665C">
        <w:tc>
          <w:tcPr>
            <w:tcW w:w="2410" w:type="dxa"/>
          </w:tcPr>
          <w:p w14:paraId="7FD8372C" w14:textId="4842A747" w:rsidR="00AE74B3" w:rsidRPr="002E2C37" w:rsidRDefault="00AE74B3" w:rsidP="00110601">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 xml:space="preserve">variability of capital account </w:t>
            </w:r>
            <w:r w:rsidR="00110601">
              <w:rPr>
                <w:rFonts w:ascii="Times New Roman" w:hAnsi="Times New Roman"/>
                <w:caps/>
                <w:sz w:val="20"/>
                <w:szCs w:val="20"/>
              </w:rPr>
              <w:t>POLICY</w:t>
            </w:r>
          </w:p>
        </w:tc>
        <w:tc>
          <w:tcPr>
            <w:tcW w:w="1640" w:type="dxa"/>
          </w:tcPr>
          <w:p w14:paraId="24C99716"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Push Factor</w:t>
            </w:r>
          </w:p>
        </w:tc>
        <w:tc>
          <w:tcPr>
            <w:tcW w:w="4881" w:type="dxa"/>
          </w:tcPr>
          <w:p w14:paraId="64B5E375"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Standard deviation of the normalized Chinn-Ito index of financial openness (</w:t>
            </w:r>
            <w:proofErr w:type="spellStart"/>
            <w:r w:rsidRPr="002E2C37">
              <w:rPr>
                <w:rFonts w:ascii="Times New Roman" w:hAnsi="Times New Roman"/>
                <w:sz w:val="20"/>
                <w:szCs w:val="20"/>
              </w:rPr>
              <w:t>ka_open</w:t>
            </w:r>
            <w:proofErr w:type="spellEnd"/>
            <w:r w:rsidRPr="002E2C37">
              <w:rPr>
                <w:rFonts w:ascii="Times New Roman" w:hAnsi="Times New Roman"/>
                <w:sz w:val="20"/>
                <w:szCs w:val="20"/>
              </w:rPr>
              <w:t>) between 1990 and 2016</w:t>
            </w:r>
          </w:p>
        </w:tc>
        <w:tc>
          <w:tcPr>
            <w:tcW w:w="4029" w:type="dxa"/>
          </w:tcPr>
          <w:p w14:paraId="30E3EFBF"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Calculated from updated Chinn and Ito data at </w:t>
            </w:r>
            <w:hyperlink r:id="rId12" w:history="1">
              <w:r w:rsidRPr="002E2C37">
                <w:rPr>
                  <w:rFonts w:ascii="Times New Roman" w:hAnsi="Times New Roman"/>
                  <w:color w:val="0563C1"/>
                  <w:sz w:val="20"/>
                  <w:szCs w:val="20"/>
                  <w:u w:val="single"/>
                </w:rPr>
                <w:t>http://web.pdx.edu/~ito/Chinn-Ito_website.htm</w:t>
              </w:r>
            </w:hyperlink>
          </w:p>
        </w:tc>
      </w:tr>
      <w:tr w:rsidR="00AE74B3" w:rsidRPr="002E2C37" w14:paraId="5E9F3005" w14:textId="77777777" w:rsidTr="007E665C">
        <w:tc>
          <w:tcPr>
            <w:tcW w:w="2410" w:type="dxa"/>
          </w:tcPr>
          <w:p w14:paraId="1D15D847" w14:textId="4C2417A9" w:rsidR="00AE74B3" w:rsidRPr="002E2C37" w:rsidRDefault="00AE74B3" w:rsidP="00110601">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 xml:space="preserve">volatility of portfolio </w:t>
            </w:r>
            <w:r w:rsidR="00110601">
              <w:rPr>
                <w:rFonts w:ascii="Times New Roman" w:hAnsi="Times New Roman"/>
                <w:caps/>
                <w:sz w:val="20"/>
                <w:szCs w:val="20"/>
              </w:rPr>
              <w:lastRenderedPageBreak/>
              <w:t>OUT</w:t>
            </w:r>
            <w:r w:rsidR="00110601" w:rsidRPr="002E2C37">
              <w:rPr>
                <w:rFonts w:ascii="Times New Roman" w:hAnsi="Times New Roman"/>
                <w:caps/>
                <w:sz w:val="20"/>
                <w:szCs w:val="20"/>
              </w:rPr>
              <w:t>flows</w:t>
            </w:r>
          </w:p>
        </w:tc>
        <w:tc>
          <w:tcPr>
            <w:tcW w:w="1640" w:type="dxa"/>
          </w:tcPr>
          <w:p w14:paraId="6A16E6F2"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lastRenderedPageBreak/>
              <w:t>Push Factor</w:t>
            </w:r>
          </w:p>
        </w:tc>
        <w:tc>
          <w:tcPr>
            <w:tcW w:w="4881" w:type="dxa"/>
          </w:tcPr>
          <w:p w14:paraId="0BA6B2E0"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Average volatility of net portfolio (equities and debt securities) outflows (1990-2016), calculated as the </w:t>
            </w:r>
            <w:r w:rsidRPr="002E2C37">
              <w:rPr>
                <w:rFonts w:ascii="Times New Roman" w:hAnsi="Times New Roman"/>
                <w:sz w:val="20"/>
                <w:szCs w:val="20"/>
              </w:rPr>
              <w:lastRenderedPageBreak/>
              <w:t xml:space="preserve">average of yearly standard deviation of the absolute values of the quarterly residuals derived from an ARIMA (1, 1, 0) regression of partner’s quarterly portfolio net outflows as a share of its GDP (in U.S. dollars based on national currency GDP converted into dollars at the nominal exchange rate, period average) between 1990Q1 and 2016Q4.  See </w:t>
            </w:r>
            <w:proofErr w:type="spellStart"/>
            <w:r w:rsidRPr="002E2C37">
              <w:rPr>
                <w:rFonts w:ascii="Times New Roman" w:hAnsi="Times New Roman"/>
                <w:sz w:val="20"/>
                <w:szCs w:val="20"/>
              </w:rPr>
              <w:t>Broto</w:t>
            </w:r>
            <w:proofErr w:type="spellEnd"/>
            <w:r w:rsidRPr="002E2C37">
              <w:rPr>
                <w:rFonts w:ascii="Times New Roman" w:hAnsi="Times New Roman"/>
                <w:sz w:val="20"/>
                <w:szCs w:val="20"/>
              </w:rPr>
              <w:t xml:space="preserve"> et al (2011)</w:t>
            </w:r>
          </w:p>
        </w:tc>
        <w:tc>
          <w:tcPr>
            <w:tcW w:w="4029" w:type="dxa"/>
          </w:tcPr>
          <w:p w14:paraId="1528F081"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lastRenderedPageBreak/>
              <w:t xml:space="preserve">Authors’ work based on raw data from International Financial Statistics (IFS).  Our </w:t>
            </w:r>
            <w:r w:rsidRPr="002E2C37">
              <w:rPr>
                <w:rFonts w:ascii="Times New Roman" w:hAnsi="Times New Roman"/>
                <w:sz w:val="20"/>
                <w:szCs w:val="20"/>
              </w:rPr>
              <w:lastRenderedPageBreak/>
              <w:t xml:space="preserve">portfolio capital outflow data is from IFS series BFPA_BP6_USD (Balance of Payments, Financial account, Portfolio investment, Net acquisition of financial assets, US Dollars). GDP data is IFS “Gross Domestic Product, Nominal, Domestic Currency (NGDP_XDC).” Exchange rate data is IFS “Exchange Rates, US Dollar per Domestic Currency, Period Average, Rate (EDNA_USD_XDC_RATE).” We obtained quarterly GDP data, missing from the IFS, for Egypt, Jordan, Kazakhstan, Malta, Mexico, Mongolia, Morocco, Netherlands, Panama, Paraguay, Portugal, Saudi Arabia, South Africa, Spain, Sri Lanka, Tajikistan, Ukraine and the U.S. from the CEIC global database. </w:t>
            </w:r>
          </w:p>
        </w:tc>
      </w:tr>
      <w:tr w:rsidR="00AE74B3" w:rsidRPr="002E2C37" w14:paraId="61EDFEEE" w14:textId="77777777" w:rsidTr="007E665C">
        <w:tc>
          <w:tcPr>
            <w:tcW w:w="2410" w:type="dxa"/>
          </w:tcPr>
          <w:p w14:paraId="1C0221A3"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lastRenderedPageBreak/>
              <w:t>Social Unrest during imf programs</w:t>
            </w:r>
          </w:p>
        </w:tc>
        <w:tc>
          <w:tcPr>
            <w:tcW w:w="1640" w:type="dxa"/>
          </w:tcPr>
          <w:p w14:paraId="18D11A52"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Push Factor</w:t>
            </w:r>
          </w:p>
        </w:tc>
        <w:tc>
          <w:tcPr>
            <w:tcW w:w="4881" w:type="dxa"/>
          </w:tcPr>
          <w:p w14:paraId="28EB86CB"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Cumulative count of social unrest over 1990-2017. A country is coded a value of 1 if a general strike, anti-government demonstration, government crisis, or major riot occurred in a given year when the country was involved in an IMF program, and 0 otherwise. We sum values for each country over the period 1990-2017.</w:t>
            </w:r>
          </w:p>
        </w:tc>
        <w:tc>
          <w:tcPr>
            <w:tcW w:w="4029" w:type="dxa"/>
          </w:tcPr>
          <w:p w14:paraId="6E9EECC4" w14:textId="77777777" w:rsidR="00AE74B3" w:rsidRPr="002E2C37" w:rsidRDefault="00AE74B3" w:rsidP="007E665C">
            <w:pPr>
              <w:widowControl w:val="0"/>
              <w:autoSpaceDE w:val="0"/>
              <w:autoSpaceDN w:val="0"/>
              <w:adjustRightInd w:val="0"/>
              <w:contextualSpacing/>
              <w:rPr>
                <w:rFonts w:ascii="Times New Roman" w:hAnsi="Times New Roman"/>
                <w:color w:val="0563C1" w:themeColor="hyperlink"/>
                <w:sz w:val="20"/>
                <w:szCs w:val="20"/>
                <w:u w:val="single"/>
              </w:rPr>
            </w:pPr>
            <w:r w:rsidRPr="002E2C37">
              <w:rPr>
                <w:rFonts w:ascii="Times New Roman" w:hAnsi="Times New Roman"/>
                <w:sz w:val="20"/>
                <w:szCs w:val="20"/>
              </w:rPr>
              <w:t xml:space="preserve">Author’s work based on raw data from Cross-National Time-Series Data Archive (CNTSDATA) at: </w:t>
            </w:r>
            <w:hyperlink r:id="rId13" w:history="1">
              <w:r w:rsidRPr="002E2C37">
                <w:rPr>
                  <w:rStyle w:val="Hyperlink"/>
                  <w:rFonts w:ascii="Times New Roman" w:hAnsi="Times New Roman"/>
                  <w:sz w:val="20"/>
                  <w:szCs w:val="20"/>
                </w:rPr>
                <w:t>https://www.cntsdata.com/</w:t>
              </w:r>
            </w:hyperlink>
            <w:r w:rsidRPr="002E2C37">
              <w:rPr>
                <w:rStyle w:val="Hyperlink"/>
                <w:rFonts w:ascii="Times New Roman" w:hAnsi="Times New Roman"/>
                <w:sz w:val="20"/>
                <w:szCs w:val="20"/>
              </w:rPr>
              <w:t xml:space="preserve"> </w:t>
            </w:r>
            <w:r w:rsidRPr="002E2C37">
              <w:rPr>
                <w:rStyle w:val="Hyperlink"/>
                <w:rFonts w:ascii="Times New Roman" w:hAnsi="Times New Roman"/>
                <w:color w:val="auto"/>
                <w:sz w:val="20"/>
                <w:szCs w:val="20"/>
                <w:u w:val="none"/>
              </w:rPr>
              <w:t>Dates of IMF programs are from the IMF.</w:t>
            </w:r>
          </w:p>
        </w:tc>
      </w:tr>
      <w:tr w:rsidR="00AE74B3" w:rsidRPr="002E2C37" w14:paraId="236A3A33" w14:textId="77777777" w:rsidTr="007E665C">
        <w:tc>
          <w:tcPr>
            <w:tcW w:w="2410" w:type="dxa"/>
          </w:tcPr>
          <w:p w14:paraId="0259E7AD"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wto COMPLAINTS against the U.S.</w:t>
            </w:r>
          </w:p>
        </w:tc>
        <w:tc>
          <w:tcPr>
            <w:tcW w:w="1640" w:type="dxa"/>
          </w:tcPr>
          <w:p w14:paraId="4E198AF3"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Push Factor</w:t>
            </w:r>
          </w:p>
        </w:tc>
        <w:tc>
          <w:tcPr>
            <w:tcW w:w="4881" w:type="dxa"/>
          </w:tcPr>
          <w:p w14:paraId="44F46179" w14:textId="0A890132"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Cumulative count of WTO cases filed against the U.S. between 1995 and 2016.  A country is coded a value of 1 if it lodged a complaint against the U.S. for </w:t>
            </w:r>
            <w:r w:rsidRPr="002E2C37">
              <w:rPr>
                <w:rFonts w:ascii="Times New Roman" w:hAnsi="Times New Roman"/>
                <w:i/>
                <w:sz w:val="20"/>
                <w:szCs w:val="20"/>
              </w:rPr>
              <w:t xml:space="preserve">anti-dumping, subsidies and countervailing measures, </w:t>
            </w:r>
            <w:r w:rsidRPr="002E2C37">
              <w:rPr>
                <w:rFonts w:ascii="Times New Roman" w:hAnsi="Times New Roman"/>
                <w:sz w:val="20"/>
                <w:szCs w:val="20"/>
              </w:rPr>
              <w:t>or</w:t>
            </w:r>
            <w:r w:rsidRPr="002E2C37">
              <w:rPr>
                <w:rFonts w:ascii="Times New Roman" w:hAnsi="Times New Roman"/>
                <w:i/>
                <w:sz w:val="20"/>
                <w:szCs w:val="20"/>
              </w:rPr>
              <w:t xml:space="preserve"> safeguards</w:t>
            </w:r>
            <w:r w:rsidRPr="002E2C37">
              <w:rPr>
                <w:rFonts w:ascii="Times New Roman" w:hAnsi="Times New Roman"/>
                <w:sz w:val="20"/>
                <w:szCs w:val="20"/>
              </w:rPr>
              <w:t xml:space="preserve"> infringements in a given year, and 0 otherwise.  We then sum all such cases over the period 1990-2016.</w:t>
            </w:r>
            <w:r w:rsidR="008F046D">
              <w:rPr>
                <w:rFonts w:ascii="Times New Roman" w:hAnsi="Times New Roman"/>
                <w:sz w:val="20"/>
                <w:szCs w:val="20"/>
              </w:rPr>
              <w:t xml:space="preserve"> </w:t>
            </w:r>
            <w:r w:rsidR="00CD5638" w:rsidRPr="00CD5638">
              <w:rPr>
                <w:rFonts w:ascii="Times New Roman" w:hAnsi="Times New Roman"/>
                <w:sz w:val="20"/>
                <w:szCs w:val="20"/>
              </w:rPr>
              <w:t xml:space="preserve">Assigning WTO complaints to members of the European Union (EU) introduces measurement error in our data. </w:t>
            </w:r>
            <w:r w:rsidR="008F046D">
              <w:rPr>
                <w:rFonts w:ascii="Times New Roman" w:eastAsiaTheme="minorEastAsia" w:hAnsi="Times New Roman"/>
                <w:sz w:val="20"/>
                <w:szCs w:val="20"/>
                <w:lang w:eastAsia="en-US"/>
              </w:rPr>
              <w:t>W</w:t>
            </w:r>
            <w:r w:rsidRPr="002E2C37">
              <w:rPr>
                <w:rFonts w:ascii="Times New Roman" w:eastAsiaTheme="minorEastAsia" w:hAnsi="Times New Roman"/>
                <w:sz w:val="20"/>
                <w:szCs w:val="20"/>
                <w:lang w:eastAsia="en-US"/>
              </w:rPr>
              <w:t xml:space="preserve">hen there is an EU case in a given year, if the EU member that initiated the complaint is clearly identified in WTO documents, we assign a value of 1 for that member, while other EU members are coded 0.  If no EU member is clearly identified in the documentation, we treat it as missing information and assign a (.) to each EU member in that year.  However, in years when there were no EU cases against the U.S., we code each member a “0”. </w:t>
            </w:r>
            <w:r w:rsidRPr="002E2C37">
              <w:rPr>
                <w:rFonts w:ascii="Times New Roman" w:hAnsi="Times New Roman"/>
                <w:sz w:val="20"/>
                <w:szCs w:val="20"/>
              </w:rPr>
              <w:t xml:space="preserve">Based on these coding rules, we have a panel data for all EU member nations between 1990 and 2016. We sum </w:t>
            </w:r>
            <w:r w:rsidRPr="002E2C37">
              <w:rPr>
                <w:rFonts w:ascii="Times New Roman" w:hAnsi="Times New Roman"/>
                <w:sz w:val="20"/>
                <w:szCs w:val="20"/>
              </w:rPr>
              <w:lastRenderedPageBreak/>
              <w:t>up the numbers for each country to create the trade grievances variable. This implies that any EU member with (.) will not be found in cross-section data.</w:t>
            </w:r>
          </w:p>
        </w:tc>
        <w:tc>
          <w:tcPr>
            <w:tcW w:w="4029" w:type="dxa"/>
          </w:tcPr>
          <w:p w14:paraId="6E4C3D97"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lastRenderedPageBreak/>
              <w:t xml:space="preserve">Authors’ work based on raw data from the </w:t>
            </w:r>
          </w:p>
          <w:p w14:paraId="7DE3B380"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WTO (</w:t>
            </w:r>
            <w:hyperlink r:id="rId14" w:history="1">
              <w:r w:rsidRPr="002E2C37">
                <w:rPr>
                  <w:rStyle w:val="Hyperlink"/>
                  <w:rFonts w:ascii="Times New Roman" w:hAnsi="Times New Roman"/>
                </w:rPr>
                <w:t>https://www.wto.org/english/tratop_e/dispu_e/find_dispu_cases_e.htm</w:t>
              </w:r>
            </w:hyperlink>
            <w:r w:rsidRPr="002E2C37">
              <w:rPr>
                <w:rStyle w:val="Hyperlink"/>
                <w:rFonts w:ascii="Times New Roman" w:hAnsi="Times New Roman"/>
              </w:rPr>
              <w:t>)</w:t>
            </w:r>
            <w:r w:rsidRPr="002E2C37">
              <w:rPr>
                <w:rFonts w:ascii="Times New Roman" w:hAnsi="Times New Roman"/>
                <w:sz w:val="20"/>
                <w:szCs w:val="20"/>
              </w:rPr>
              <w:t xml:space="preserve"> and the European Commission</w:t>
            </w:r>
            <w:r w:rsidRPr="002E2C37">
              <w:rPr>
                <w:rStyle w:val="Hyperlink"/>
                <w:rFonts w:ascii="Times New Roman" w:hAnsi="Times New Roman"/>
                <w:u w:val="none"/>
              </w:rPr>
              <w:t xml:space="preserve"> </w:t>
            </w:r>
            <w:r w:rsidRPr="002E2C37">
              <w:rPr>
                <w:rStyle w:val="Hyperlink"/>
                <w:rFonts w:ascii="Times New Roman" w:hAnsi="Times New Roman"/>
              </w:rPr>
              <w:t>(</w:t>
            </w:r>
            <w:hyperlink r:id="rId15" w:history="1">
              <w:r w:rsidRPr="002E2C37">
                <w:rPr>
                  <w:rStyle w:val="Hyperlink"/>
                  <w:rFonts w:ascii="Times New Roman" w:hAnsi="Times New Roman"/>
                </w:rPr>
                <w:t>http://trade.ec.europa.eu/wtodispute/search.cfm?code=1</w:t>
              </w:r>
            </w:hyperlink>
            <w:r w:rsidRPr="002E2C37">
              <w:rPr>
                <w:rStyle w:val="Hyperlink"/>
                <w:rFonts w:ascii="Times New Roman" w:hAnsi="Times New Roman"/>
              </w:rPr>
              <w:t>).</w:t>
            </w:r>
          </w:p>
        </w:tc>
      </w:tr>
      <w:tr w:rsidR="00AE74B3" w:rsidRPr="002E2C37" w14:paraId="59134245" w14:textId="77777777" w:rsidTr="007E665C">
        <w:tc>
          <w:tcPr>
            <w:tcW w:w="2410" w:type="dxa"/>
          </w:tcPr>
          <w:p w14:paraId="3D478461"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IMF Governance Deficit</w:t>
            </w:r>
          </w:p>
        </w:tc>
        <w:tc>
          <w:tcPr>
            <w:tcW w:w="1640" w:type="dxa"/>
          </w:tcPr>
          <w:p w14:paraId="7BAE4C82"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Push Factor</w:t>
            </w:r>
          </w:p>
        </w:tc>
        <w:tc>
          <w:tcPr>
            <w:tcW w:w="4881" w:type="dxa"/>
          </w:tcPr>
          <w:p w14:paraId="68BA1E2C"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IMF vote share minus GDP (current USD) share of world economy in 2015 (before the implementation of the IMF’s 2010 governance reform)</w:t>
            </w:r>
          </w:p>
        </w:tc>
        <w:tc>
          <w:tcPr>
            <w:tcW w:w="4029" w:type="dxa"/>
          </w:tcPr>
          <w:p w14:paraId="47245D11"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International Financial Statistic (IFS), World Development Indicators (WDI)</w:t>
            </w:r>
          </w:p>
        </w:tc>
      </w:tr>
      <w:tr w:rsidR="00AE74B3" w:rsidRPr="002E2C37" w14:paraId="120696AB" w14:textId="77777777" w:rsidTr="007E665C">
        <w:tc>
          <w:tcPr>
            <w:tcW w:w="2410" w:type="dxa"/>
          </w:tcPr>
          <w:p w14:paraId="52E23CE3" w14:textId="1FAC81DE" w:rsidR="00AE74B3" w:rsidRPr="002E2C37" w:rsidRDefault="00AE74B3" w:rsidP="00110601">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 xml:space="preserve">Ideal Point Distance </w:t>
            </w:r>
            <w:r w:rsidR="00110601">
              <w:rPr>
                <w:rFonts w:ascii="Times New Roman" w:hAnsi="Times New Roman"/>
                <w:caps/>
                <w:sz w:val="20"/>
                <w:szCs w:val="20"/>
              </w:rPr>
              <w:t>FROM CHINA</w:t>
            </w:r>
          </w:p>
        </w:tc>
        <w:tc>
          <w:tcPr>
            <w:tcW w:w="1640" w:type="dxa"/>
          </w:tcPr>
          <w:p w14:paraId="4C46B8EA"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Push Factor</w:t>
            </w:r>
          </w:p>
        </w:tc>
        <w:tc>
          <w:tcPr>
            <w:tcW w:w="4881" w:type="dxa"/>
          </w:tcPr>
          <w:p w14:paraId="5030CACA" w14:textId="37FEE276" w:rsidR="00AE74B3" w:rsidRPr="002E2C37" w:rsidRDefault="00AE74B3" w:rsidP="00110601">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Estimated ideal point distance with </w:t>
            </w:r>
            <w:r w:rsidR="00110601">
              <w:rPr>
                <w:rFonts w:ascii="Times New Roman" w:hAnsi="Times New Roman"/>
                <w:sz w:val="20"/>
                <w:szCs w:val="20"/>
              </w:rPr>
              <w:t>China</w:t>
            </w:r>
            <w:r w:rsidR="00110601" w:rsidRPr="002E2C37">
              <w:rPr>
                <w:rFonts w:ascii="Times New Roman" w:hAnsi="Times New Roman"/>
                <w:sz w:val="20"/>
                <w:szCs w:val="20"/>
              </w:rPr>
              <w:t xml:space="preserve"> </w:t>
            </w:r>
            <w:r w:rsidRPr="002E2C37">
              <w:rPr>
                <w:rFonts w:ascii="Times New Roman" w:hAnsi="Times New Roman"/>
                <w:sz w:val="20"/>
                <w:szCs w:val="20"/>
              </w:rPr>
              <w:t>derived from voting records in the United Nations General Assembly, averaged over 2013-2016</w:t>
            </w:r>
          </w:p>
        </w:tc>
        <w:tc>
          <w:tcPr>
            <w:tcW w:w="4029" w:type="dxa"/>
          </w:tcPr>
          <w:p w14:paraId="7AE082CB"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Bailey, </w:t>
            </w:r>
            <w:proofErr w:type="spellStart"/>
            <w:r w:rsidRPr="002E2C37">
              <w:rPr>
                <w:rFonts w:ascii="Times New Roman" w:hAnsi="Times New Roman"/>
                <w:sz w:val="20"/>
                <w:szCs w:val="20"/>
              </w:rPr>
              <w:t>Strezhnev</w:t>
            </w:r>
            <w:proofErr w:type="spellEnd"/>
            <w:r w:rsidRPr="002E2C37">
              <w:rPr>
                <w:rFonts w:ascii="Times New Roman" w:hAnsi="Times New Roman"/>
                <w:sz w:val="20"/>
                <w:szCs w:val="20"/>
              </w:rPr>
              <w:t xml:space="preserve"> and </w:t>
            </w:r>
            <w:proofErr w:type="spellStart"/>
            <w:r w:rsidRPr="002E2C37">
              <w:rPr>
                <w:rFonts w:ascii="Times New Roman" w:hAnsi="Times New Roman"/>
                <w:sz w:val="20"/>
                <w:szCs w:val="20"/>
              </w:rPr>
              <w:t>Voeten</w:t>
            </w:r>
            <w:proofErr w:type="spellEnd"/>
            <w:r w:rsidRPr="002E2C37">
              <w:rPr>
                <w:rFonts w:ascii="Times New Roman" w:hAnsi="Times New Roman"/>
                <w:sz w:val="20"/>
                <w:szCs w:val="20"/>
              </w:rPr>
              <w:t xml:space="preserve"> (2017) at: </w:t>
            </w:r>
            <w:hyperlink r:id="rId16" w:history="1">
              <w:r w:rsidRPr="002E2C37">
                <w:rPr>
                  <w:rStyle w:val="Hyperlink"/>
                  <w:rFonts w:ascii="Times New Roman" w:hAnsi="Times New Roman"/>
                  <w:sz w:val="20"/>
                  <w:szCs w:val="20"/>
                </w:rPr>
                <w:t>https://dataverse.harvard.edu/dataset.xhtml?persistentId=hdl:1902.1/12379</w:t>
              </w:r>
            </w:hyperlink>
          </w:p>
        </w:tc>
      </w:tr>
      <w:tr w:rsidR="00AE74B3" w:rsidRPr="002E2C37" w14:paraId="42AF916D" w14:textId="77777777" w:rsidTr="007E665C">
        <w:tc>
          <w:tcPr>
            <w:tcW w:w="2410" w:type="dxa"/>
          </w:tcPr>
          <w:p w14:paraId="21CEC769"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 xml:space="preserve">Regime Type </w:t>
            </w:r>
          </w:p>
        </w:tc>
        <w:tc>
          <w:tcPr>
            <w:tcW w:w="1640" w:type="dxa"/>
          </w:tcPr>
          <w:p w14:paraId="14C4BDD8"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Control Variable</w:t>
            </w:r>
          </w:p>
        </w:tc>
        <w:tc>
          <w:tcPr>
            <w:tcW w:w="4881" w:type="dxa"/>
          </w:tcPr>
          <w:p w14:paraId="5AB3D1DF"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POLITY IV democracy score. Ranges from -10 (strongly autocratic) to 10 (strongly democratic)</w:t>
            </w:r>
          </w:p>
        </w:tc>
        <w:tc>
          <w:tcPr>
            <w:tcW w:w="4029" w:type="dxa"/>
          </w:tcPr>
          <w:p w14:paraId="3F874003"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POLITY IV. </w:t>
            </w:r>
            <w:hyperlink r:id="rId17" w:history="1">
              <w:r w:rsidRPr="002E2C37">
                <w:rPr>
                  <w:rFonts w:ascii="Times New Roman" w:hAnsi="Times New Roman"/>
                  <w:color w:val="0563C1"/>
                  <w:sz w:val="20"/>
                  <w:szCs w:val="20"/>
                  <w:u w:val="single"/>
                </w:rPr>
                <w:t>http://www.systemicpeace.org/inscrdata.html</w:t>
              </w:r>
            </w:hyperlink>
          </w:p>
        </w:tc>
      </w:tr>
      <w:tr w:rsidR="00AE74B3" w:rsidRPr="002E2C37" w14:paraId="351BE3BA" w14:textId="77777777" w:rsidTr="007E665C">
        <w:tc>
          <w:tcPr>
            <w:tcW w:w="2410" w:type="dxa"/>
          </w:tcPr>
          <w:p w14:paraId="646AD05F"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Leader ideology</w:t>
            </w:r>
          </w:p>
        </w:tc>
        <w:tc>
          <w:tcPr>
            <w:tcW w:w="1640" w:type="dxa"/>
          </w:tcPr>
          <w:p w14:paraId="70C8BB2E"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Control Variable</w:t>
            </w:r>
          </w:p>
        </w:tc>
        <w:tc>
          <w:tcPr>
            <w:tcW w:w="4881" w:type="dxa"/>
          </w:tcPr>
          <w:p w14:paraId="5FC1B86A"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Leader’s ideology,  1 = right, 2  = center, 3 = left, and 0 if none</w:t>
            </w:r>
          </w:p>
        </w:tc>
        <w:tc>
          <w:tcPr>
            <w:tcW w:w="4029" w:type="dxa"/>
          </w:tcPr>
          <w:p w14:paraId="25CC9925" w14:textId="336BE6AB"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Authors’ calculation based on data from </w:t>
            </w:r>
            <w:bookmarkStart w:id="0" w:name="_GoBack"/>
            <w:r w:rsidR="001C46EE">
              <w:rPr>
                <w:rFonts w:ascii="Times New Roman" w:hAnsi="Times New Roman"/>
                <w:sz w:val="20"/>
                <w:szCs w:val="20"/>
              </w:rPr>
              <w:t>Database of Political Institutions 2015 and</w:t>
            </w:r>
            <w:bookmarkEnd w:id="0"/>
            <w:r w:rsidR="001C46EE">
              <w:rPr>
                <w:rFonts w:ascii="Times New Roman" w:hAnsi="Times New Roman"/>
                <w:sz w:val="20"/>
                <w:szCs w:val="20"/>
              </w:rPr>
              <w:t xml:space="preserve"> </w:t>
            </w:r>
            <w:r w:rsidRPr="002E2C37">
              <w:rPr>
                <w:rFonts w:ascii="Times New Roman" w:hAnsi="Times New Roman"/>
                <w:sz w:val="20"/>
                <w:szCs w:val="20"/>
              </w:rPr>
              <w:t xml:space="preserve">the Political Handbook of the World 2016-2017, updated to May 2017 by authors’ Google search if the regime changed or leader changed in a country after the Handbook was published. </w:t>
            </w:r>
          </w:p>
        </w:tc>
      </w:tr>
      <w:tr w:rsidR="00AE74B3" w:rsidRPr="002E2C37" w14:paraId="58C2DED2" w14:textId="77777777" w:rsidTr="007E665C">
        <w:tc>
          <w:tcPr>
            <w:tcW w:w="2410" w:type="dxa"/>
          </w:tcPr>
          <w:p w14:paraId="09FC34C2"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AFRICA DUMMY</w:t>
            </w:r>
          </w:p>
        </w:tc>
        <w:tc>
          <w:tcPr>
            <w:tcW w:w="1640" w:type="dxa"/>
          </w:tcPr>
          <w:p w14:paraId="2B80B651"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Control Variable</w:t>
            </w:r>
          </w:p>
        </w:tc>
        <w:tc>
          <w:tcPr>
            <w:tcW w:w="4881" w:type="dxa"/>
          </w:tcPr>
          <w:p w14:paraId="03DF11FA"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1=YES, 0=NO</w:t>
            </w:r>
          </w:p>
        </w:tc>
        <w:tc>
          <w:tcPr>
            <w:tcW w:w="4029" w:type="dxa"/>
          </w:tcPr>
          <w:p w14:paraId="1FC1616A"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Authors’ work</w:t>
            </w:r>
          </w:p>
        </w:tc>
      </w:tr>
      <w:tr w:rsidR="00AE74B3" w:rsidRPr="002E2C37" w14:paraId="2F0FA385" w14:textId="77777777" w:rsidTr="007E665C">
        <w:tc>
          <w:tcPr>
            <w:tcW w:w="2410" w:type="dxa"/>
          </w:tcPr>
          <w:p w14:paraId="46EB0AC9"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gdp growth</w:t>
            </w:r>
          </w:p>
        </w:tc>
        <w:tc>
          <w:tcPr>
            <w:tcW w:w="1640" w:type="dxa"/>
          </w:tcPr>
          <w:p w14:paraId="42099B75"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Control Variable</w:t>
            </w:r>
          </w:p>
        </w:tc>
        <w:tc>
          <w:tcPr>
            <w:tcW w:w="4881" w:type="dxa"/>
          </w:tcPr>
          <w:p w14:paraId="059DBA90"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Real GDP per capita growth, in percent, averaged over 2013-2016</w:t>
            </w:r>
          </w:p>
        </w:tc>
        <w:tc>
          <w:tcPr>
            <w:tcW w:w="4029" w:type="dxa"/>
          </w:tcPr>
          <w:p w14:paraId="0F0ADEBD"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Authors’ calculation based on WEO data on GDP per capita (current USD)</w:t>
            </w:r>
          </w:p>
        </w:tc>
      </w:tr>
      <w:tr w:rsidR="00AE74B3" w:rsidRPr="002E2C37" w14:paraId="4E24D709" w14:textId="77777777" w:rsidTr="007E665C">
        <w:tc>
          <w:tcPr>
            <w:tcW w:w="2410" w:type="dxa"/>
          </w:tcPr>
          <w:p w14:paraId="0600FB43"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GDP</w:t>
            </w:r>
          </w:p>
        </w:tc>
        <w:tc>
          <w:tcPr>
            <w:tcW w:w="1640" w:type="dxa"/>
          </w:tcPr>
          <w:p w14:paraId="6EB3F9ED"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Control Variable</w:t>
            </w:r>
          </w:p>
        </w:tc>
        <w:tc>
          <w:tcPr>
            <w:tcW w:w="4881" w:type="dxa"/>
          </w:tcPr>
          <w:p w14:paraId="0987E8F8"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National GDP (current USD) averaged over 2013-2016 </w:t>
            </w:r>
          </w:p>
        </w:tc>
        <w:tc>
          <w:tcPr>
            <w:tcW w:w="4029" w:type="dxa"/>
          </w:tcPr>
          <w:p w14:paraId="3E012CEA"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Authors’ calculation based on raw data from WDI</w:t>
            </w:r>
          </w:p>
        </w:tc>
      </w:tr>
      <w:tr w:rsidR="00AE74B3" w:rsidRPr="002E2C37" w14:paraId="7FCEB66B" w14:textId="77777777" w:rsidTr="007E665C">
        <w:tc>
          <w:tcPr>
            <w:tcW w:w="2410" w:type="dxa"/>
          </w:tcPr>
          <w:p w14:paraId="765A5FCA"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GDPPC</w:t>
            </w:r>
          </w:p>
        </w:tc>
        <w:tc>
          <w:tcPr>
            <w:tcW w:w="1640" w:type="dxa"/>
          </w:tcPr>
          <w:p w14:paraId="0419BB54"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Control Variable</w:t>
            </w:r>
          </w:p>
        </w:tc>
        <w:tc>
          <w:tcPr>
            <w:tcW w:w="4881" w:type="dxa"/>
          </w:tcPr>
          <w:p w14:paraId="6A342B34"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GDP per capita (current USD) averaged over 2013-2016. </w:t>
            </w:r>
            <w:r w:rsidRPr="002E2C37">
              <w:rPr>
                <w:rFonts w:ascii="Times New Roman" w:hAnsi="Times New Roman"/>
              </w:rPr>
              <w:t>We take the log of GDPPC to address cross-sectional heteroscedasticity in the regressions that also include GDP.</w:t>
            </w:r>
          </w:p>
        </w:tc>
        <w:tc>
          <w:tcPr>
            <w:tcW w:w="4029" w:type="dxa"/>
          </w:tcPr>
          <w:p w14:paraId="6E6A51BD"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Authors’ calculation based on raw data from WDI</w:t>
            </w:r>
          </w:p>
        </w:tc>
      </w:tr>
      <w:tr w:rsidR="00AE74B3" w:rsidRPr="002E2C37" w14:paraId="717830F6" w14:textId="77777777" w:rsidTr="007E665C">
        <w:tc>
          <w:tcPr>
            <w:tcW w:w="2410" w:type="dxa"/>
          </w:tcPr>
          <w:p w14:paraId="38392354" w14:textId="77777777" w:rsidR="00AE74B3" w:rsidRPr="002E2C37" w:rsidRDefault="00AE74B3" w:rsidP="007E665C">
            <w:pPr>
              <w:widowControl w:val="0"/>
              <w:autoSpaceDE w:val="0"/>
              <w:autoSpaceDN w:val="0"/>
              <w:adjustRightInd w:val="0"/>
              <w:contextualSpacing/>
              <w:rPr>
                <w:rFonts w:ascii="Times New Roman" w:hAnsi="Times New Roman"/>
                <w:caps/>
                <w:sz w:val="20"/>
                <w:szCs w:val="20"/>
              </w:rPr>
            </w:pPr>
            <w:r w:rsidRPr="002E2C37">
              <w:rPr>
                <w:rFonts w:ascii="Times New Roman" w:hAnsi="Times New Roman"/>
                <w:caps/>
                <w:sz w:val="20"/>
                <w:szCs w:val="20"/>
              </w:rPr>
              <w:t>CIRI HUMAN RIGHTS INDEX</w:t>
            </w:r>
          </w:p>
        </w:tc>
        <w:tc>
          <w:tcPr>
            <w:tcW w:w="1640" w:type="dxa"/>
          </w:tcPr>
          <w:p w14:paraId="030D1C1F"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Control Variable</w:t>
            </w:r>
          </w:p>
        </w:tc>
        <w:tc>
          <w:tcPr>
            <w:tcW w:w="4881" w:type="dxa"/>
          </w:tcPr>
          <w:p w14:paraId="28FC7322"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Physical integrity rights index (PHYSINT) averaged over the 1990-2011 (the data end in 2011). The index ranges from 0 to 8. An increase in the value indicates an improvement in human rights conditions</w:t>
            </w:r>
          </w:p>
        </w:tc>
        <w:tc>
          <w:tcPr>
            <w:tcW w:w="4029" w:type="dxa"/>
          </w:tcPr>
          <w:p w14:paraId="77D996B9" w14:textId="77777777" w:rsidR="00AE74B3" w:rsidRPr="002E2C37" w:rsidRDefault="00AE74B3" w:rsidP="007E665C">
            <w:pPr>
              <w:widowControl w:val="0"/>
              <w:autoSpaceDE w:val="0"/>
              <w:autoSpaceDN w:val="0"/>
              <w:adjustRightInd w:val="0"/>
              <w:contextualSpacing/>
              <w:rPr>
                <w:rFonts w:ascii="Times New Roman" w:hAnsi="Times New Roman"/>
                <w:sz w:val="20"/>
                <w:szCs w:val="20"/>
              </w:rPr>
            </w:pPr>
            <w:r w:rsidRPr="002E2C37">
              <w:rPr>
                <w:rFonts w:ascii="Times New Roman" w:hAnsi="Times New Roman"/>
                <w:sz w:val="20"/>
                <w:szCs w:val="20"/>
              </w:rPr>
              <w:t xml:space="preserve">Author’s work based on raw data from CIRI Human Rights Data Project at: </w:t>
            </w:r>
            <w:hyperlink r:id="rId18" w:history="1">
              <w:r w:rsidRPr="002E2C37">
                <w:rPr>
                  <w:rStyle w:val="Hyperlink"/>
                  <w:rFonts w:ascii="Times New Roman" w:hAnsi="Times New Roman"/>
                  <w:sz w:val="20"/>
                  <w:szCs w:val="20"/>
                </w:rPr>
                <w:t>http://www.humanrightsdata.com/p/data-documentation.html</w:t>
              </w:r>
            </w:hyperlink>
          </w:p>
        </w:tc>
      </w:tr>
    </w:tbl>
    <w:p w14:paraId="3FA90EE9" w14:textId="77777777" w:rsidR="00645298" w:rsidRDefault="00645298" w:rsidP="0012458C">
      <w:pPr>
        <w:rPr>
          <w:rFonts w:ascii="Times New Roman" w:hAnsi="Times New Roman" w:cs="Times New Roman"/>
        </w:rPr>
        <w:sectPr w:rsidR="00645298" w:rsidSect="0050547F">
          <w:footerReference w:type="default" r:id="rId19"/>
          <w:pgSz w:w="15840" w:h="12240" w:orient="landscape"/>
          <w:pgMar w:top="1440" w:right="1440" w:bottom="1440" w:left="1440" w:header="720" w:footer="720" w:gutter="0"/>
          <w:cols w:space="720"/>
          <w:docGrid w:linePitch="360"/>
        </w:sectPr>
      </w:pPr>
    </w:p>
    <w:p w14:paraId="536A17BC" w14:textId="6C1A6AA6" w:rsidR="00756AFC" w:rsidRDefault="00756AFC" w:rsidP="00756AFC">
      <w:pPr>
        <w:autoSpaceDE w:val="0"/>
        <w:autoSpaceDN w:val="0"/>
        <w:adjustRightInd w:val="0"/>
        <w:contextualSpacing/>
        <w:rPr>
          <w:rFonts w:ascii="Times New Roman" w:eastAsia="SimSun" w:hAnsi="Times New Roman" w:cs="Times New Roman"/>
          <w:b/>
          <w:sz w:val="24"/>
          <w:szCs w:val="24"/>
        </w:rPr>
      </w:pPr>
      <w:r>
        <w:rPr>
          <w:rFonts w:ascii="Times New Roman" w:eastAsia="SimSun" w:hAnsi="Times New Roman" w:cs="Times New Roman" w:hint="eastAsia"/>
          <w:b/>
          <w:sz w:val="24"/>
          <w:szCs w:val="24"/>
        </w:rPr>
        <w:lastRenderedPageBreak/>
        <w:t xml:space="preserve">Correlation Matrix </w:t>
      </w:r>
      <w:r>
        <w:rPr>
          <w:rFonts w:ascii="Times New Roman" w:eastAsia="SimSun" w:hAnsi="Times New Roman" w:cs="Times New Roman"/>
          <w:b/>
          <w:sz w:val="24"/>
          <w:szCs w:val="24"/>
        </w:rPr>
        <w:t>for</w:t>
      </w:r>
      <w:r>
        <w:rPr>
          <w:rFonts w:ascii="Times New Roman" w:eastAsia="SimSun" w:hAnsi="Times New Roman" w:cs="Times New Roman" w:hint="eastAsia"/>
          <w:b/>
          <w:sz w:val="24"/>
          <w:szCs w:val="24"/>
        </w:rPr>
        <w:t xml:space="preserve"> Key Variables</w:t>
      </w:r>
    </w:p>
    <w:p w14:paraId="4C7A4EA7" w14:textId="77777777" w:rsidR="00756AFC" w:rsidRDefault="00756AFC" w:rsidP="00756AFC">
      <w:pPr>
        <w:autoSpaceDE w:val="0"/>
        <w:autoSpaceDN w:val="0"/>
        <w:adjustRightInd w:val="0"/>
        <w:contextualSpacing/>
        <w:rPr>
          <w:rFonts w:ascii="Times New Roman" w:eastAsia="SimSun" w:hAnsi="Times New Roman" w:cs="Times New Roman"/>
          <w:b/>
          <w:sz w:val="24"/>
          <w:szCs w:val="24"/>
        </w:rPr>
      </w:pPr>
    </w:p>
    <w:tbl>
      <w:tblPr>
        <w:tblStyle w:val="TableGrid1"/>
        <w:tblW w:w="0" w:type="auto"/>
        <w:tblBorders>
          <w:left w:val="none" w:sz="0" w:space="0" w:color="auto"/>
          <w:bottom w:val="none" w:sz="0" w:space="0" w:color="auto"/>
          <w:right w:val="none" w:sz="0" w:space="0" w:color="auto"/>
        </w:tblBorders>
        <w:tblLook w:val="04A0" w:firstRow="1" w:lastRow="0" w:firstColumn="1" w:lastColumn="0" w:noHBand="0" w:noVBand="1"/>
      </w:tblPr>
      <w:tblGrid>
        <w:gridCol w:w="2106"/>
        <w:gridCol w:w="1048"/>
        <w:gridCol w:w="1096"/>
        <w:gridCol w:w="877"/>
        <w:gridCol w:w="813"/>
        <w:gridCol w:w="763"/>
        <w:gridCol w:w="890"/>
        <w:gridCol w:w="1055"/>
        <w:gridCol w:w="1137"/>
        <w:gridCol w:w="970"/>
        <w:gridCol w:w="1074"/>
        <w:gridCol w:w="1131"/>
      </w:tblGrid>
      <w:tr w:rsidR="00756AFC" w:rsidRPr="00756AFC" w14:paraId="21336D87" w14:textId="77777777" w:rsidTr="00756AFC">
        <w:trPr>
          <w:trHeight w:val="1095"/>
        </w:trPr>
        <w:tc>
          <w:tcPr>
            <w:tcW w:w="2106" w:type="dxa"/>
            <w:hideMark/>
          </w:tcPr>
          <w:p w14:paraId="2F5786E2"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p>
        </w:tc>
        <w:tc>
          <w:tcPr>
            <w:tcW w:w="1048" w:type="dxa"/>
            <w:hideMark/>
          </w:tcPr>
          <w:p w14:paraId="4BDE5C93"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ATTENDANCE</w:t>
            </w:r>
          </w:p>
        </w:tc>
        <w:tc>
          <w:tcPr>
            <w:tcW w:w="1096" w:type="dxa"/>
            <w:hideMark/>
          </w:tcPr>
          <w:p w14:paraId="2C925064"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ORDERED ATTENDANCE</w:t>
            </w:r>
          </w:p>
        </w:tc>
        <w:tc>
          <w:tcPr>
            <w:tcW w:w="877" w:type="dxa"/>
            <w:hideMark/>
          </w:tcPr>
          <w:p w14:paraId="0422CFC4"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ONE BELT, ONE ROAD POSITION</w:t>
            </w:r>
          </w:p>
        </w:tc>
        <w:tc>
          <w:tcPr>
            <w:tcW w:w="813" w:type="dxa"/>
            <w:hideMark/>
          </w:tcPr>
          <w:p w14:paraId="468957F6"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FTA WITH CHINA</w:t>
            </w:r>
          </w:p>
        </w:tc>
        <w:tc>
          <w:tcPr>
            <w:tcW w:w="763" w:type="dxa"/>
            <w:hideMark/>
          </w:tcPr>
          <w:p w14:paraId="1E005654"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BIT WITH CHINA</w:t>
            </w:r>
          </w:p>
        </w:tc>
        <w:tc>
          <w:tcPr>
            <w:tcW w:w="890" w:type="dxa"/>
            <w:hideMark/>
          </w:tcPr>
          <w:p w14:paraId="0DFCA5D1"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FINANCIAL CRISES</w:t>
            </w:r>
          </w:p>
        </w:tc>
        <w:tc>
          <w:tcPr>
            <w:tcW w:w="1055" w:type="dxa"/>
            <w:hideMark/>
          </w:tcPr>
          <w:p w14:paraId="3071F97A"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VARIABILITY OF CAPITAL ACCOUNT POLICY</w:t>
            </w:r>
          </w:p>
        </w:tc>
        <w:tc>
          <w:tcPr>
            <w:tcW w:w="1137" w:type="dxa"/>
            <w:hideMark/>
          </w:tcPr>
          <w:p w14:paraId="1F7C79CA"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VOLATILITY OF PORTFOLIO OUTFLOWS</w:t>
            </w:r>
          </w:p>
        </w:tc>
        <w:tc>
          <w:tcPr>
            <w:tcW w:w="970" w:type="dxa"/>
            <w:hideMark/>
          </w:tcPr>
          <w:p w14:paraId="05590444"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SOCIAL UNREST DURING IMF PROGRAMS</w:t>
            </w:r>
          </w:p>
        </w:tc>
        <w:tc>
          <w:tcPr>
            <w:tcW w:w="1074" w:type="dxa"/>
            <w:hideMark/>
          </w:tcPr>
          <w:p w14:paraId="43055BED"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WTO COMPLAINTS AGAINST THE U.S.</w:t>
            </w:r>
          </w:p>
        </w:tc>
        <w:tc>
          <w:tcPr>
            <w:tcW w:w="1131" w:type="dxa"/>
            <w:hideMark/>
          </w:tcPr>
          <w:p w14:paraId="3FA467EB" w14:textId="77777777" w:rsidR="00756AFC" w:rsidRPr="00756AFC" w:rsidRDefault="00756AFC" w:rsidP="00756AFC">
            <w:pPr>
              <w:widowControl w:val="0"/>
              <w:autoSpaceDE w:val="0"/>
              <w:autoSpaceDN w:val="0"/>
              <w:adjustRightInd w:val="0"/>
              <w:jc w:val="center"/>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IMF GOVERNANCE DEFICIT</w:t>
            </w:r>
          </w:p>
        </w:tc>
      </w:tr>
      <w:tr w:rsidR="00756AFC" w:rsidRPr="00756AFC" w14:paraId="1E416D5B" w14:textId="77777777" w:rsidTr="00756AFC">
        <w:trPr>
          <w:trHeight w:val="360"/>
        </w:trPr>
        <w:tc>
          <w:tcPr>
            <w:tcW w:w="2106" w:type="dxa"/>
            <w:hideMark/>
          </w:tcPr>
          <w:p w14:paraId="4CFD8EA3"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ATTENDANCE</w:t>
            </w:r>
          </w:p>
        </w:tc>
        <w:tc>
          <w:tcPr>
            <w:tcW w:w="1048" w:type="dxa"/>
            <w:hideMark/>
          </w:tcPr>
          <w:p w14:paraId="3655DEB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1096" w:type="dxa"/>
            <w:hideMark/>
          </w:tcPr>
          <w:p w14:paraId="174D70EA"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877" w:type="dxa"/>
            <w:hideMark/>
          </w:tcPr>
          <w:p w14:paraId="10F18C77"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813" w:type="dxa"/>
            <w:hideMark/>
          </w:tcPr>
          <w:p w14:paraId="1DA66156"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763" w:type="dxa"/>
            <w:hideMark/>
          </w:tcPr>
          <w:p w14:paraId="12F0EB4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890" w:type="dxa"/>
            <w:hideMark/>
          </w:tcPr>
          <w:p w14:paraId="3F7DA2E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55" w:type="dxa"/>
            <w:hideMark/>
          </w:tcPr>
          <w:p w14:paraId="51DF820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7" w:type="dxa"/>
            <w:hideMark/>
          </w:tcPr>
          <w:p w14:paraId="068B7DD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970" w:type="dxa"/>
            <w:hideMark/>
          </w:tcPr>
          <w:p w14:paraId="306859C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2E4926F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4768E5B7"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3C85DEAE" w14:textId="77777777" w:rsidTr="00756AFC">
        <w:trPr>
          <w:trHeight w:val="360"/>
        </w:trPr>
        <w:tc>
          <w:tcPr>
            <w:tcW w:w="2106" w:type="dxa"/>
            <w:hideMark/>
          </w:tcPr>
          <w:p w14:paraId="4F0D07A9"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ORDERED ATTENDANCE</w:t>
            </w:r>
          </w:p>
        </w:tc>
        <w:tc>
          <w:tcPr>
            <w:tcW w:w="1048" w:type="dxa"/>
            <w:hideMark/>
          </w:tcPr>
          <w:p w14:paraId="41EBC2C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0.832</w:t>
            </w:r>
          </w:p>
        </w:tc>
        <w:tc>
          <w:tcPr>
            <w:tcW w:w="1096" w:type="dxa"/>
            <w:hideMark/>
          </w:tcPr>
          <w:p w14:paraId="0C9CF53D"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877" w:type="dxa"/>
            <w:hideMark/>
          </w:tcPr>
          <w:p w14:paraId="7C78D29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813" w:type="dxa"/>
            <w:hideMark/>
          </w:tcPr>
          <w:p w14:paraId="4232E15D"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763" w:type="dxa"/>
            <w:hideMark/>
          </w:tcPr>
          <w:p w14:paraId="34FC7AC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890" w:type="dxa"/>
            <w:hideMark/>
          </w:tcPr>
          <w:p w14:paraId="54FF4E3B"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55" w:type="dxa"/>
            <w:hideMark/>
          </w:tcPr>
          <w:p w14:paraId="616905C6"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7" w:type="dxa"/>
            <w:hideMark/>
          </w:tcPr>
          <w:p w14:paraId="150F5CB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970" w:type="dxa"/>
            <w:hideMark/>
          </w:tcPr>
          <w:p w14:paraId="0963AB06"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4FA4CBE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002F957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50ECF19F" w14:textId="77777777" w:rsidTr="00756AFC">
        <w:trPr>
          <w:trHeight w:val="285"/>
        </w:trPr>
        <w:tc>
          <w:tcPr>
            <w:tcW w:w="2106" w:type="dxa"/>
            <w:hideMark/>
          </w:tcPr>
          <w:p w14:paraId="76BC9AFE"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ONE BELT, ONE ROAD POSITION</w:t>
            </w:r>
          </w:p>
        </w:tc>
        <w:tc>
          <w:tcPr>
            <w:tcW w:w="1048" w:type="dxa"/>
            <w:hideMark/>
          </w:tcPr>
          <w:p w14:paraId="3C92EC1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0.260</w:t>
            </w:r>
          </w:p>
        </w:tc>
        <w:tc>
          <w:tcPr>
            <w:tcW w:w="1096" w:type="dxa"/>
            <w:hideMark/>
          </w:tcPr>
          <w:p w14:paraId="6B775AA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0.342</w:t>
            </w:r>
          </w:p>
        </w:tc>
        <w:tc>
          <w:tcPr>
            <w:tcW w:w="877" w:type="dxa"/>
            <w:hideMark/>
          </w:tcPr>
          <w:p w14:paraId="5CDDE35A"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813" w:type="dxa"/>
            <w:hideMark/>
          </w:tcPr>
          <w:p w14:paraId="4767EB8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763" w:type="dxa"/>
            <w:hideMark/>
          </w:tcPr>
          <w:p w14:paraId="78C29EB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890" w:type="dxa"/>
            <w:hideMark/>
          </w:tcPr>
          <w:p w14:paraId="5D4F86B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55" w:type="dxa"/>
            <w:hideMark/>
          </w:tcPr>
          <w:p w14:paraId="4EEF987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7" w:type="dxa"/>
            <w:hideMark/>
          </w:tcPr>
          <w:p w14:paraId="58B89E0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970" w:type="dxa"/>
            <w:hideMark/>
          </w:tcPr>
          <w:p w14:paraId="3D92CD4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43DAF89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4280594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7D63F692" w14:textId="77777777" w:rsidTr="00756AFC">
        <w:trPr>
          <w:trHeight w:val="300"/>
        </w:trPr>
        <w:tc>
          <w:tcPr>
            <w:tcW w:w="2106" w:type="dxa"/>
            <w:hideMark/>
          </w:tcPr>
          <w:p w14:paraId="2CFE46E4"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FTA WITH CHINA</w:t>
            </w:r>
          </w:p>
        </w:tc>
        <w:tc>
          <w:tcPr>
            <w:tcW w:w="1048" w:type="dxa"/>
            <w:hideMark/>
          </w:tcPr>
          <w:p w14:paraId="31F2626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0.250</w:t>
            </w:r>
          </w:p>
        </w:tc>
        <w:tc>
          <w:tcPr>
            <w:tcW w:w="1096" w:type="dxa"/>
            <w:hideMark/>
          </w:tcPr>
          <w:p w14:paraId="3AB617DB"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0.254</w:t>
            </w:r>
          </w:p>
        </w:tc>
        <w:tc>
          <w:tcPr>
            <w:tcW w:w="877" w:type="dxa"/>
            <w:hideMark/>
          </w:tcPr>
          <w:p w14:paraId="76BE11D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0.207</w:t>
            </w:r>
          </w:p>
        </w:tc>
        <w:tc>
          <w:tcPr>
            <w:tcW w:w="813" w:type="dxa"/>
            <w:hideMark/>
          </w:tcPr>
          <w:p w14:paraId="74C014F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763" w:type="dxa"/>
            <w:hideMark/>
          </w:tcPr>
          <w:p w14:paraId="07F02A4F"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890" w:type="dxa"/>
            <w:hideMark/>
          </w:tcPr>
          <w:p w14:paraId="2393DA9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55" w:type="dxa"/>
            <w:hideMark/>
          </w:tcPr>
          <w:p w14:paraId="7A34933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7" w:type="dxa"/>
            <w:hideMark/>
          </w:tcPr>
          <w:p w14:paraId="4DFF8036"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970" w:type="dxa"/>
            <w:hideMark/>
          </w:tcPr>
          <w:p w14:paraId="5DE6877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6FE88127"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45AF9E9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36B6FBE1" w14:textId="77777777" w:rsidTr="00756AFC">
        <w:trPr>
          <w:trHeight w:val="285"/>
        </w:trPr>
        <w:tc>
          <w:tcPr>
            <w:tcW w:w="2106" w:type="dxa"/>
            <w:hideMark/>
          </w:tcPr>
          <w:p w14:paraId="7EF73892"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BIT WITH CHINA</w:t>
            </w:r>
          </w:p>
        </w:tc>
        <w:tc>
          <w:tcPr>
            <w:tcW w:w="1048" w:type="dxa"/>
            <w:hideMark/>
          </w:tcPr>
          <w:p w14:paraId="6D422ADA"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0.216</w:t>
            </w:r>
          </w:p>
        </w:tc>
        <w:tc>
          <w:tcPr>
            <w:tcW w:w="1096" w:type="dxa"/>
            <w:hideMark/>
          </w:tcPr>
          <w:p w14:paraId="1E72EA1A"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0.356</w:t>
            </w:r>
          </w:p>
        </w:tc>
        <w:tc>
          <w:tcPr>
            <w:tcW w:w="877" w:type="dxa"/>
            <w:hideMark/>
          </w:tcPr>
          <w:p w14:paraId="398BB97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0.298</w:t>
            </w:r>
          </w:p>
        </w:tc>
        <w:tc>
          <w:tcPr>
            <w:tcW w:w="813" w:type="dxa"/>
            <w:hideMark/>
          </w:tcPr>
          <w:p w14:paraId="4057ECA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0.050</w:t>
            </w:r>
          </w:p>
        </w:tc>
        <w:tc>
          <w:tcPr>
            <w:tcW w:w="763" w:type="dxa"/>
            <w:hideMark/>
          </w:tcPr>
          <w:p w14:paraId="081E2F9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890" w:type="dxa"/>
            <w:hideMark/>
          </w:tcPr>
          <w:p w14:paraId="091374F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55" w:type="dxa"/>
            <w:hideMark/>
          </w:tcPr>
          <w:p w14:paraId="4A79FBEB"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7" w:type="dxa"/>
            <w:hideMark/>
          </w:tcPr>
          <w:p w14:paraId="44C2535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970" w:type="dxa"/>
            <w:hideMark/>
          </w:tcPr>
          <w:p w14:paraId="6E03284F"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0A2E4F6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2DA8905D"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75458DA7" w14:textId="77777777" w:rsidTr="00756AFC">
        <w:trPr>
          <w:trHeight w:val="300"/>
        </w:trPr>
        <w:tc>
          <w:tcPr>
            <w:tcW w:w="2106" w:type="dxa"/>
            <w:hideMark/>
          </w:tcPr>
          <w:p w14:paraId="24E9B424"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FINANCIAL CRISES</w:t>
            </w:r>
          </w:p>
        </w:tc>
        <w:tc>
          <w:tcPr>
            <w:tcW w:w="1048" w:type="dxa"/>
            <w:hideMark/>
          </w:tcPr>
          <w:p w14:paraId="34B094E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0.178</w:t>
            </w:r>
          </w:p>
        </w:tc>
        <w:tc>
          <w:tcPr>
            <w:tcW w:w="1096" w:type="dxa"/>
            <w:hideMark/>
          </w:tcPr>
          <w:p w14:paraId="754D5B3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0.098</w:t>
            </w:r>
          </w:p>
        </w:tc>
        <w:tc>
          <w:tcPr>
            <w:tcW w:w="877" w:type="dxa"/>
            <w:hideMark/>
          </w:tcPr>
          <w:p w14:paraId="33B19CD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-0.363</w:t>
            </w:r>
          </w:p>
        </w:tc>
        <w:tc>
          <w:tcPr>
            <w:tcW w:w="813" w:type="dxa"/>
            <w:hideMark/>
          </w:tcPr>
          <w:p w14:paraId="3FDA6C6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-0.097</w:t>
            </w:r>
          </w:p>
        </w:tc>
        <w:tc>
          <w:tcPr>
            <w:tcW w:w="763" w:type="dxa"/>
            <w:hideMark/>
          </w:tcPr>
          <w:p w14:paraId="397E4B4B"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-0.047</w:t>
            </w:r>
          </w:p>
        </w:tc>
        <w:tc>
          <w:tcPr>
            <w:tcW w:w="890" w:type="dxa"/>
            <w:hideMark/>
          </w:tcPr>
          <w:p w14:paraId="3D1B50D7"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1055" w:type="dxa"/>
            <w:hideMark/>
          </w:tcPr>
          <w:p w14:paraId="5BF924B7"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7" w:type="dxa"/>
            <w:hideMark/>
          </w:tcPr>
          <w:p w14:paraId="00026DC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970" w:type="dxa"/>
            <w:hideMark/>
          </w:tcPr>
          <w:p w14:paraId="783B2BD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110D8CD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4FE091C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0601D160" w14:textId="77777777" w:rsidTr="00756AFC">
        <w:trPr>
          <w:trHeight w:val="300"/>
        </w:trPr>
        <w:tc>
          <w:tcPr>
            <w:tcW w:w="2106" w:type="dxa"/>
            <w:hideMark/>
          </w:tcPr>
          <w:p w14:paraId="0858445F"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VARIABILITY OF CAPITAL ACCOUNT POLICY</w:t>
            </w:r>
          </w:p>
        </w:tc>
        <w:tc>
          <w:tcPr>
            <w:tcW w:w="1048" w:type="dxa"/>
            <w:hideMark/>
          </w:tcPr>
          <w:p w14:paraId="3D43980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0.174</w:t>
            </w:r>
          </w:p>
        </w:tc>
        <w:tc>
          <w:tcPr>
            <w:tcW w:w="1096" w:type="dxa"/>
            <w:hideMark/>
          </w:tcPr>
          <w:p w14:paraId="652B0746"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0.202</w:t>
            </w:r>
          </w:p>
        </w:tc>
        <w:tc>
          <w:tcPr>
            <w:tcW w:w="877" w:type="dxa"/>
            <w:hideMark/>
          </w:tcPr>
          <w:p w14:paraId="3EC2E90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0.080</w:t>
            </w:r>
          </w:p>
        </w:tc>
        <w:tc>
          <w:tcPr>
            <w:tcW w:w="813" w:type="dxa"/>
            <w:hideMark/>
          </w:tcPr>
          <w:p w14:paraId="5671F71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0.029</w:t>
            </w:r>
          </w:p>
        </w:tc>
        <w:tc>
          <w:tcPr>
            <w:tcW w:w="763" w:type="dxa"/>
            <w:hideMark/>
          </w:tcPr>
          <w:p w14:paraId="6D21603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-0.072</w:t>
            </w:r>
          </w:p>
        </w:tc>
        <w:tc>
          <w:tcPr>
            <w:tcW w:w="890" w:type="dxa"/>
            <w:hideMark/>
          </w:tcPr>
          <w:p w14:paraId="3474C13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0.201</w:t>
            </w:r>
          </w:p>
        </w:tc>
        <w:tc>
          <w:tcPr>
            <w:tcW w:w="1055" w:type="dxa"/>
            <w:hideMark/>
          </w:tcPr>
          <w:p w14:paraId="7E24836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1137" w:type="dxa"/>
            <w:hideMark/>
          </w:tcPr>
          <w:p w14:paraId="59D1603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970" w:type="dxa"/>
            <w:hideMark/>
          </w:tcPr>
          <w:p w14:paraId="506492D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3D61334B"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54F9962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5E1F7B76" w14:textId="77777777" w:rsidTr="00756AFC">
        <w:trPr>
          <w:trHeight w:val="285"/>
        </w:trPr>
        <w:tc>
          <w:tcPr>
            <w:tcW w:w="2106" w:type="dxa"/>
            <w:hideMark/>
          </w:tcPr>
          <w:p w14:paraId="0ECA11BE"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VOLATILITY OF PORTFOLIO OUTFLOWS</w:t>
            </w:r>
          </w:p>
        </w:tc>
        <w:tc>
          <w:tcPr>
            <w:tcW w:w="1048" w:type="dxa"/>
            <w:hideMark/>
          </w:tcPr>
          <w:p w14:paraId="79174C8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0.172</w:t>
            </w:r>
          </w:p>
        </w:tc>
        <w:tc>
          <w:tcPr>
            <w:tcW w:w="1096" w:type="dxa"/>
            <w:hideMark/>
          </w:tcPr>
          <w:p w14:paraId="0DE00B8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0.165</w:t>
            </w:r>
          </w:p>
        </w:tc>
        <w:tc>
          <w:tcPr>
            <w:tcW w:w="877" w:type="dxa"/>
            <w:hideMark/>
          </w:tcPr>
          <w:p w14:paraId="6727C35D"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-0.099</w:t>
            </w:r>
          </w:p>
        </w:tc>
        <w:tc>
          <w:tcPr>
            <w:tcW w:w="813" w:type="dxa"/>
            <w:hideMark/>
          </w:tcPr>
          <w:p w14:paraId="7B7EA7E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-0.085</w:t>
            </w:r>
          </w:p>
        </w:tc>
        <w:tc>
          <w:tcPr>
            <w:tcW w:w="763" w:type="dxa"/>
            <w:hideMark/>
          </w:tcPr>
          <w:p w14:paraId="44FBBF4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0.082</w:t>
            </w:r>
          </w:p>
        </w:tc>
        <w:tc>
          <w:tcPr>
            <w:tcW w:w="890" w:type="dxa"/>
            <w:hideMark/>
          </w:tcPr>
          <w:p w14:paraId="08E4E9F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0.117</w:t>
            </w:r>
          </w:p>
        </w:tc>
        <w:tc>
          <w:tcPr>
            <w:tcW w:w="1055" w:type="dxa"/>
            <w:hideMark/>
          </w:tcPr>
          <w:p w14:paraId="50F0A24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0.006</w:t>
            </w:r>
          </w:p>
        </w:tc>
        <w:tc>
          <w:tcPr>
            <w:tcW w:w="1137" w:type="dxa"/>
            <w:hideMark/>
          </w:tcPr>
          <w:p w14:paraId="3A8DD602"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970" w:type="dxa"/>
            <w:hideMark/>
          </w:tcPr>
          <w:p w14:paraId="6E57D341"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074" w:type="dxa"/>
            <w:hideMark/>
          </w:tcPr>
          <w:p w14:paraId="3A505E3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383B830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75B51328" w14:textId="77777777" w:rsidTr="00756AFC">
        <w:trPr>
          <w:trHeight w:val="315"/>
        </w:trPr>
        <w:tc>
          <w:tcPr>
            <w:tcW w:w="2106" w:type="dxa"/>
            <w:hideMark/>
          </w:tcPr>
          <w:p w14:paraId="78D053BA"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SOCIAL UNREST DURING IMF PROGRAMS</w:t>
            </w:r>
          </w:p>
        </w:tc>
        <w:tc>
          <w:tcPr>
            <w:tcW w:w="1048" w:type="dxa"/>
            <w:hideMark/>
          </w:tcPr>
          <w:p w14:paraId="6B28FC0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0.232</w:t>
            </w:r>
          </w:p>
        </w:tc>
        <w:tc>
          <w:tcPr>
            <w:tcW w:w="1096" w:type="dxa"/>
            <w:hideMark/>
          </w:tcPr>
          <w:p w14:paraId="1E5A9E1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0.203</w:t>
            </w:r>
          </w:p>
        </w:tc>
        <w:tc>
          <w:tcPr>
            <w:tcW w:w="877" w:type="dxa"/>
            <w:hideMark/>
          </w:tcPr>
          <w:p w14:paraId="156FE60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0.007</w:t>
            </w:r>
          </w:p>
        </w:tc>
        <w:tc>
          <w:tcPr>
            <w:tcW w:w="813" w:type="dxa"/>
            <w:hideMark/>
          </w:tcPr>
          <w:p w14:paraId="00D9205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-0.002</w:t>
            </w:r>
          </w:p>
        </w:tc>
        <w:tc>
          <w:tcPr>
            <w:tcW w:w="763" w:type="dxa"/>
            <w:hideMark/>
          </w:tcPr>
          <w:p w14:paraId="24BA9C7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0.023</w:t>
            </w:r>
          </w:p>
        </w:tc>
        <w:tc>
          <w:tcPr>
            <w:tcW w:w="890" w:type="dxa"/>
            <w:hideMark/>
          </w:tcPr>
          <w:p w14:paraId="261192E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0.327</w:t>
            </w:r>
          </w:p>
        </w:tc>
        <w:tc>
          <w:tcPr>
            <w:tcW w:w="1055" w:type="dxa"/>
            <w:hideMark/>
          </w:tcPr>
          <w:p w14:paraId="0B3D1E5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0.230</w:t>
            </w:r>
          </w:p>
        </w:tc>
        <w:tc>
          <w:tcPr>
            <w:tcW w:w="1137" w:type="dxa"/>
            <w:hideMark/>
          </w:tcPr>
          <w:p w14:paraId="42C2BCB3"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-0.058</w:t>
            </w:r>
          </w:p>
        </w:tc>
        <w:tc>
          <w:tcPr>
            <w:tcW w:w="970" w:type="dxa"/>
            <w:hideMark/>
          </w:tcPr>
          <w:p w14:paraId="43CDF83B"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1074" w:type="dxa"/>
            <w:hideMark/>
          </w:tcPr>
          <w:p w14:paraId="4FB8BF75"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c>
          <w:tcPr>
            <w:tcW w:w="1131" w:type="dxa"/>
            <w:hideMark/>
          </w:tcPr>
          <w:p w14:paraId="7D95C50A"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498687CD" w14:textId="77777777" w:rsidTr="00756AFC">
        <w:trPr>
          <w:trHeight w:val="285"/>
        </w:trPr>
        <w:tc>
          <w:tcPr>
            <w:tcW w:w="2106" w:type="dxa"/>
            <w:hideMark/>
          </w:tcPr>
          <w:p w14:paraId="3EACCF8E"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WTO COMPLAINTS AGAINST THE U.S.</w:t>
            </w:r>
          </w:p>
        </w:tc>
        <w:tc>
          <w:tcPr>
            <w:tcW w:w="1048" w:type="dxa"/>
            <w:hideMark/>
          </w:tcPr>
          <w:p w14:paraId="06A3555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-0.084</w:t>
            </w:r>
          </w:p>
        </w:tc>
        <w:tc>
          <w:tcPr>
            <w:tcW w:w="1096" w:type="dxa"/>
            <w:hideMark/>
          </w:tcPr>
          <w:p w14:paraId="430D29B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-0.075</w:t>
            </w:r>
          </w:p>
        </w:tc>
        <w:tc>
          <w:tcPr>
            <w:tcW w:w="877" w:type="dxa"/>
            <w:hideMark/>
          </w:tcPr>
          <w:p w14:paraId="6B064624"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-0.194</w:t>
            </w:r>
          </w:p>
        </w:tc>
        <w:tc>
          <w:tcPr>
            <w:tcW w:w="813" w:type="dxa"/>
            <w:hideMark/>
          </w:tcPr>
          <w:p w14:paraId="6ABDCC2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0.112</w:t>
            </w:r>
          </w:p>
        </w:tc>
        <w:tc>
          <w:tcPr>
            <w:tcW w:w="763" w:type="dxa"/>
            <w:hideMark/>
          </w:tcPr>
          <w:p w14:paraId="0E4E2F1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0.085</w:t>
            </w:r>
          </w:p>
        </w:tc>
        <w:tc>
          <w:tcPr>
            <w:tcW w:w="890" w:type="dxa"/>
            <w:hideMark/>
          </w:tcPr>
          <w:p w14:paraId="68724CCA"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0.159</w:t>
            </w:r>
          </w:p>
        </w:tc>
        <w:tc>
          <w:tcPr>
            <w:tcW w:w="1055" w:type="dxa"/>
            <w:hideMark/>
          </w:tcPr>
          <w:p w14:paraId="03F8D8BF"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-0.249</w:t>
            </w:r>
          </w:p>
        </w:tc>
        <w:tc>
          <w:tcPr>
            <w:tcW w:w="1137" w:type="dxa"/>
            <w:hideMark/>
          </w:tcPr>
          <w:p w14:paraId="7C9FD86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0.129</w:t>
            </w:r>
          </w:p>
        </w:tc>
        <w:tc>
          <w:tcPr>
            <w:tcW w:w="970" w:type="dxa"/>
            <w:hideMark/>
          </w:tcPr>
          <w:p w14:paraId="1B3E9A8D"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-0.058</w:t>
            </w:r>
          </w:p>
        </w:tc>
        <w:tc>
          <w:tcPr>
            <w:tcW w:w="1074" w:type="dxa"/>
            <w:hideMark/>
          </w:tcPr>
          <w:p w14:paraId="4BBBDBA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c>
          <w:tcPr>
            <w:tcW w:w="1131" w:type="dxa"/>
            <w:hideMark/>
          </w:tcPr>
          <w:p w14:paraId="00E76E7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p>
        </w:tc>
      </w:tr>
      <w:tr w:rsidR="00756AFC" w:rsidRPr="00756AFC" w14:paraId="766B1BFA" w14:textId="77777777" w:rsidTr="00756AFC">
        <w:trPr>
          <w:trHeight w:val="270"/>
        </w:trPr>
        <w:tc>
          <w:tcPr>
            <w:tcW w:w="2106" w:type="dxa"/>
            <w:hideMark/>
          </w:tcPr>
          <w:p w14:paraId="4914ADDF"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b/>
                <w:caps/>
                <w:sz w:val="12"/>
                <w:szCs w:val="12"/>
              </w:rPr>
            </w:pPr>
            <w:r w:rsidRPr="00756AFC">
              <w:rPr>
                <w:rFonts w:ascii="Times New Roman" w:eastAsia="SimSun" w:hAnsi="Times New Roman" w:cs="Times New Roman"/>
                <w:b/>
                <w:caps/>
                <w:sz w:val="12"/>
                <w:szCs w:val="12"/>
              </w:rPr>
              <w:t>IMF GOVERNANCE DEFICIT</w:t>
            </w:r>
          </w:p>
        </w:tc>
        <w:tc>
          <w:tcPr>
            <w:tcW w:w="1048" w:type="dxa"/>
            <w:hideMark/>
          </w:tcPr>
          <w:p w14:paraId="395F269E"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0.045</w:t>
            </w:r>
          </w:p>
        </w:tc>
        <w:tc>
          <w:tcPr>
            <w:tcW w:w="1096" w:type="dxa"/>
            <w:hideMark/>
          </w:tcPr>
          <w:p w14:paraId="125956BD"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0.125</w:t>
            </w:r>
          </w:p>
        </w:tc>
        <w:tc>
          <w:tcPr>
            <w:tcW w:w="877" w:type="dxa"/>
            <w:hideMark/>
          </w:tcPr>
          <w:p w14:paraId="0861544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0.014</w:t>
            </w:r>
          </w:p>
        </w:tc>
        <w:tc>
          <w:tcPr>
            <w:tcW w:w="813" w:type="dxa"/>
            <w:hideMark/>
          </w:tcPr>
          <w:p w14:paraId="18E9C896"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-0.026</w:t>
            </w:r>
          </w:p>
        </w:tc>
        <w:tc>
          <w:tcPr>
            <w:tcW w:w="763" w:type="dxa"/>
            <w:hideMark/>
          </w:tcPr>
          <w:p w14:paraId="5BC0D1D8"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0.268</w:t>
            </w:r>
          </w:p>
        </w:tc>
        <w:tc>
          <w:tcPr>
            <w:tcW w:w="890" w:type="dxa"/>
            <w:hideMark/>
          </w:tcPr>
          <w:p w14:paraId="0F3F43E2"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-0.024</w:t>
            </w:r>
          </w:p>
        </w:tc>
        <w:tc>
          <w:tcPr>
            <w:tcW w:w="1055" w:type="dxa"/>
            <w:hideMark/>
          </w:tcPr>
          <w:p w14:paraId="091BE49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0.067</w:t>
            </w:r>
          </w:p>
        </w:tc>
        <w:tc>
          <w:tcPr>
            <w:tcW w:w="1137" w:type="dxa"/>
            <w:hideMark/>
          </w:tcPr>
          <w:p w14:paraId="0E1DEE4C"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0.088</w:t>
            </w:r>
          </w:p>
        </w:tc>
        <w:tc>
          <w:tcPr>
            <w:tcW w:w="970" w:type="dxa"/>
            <w:hideMark/>
          </w:tcPr>
          <w:p w14:paraId="2D4B80E0"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0.009</w:t>
            </w:r>
          </w:p>
        </w:tc>
        <w:tc>
          <w:tcPr>
            <w:tcW w:w="1074" w:type="dxa"/>
            <w:hideMark/>
          </w:tcPr>
          <w:p w14:paraId="449BCBBF"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0.087</w:t>
            </w:r>
          </w:p>
        </w:tc>
        <w:tc>
          <w:tcPr>
            <w:tcW w:w="1131" w:type="dxa"/>
            <w:hideMark/>
          </w:tcPr>
          <w:p w14:paraId="27E424F9" w14:textId="77777777" w:rsidR="00756AFC" w:rsidRPr="00756AFC" w:rsidRDefault="00756AFC" w:rsidP="00756AFC">
            <w:pPr>
              <w:widowControl w:val="0"/>
              <w:autoSpaceDE w:val="0"/>
              <w:autoSpaceDN w:val="0"/>
              <w:adjustRightInd w:val="0"/>
              <w:contextualSpacing/>
              <w:jc w:val="center"/>
              <w:rPr>
                <w:rFonts w:ascii="Times New Roman" w:eastAsia="SimSun" w:hAnsi="Times New Roman" w:cs="Times New Roman"/>
                <w:caps/>
                <w:sz w:val="18"/>
                <w:szCs w:val="12"/>
              </w:rPr>
            </w:pPr>
            <w:r w:rsidRPr="00756AFC">
              <w:rPr>
                <w:rFonts w:ascii="Times New Roman" w:eastAsia="SimSun" w:hAnsi="Times New Roman" w:cs="Times New Roman"/>
                <w:caps/>
                <w:sz w:val="18"/>
                <w:szCs w:val="12"/>
              </w:rPr>
              <w:t>1.000</w:t>
            </w:r>
          </w:p>
        </w:tc>
      </w:tr>
      <w:tr w:rsidR="00756AFC" w:rsidRPr="00756AFC" w14:paraId="29C120A0" w14:textId="77777777" w:rsidTr="00756AFC">
        <w:trPr>
          <w:trHeight w:val="255"/>
        </w:trPr>
        <w:tc>
          <w:tcPr>
            <w:tcW w:w="12960" w:type="dxa"/>
            <w:gridSpan w:val="12"/>
            <w:hideMark/>
          </w:tcPr>
          <w:p w14:paraId="061D3684" w14:textId="77777777" w:rsidR="00756AFC" w:rsidRPr="00756AFC" w:rsidRDefault="00756AFC" w:rsidP="00756AFC">
            <w:pPr>
              <w:widowControl w:val="0"/>
              <w:autoSpaceDE w:val="0"/>
              <w:autoSpaceDN w:val="0"/>
              <w:adjustRightInd w:val="0"/>
              <w:contextualSpacing/>
              <w:rPr>
                <w:rFonts w:ascii="Times New Roman" w:eastAsia="SimSun" w:hAnsi="Times New Roman" w:cs="Times New Roman"/>
                <w:caps/>
                <w:sz w:val="12"/>
                <w:szCs w:val="12"/>
              </w:rPr>
            </w:pPr>
          </w:p>
        </w:tc>
      </w:tr>
    </w:tbl>
    <w:p w14:paraId="281D6509" w14:textId="77777777" w:rsidR="00756AFC" w:rsidRPr="00373142" w:rsidRDefault="00756AFC" w:rsidP="00756AFC">
      <w:pPr>
        <w:autoSpaceDE w:val="0"/>
        <w:autoSpaceDN w:val="0"/>
        <w:adjustRightInd w:val="0"/>
        <w:contextualSpacing/>
        <w:rPr>
          <w:rFonts w:ascii="Times New Roman" w:eastAsia="SimSun" w:hAnsi="Times New Roman" w:cs="Times New Roman"/>
          <w:b/>
          <w:sz w:val="24"/>
          <w:szCs w:val="24"/>
        </w:rPr>
      </w:pPr>
    </w:p>
    <w:sectPr w:rsidR="00756AFC" w:rsidRPr="00373142" w:rsidSect="005054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7599" w14:textId="77777777" w:rsidR="00902899" w:rsidRDefault="00902899" w:rsidP="002B33BB">
      <w:pPr>
        <w:spacing w:after="0" w:line="240" w:lineRule="auto"/>
      </w:pPr>
      <w:r>
        <w:separator/>
      </w:r>
    </w:p>
  </w:endnote>
  <w:endnote w:type="continuationSeparator" w:id="0">
    <w:p w14:paraId="1BAAA338" w14:textId="77777777" w:rsidR="00902899" w:rsidRDefault="00902899" w:rsidP="002B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26651"/>
      <w:docPartObj>
        <w:docPartGallery w:val="Page Numbers (Bottom of Page)"/>
        <w:docPartUnique/>
      </w:docPartObj>
    </w:sdtPr>
    <w:sdtEndPr>
      <w:rPr>
        <w:noProof/>
      </w:rPr>
    </w:sdtEndPr>
    <w:sdtContent>
      <w:p w14:paraId="77A40FAC" w14:textId="54E2ABB1" w:rsidR="002A05C8" w:rsidRDefault="002A05C8">
        <w:pPr>
          <w:pStyle w:val="Footer"/>
          <w:jc w:val="right"/>
        </w:pPr>
        <w:r>
          <w:fldChar w:fldCharType="begin"/>
        </w:r>
        <w:r>
          <w:instrText xml:space="preserve"> PAGE   \* MERGEFORMAT </w:instrText>
        </w:r>
        <w:r>
          <w:fldChar w:fldCharType="separate"/>
        </w:r>
        <w:r w:rsidR="00110601">
          <w:rPr>
            <w:noProof/>
          </w:rPr>
          <w:t>1</w:t>
        </w:r>
        <w:r>
          <w:rPr>
            <w:noProof/>
          </w:rPr>
          <w:fldChar w:fldCharType="end"/>
        </w:r>
      </w:p>
    </w:sdtContent>
  </w:sdt>
  <w:p w14:paraId="29B36E2B" w14:textId="77777777" w:rsidR="002A05C8" w:rsidRDefault="002A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A660" w14:textId="77777777" w:rsidR="00902899" w:rsidRDefault="00902899" w:rsidP="002B33BB">
      <w:pPr>
        <w:spacing w:after="0" w:line="240" w:lineRule="auto"/>
      </w:pPr>
      <w:r>
        <w:separator/>
      </w:r>
    </w:p>
  </w:footnote>
  <w:footnote w:type="continuationSeparator" w:id="0">
    <w:p w14:paraId="21F1825A" w14:textId="77777777" w:rsidR="00902899" w:rsidRDefault="00902899" w:rsidP="002B3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7F"/>
    <w:rsid w:val="00015EA0"/>
    <w:rsid w:val="000E55D3"/>
    <w:rsid w:val="00102778"/>
    <w:rsid w:val="00110601"/>
    <w:rsid w:val="00111F7A"/>
    <w:rsid w:val="001202D2"/>
    <w:rsid w:val="0012458C"/>
    <w:rsid w:val="00171B69"/>
    <w:rsid w:val="001824ED"/>
    <w:rsid w:val="001A0216"/>
    <w:rsid w:val="001C46EE"/>
    <w:rsid w:val="001F4738"/>
    <w:rsid w:val="0021540D"/>
    <w:rsid w:val="00221E79"/>
    <w:rsid w:val="00246A81"/>
    <w:rsid w:val="00262404"/>
    <w:rsid w:val="00274488"/>
    <w:rsid w:val="002A05C8"/>
    <w:rsid w:val="002B33BB"/>
    <w:rsid w:val="002D79EF"/>
    <w:rsid w:val="002E2C37"/>
    <w:rsid w:val="002E2E74"/>
    <w:rsid w:val="002F7181"/>
    <w:rsid w:val="00325FBB"/>
    <w:rsid w:val="003346EE"/>
    <w:rsid w:val="00334ABF"/>
    <w:rsid w:val="00376D33"/>
    <w:rsid w:val="003936DB"/>
    <w:rsid w:val="003B3AB2"/>
    <w:rsid w:val="003B5B1B"/>
    <w:rsid w:val="003C5C82"/>
    <w:rsid w:val="003D32F6"/>
    <w:rsid w:val="003F34C4"/>
    <w:rsid w:val="003F3BC2"/>
    <w:rsid w:val="0040468A"/>
    <w:rsid w:val="00410BE0"/>
    <w:rsid w:val="0043335B"/>
    <w:rsid w:val="00435D57"/>
    <w:rsid w:val="00452C57"/>
    <w:rsid w:val="004557DC"/>
    <w:rsid w:val="0046105B"/>
    <w:rsid w:val="00467EC6"/>
    <w:rsid w:val="004B29A1"/>
    <w:rsid w:val="004D5D93"/>
    <w:rsid w:val="004F7042"/>
    <w:rsid w:val="0050547F"/>
    <w:rsid w:val="005B2FF1"/>
    <w:rsid w:val="005E019E"/>
    <w:rsid w:val="005E20EC"/>
    <w:rsid w:val="00604D01"/>
    <w:rsid w:val="0061356C"/>
    <w:rsid w:val="00643532"/>
    <w:rsid w:val="00645298"/>
    <w:rsid w:val="00666A54"/>
    <w:rsid w:val="006A4E8A"/>
    <w:rsid w:val="006D3149"/>
    <w:rsid w:val="0072621D"/>
    <w:rsid w:val="00756AFC"/>
    <w:rsid w:val="007856A2"/>
    <w:rsid w:val="007A3A2A"/>
    <w:rsid w:val="007B4579"/>
    <w:rsid w:val="008152C2"/>
    <w:rsid w:val="008600F0"/>
    <w:rsid w:val="008A6553"/>
    <w:rsid w:val="008A7704"/>
    <w:rsid w:val="008E5291"/>
    <w:rsid w:val="008F046D"/>
    <w:rsid w:val="00900BA1"/>
    <w:rsid w:val="00902899"/>
    <w:rsid w:val="00922B60"/>
    <w:rsid w:val="00933500"/>
    <w:rsid w:val="00946ED2"/>
    <w:rsid w:val="009B23A5"/>
    <w:rsid w:val="009B3BD0"/>
    <w:rsid w:val="009C1319"/>
    <w:rsid w:val="009F73DE"/>
    <w:rsid w:val="00A05CFD"/>
    <w:rsid w:val="00A272FB"/>
    <w:rsid w:val="00A546E1"/>
    <w:rsid w:val="00A7777D"/>
    <w:rsid w:val="00AA720E"/>
    <w:rsid w:val="00AE74B3"/>
    <w:rsid w:val="00AF5FD9"/>
    <w:rsid w:val="00B16B59"/>
    <w:rsid w:val="00B47F5A"/>
    <w:rsid w:val="00B54138"/>
    <w:rsid w:val="00B62E51"/>
    <w:rsid w:val="00B71EA7"/>
    <w:rsid w:val="00BB3E2E"/>
    <w:rsid w:val="00BC3022"/>
    <w:rsid w:val="00C201AB"/>
    <w:rsid w:val="00C53846"/>
    <w:rsid w:val="00C60D92"/>
    <w:rsid w:val="00C830CA"/>
    <w:rsid w:val="00C96ADF"/>
    <w:rsid w:val="00CC7313"/>
    <w:rsid w:val="00CD5638"/>
    <w:rsid w:val="00CF691B"/>
    <w:rsid w:val="00CF7A00"/>
    <w:rsid w:val="00D10777"/>
    <w:rsid w:val="00DC64AF"/>
    <w:rsid w:val="00E4102F"/>
    <w:rsid w:val="00E41B40"/>
    <w:rsid w:val="00E812BA"/>
    <w:rsid w:val="00EC4F5E"/>
    <w:rsid w:val="00F22FEB"/>
    <w:rsid w:val="00F30429"/>
    <w:rsid w:val="00F8353B"/>
    <w:rsid w:val="00FC7128"/>
    <w:rsid w:val="00FE142F"/>
    <w:rsid w:val="00FF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4370"/>
  <w15:chartTrackingRefBased/>
  <w15:docId w15:val="{F17F4AD1-1298-4B2A-8EFC-99E764B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网格型11"/>
    <w:basedOn w:val="TableNormal"/>
    <w:next w:val="TableGrid"/>
    <w:uiPriority w:val="59"/>
    <w:rsid w:val="0050547F"/>
    <w:pPr>
      <w:spacing w:after="0" w:line="240" w:lineRule="auto"/>
    </w:pPr>
    <w:rPr>
      <w:rFonts w:eastAsia="SimSun" w:cs="Times New Roman"/>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BA1"/>
    <w:rPr>
      <w:color w:val="0563C1" w:themeColor="hyperlink"/>
      <w:u w:val="single"/>
    </w:rPr>
  </w:style>
  <w:style w:type="character" w:customStyle="1" w:styleId="1">
    <w:name w:val="未处理的提及1"/>
    <w:basedOn w:val="DefaultParagraphFont"/>
    <w:uiPriority w:val="99"/>
    <w:semiHidden/>
    <w:unhideWhenUsed/>
    <w:rsid w:val="00900BA1"/>
    <w:rPr>
      <w:color w:val="605E5C"/>
      <w:shd w:val="clear" w:color="auto" w:fill="E1DFDD"/>
    </w:rPr>
  </w:style>
  <w:style w:type="paragraph" w:styleId="NormalWeb">
    <w:name w:val="Normal (Web)"/>
    <w:basedOn w:val="Normal"/>
    <w:uiPriority w:val="99"/>
    <w:unhideWhenUsed/>
    <w:rsid w:val="00DC64AF"/>
    <w:pPr>
      <w:spacing w:before="100" w:beforeAutospacing="1" w:after="100" w:afterAutospacing="1" w:line="240" w:lineRule="auto"/>
    </w:pPr>
    <w:rPr>
      <w:rFonts w:ascii="SimSun" w:eastAsia="SimSun" w:hAnsi="SimSun" w:cs="SimSun"/>
      <w:sz w:val="24"/>
      <w:szCs w:val="24"/>
      <w:lang w:eastAsia="zh-CN"/>
    </w:rPr>
  </w:style>
  <w:style w:type="character" w:styleId="CommentReference">
    <w:name w:val="annotation reference"/>
    <w:basedOn w:val="DefaultParagraphFont"/>
    <w:uiPriority w:val="99"/>
    <w:semiHidden/>
    <w:unhideWhenUsed/>
    <w:rsid w:val="00643532"/>
    <w:rPr>
      <w:sz w:val="21"/>
      <w:szCs w:val="21"/>
    </w:rPr>
  </w:style>
  <w:style w:type="paragraph" w:styleId="CommentText">
    <w:name w:val="annotation text"/>
    <w:basedOn w:val="Normal"/>
    <w:link w:val="CommentTextChar"/>
    <w:uiPriority w:val="99"/>
    <w:semiHidden/>
    <w:unhideWhenUsed/>
    <w:rsid w:val="00643532"/>
  </w:style>
  <w:style w:type="character" w:customStyle="1" w:styleId="CommentTextChar">
    <w:name w:val="Comment Text Char"/>
    <w:basedOn w:val="DefaultParagraphFont"/>
    <w:link w:val="CommentText"/>
    <w:uiPriority w:val="99"/>
    <w:semiHidden/>
    <w:rsid w:val="00643532"/>
  </w:style>
  <w:style w:type="paragraph" w:styleId="CommentSubject">
    <w:name w:val="annotation subject"/>
    <w:basedOn w:val="CommentText"/>
    <w:next w:val="CommentText"/>
    <w:link w:val="CommentSubjectChar"/>
    <w:uiPriority w:val="99"/>
    <w:semiHidden/>
    <w:unhideWhenUsed/>
    <w:rsid w:val="00643532"/>
    <w:rPr>
      <w:b/>
      <w:bCs/>
    </w:rPr>
  </w:style>
  <w:style w:type="character" w:customStyle="1" w:styleId="CommentSubjectChar">
    <w:name w:val="Comment Subject Char"/>
    <w:basedOn w:val="CommentTextChar"/>
    <w:link w:val="CommentSubject"/>
    <w:uiPriority w:val="99"/>
    <w:semiHidden/>
    <w:rsid w:val="00643532"/>
    <w:rPr>
      <w:b/>
      <w:bCs/>
    </w:rPr>
  </w:style>
  <w:style w:type="paragraph" w:styleId="BalloonText">
    <w:name w:val="Balloon Text"/>
    <w:basedOn w:val="Normal"/>
    <w:link w:val="BalloonTextChar"/>
    <w:uiPriority w:val="99"/>
    <w:semiHidden/>
    <w:unhideWhenUsed/>
    <w:rsid w:val="0064353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43532"/>
    <w:rPr>
      <w:sz w:val="18"/>
      <w:szCs w:val="18"/>
    </w:rPr>
  </w:style>
  <w:style w:type="paragraph" w:styleId="Header">
    <w:name w:val="header"/>
    <w:basedOn w:val="Normal"/>
    <w:link w:val="HeaderChar"/>
    <w:uiPriority w:val="99"/>
    <w:unhideWhenUsed/>
    <w:rsid w:val="002B33B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33BB"/>
    <w:rPr>
      <w:sz w:val="18"/>
      <w:szCs w:val="18"/>
    </w:rPr>
  </w:style>
  <w:style w:type="paragraph" w:styleId="Footer">
    <w:name w:val="footer"/>
    <w:basedOn w:val="Normal"/>
    <w:link w:val="FooterChar"/>
    <w:uiPriority w:val="99"/>
    <w:unhideWhenUsed/>
    <w:rsid w:val="002B33B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33BB"/>
    <w:rPr>
      <w:sz w:val="18"/>
      <w:szCs w:val="18"/>
    </w:rPr>
  </w:style>
  <w:style w:type="table" w:customStyle="1" w:styleId="TableGrid1">
    <w:name w:val="Table Grid1"/>
    <w:basedOn w:val="TableNormal"/>
    <w:next w:val="TableGrid"/>
    <w:uiPriority w:val="39"/>
    <w:rsid w:val="00756AFC"/>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11852">
      <w:bodyDiv w:val="1"/>
      <w:marLeft w:val="0"/>
      <w:marRight w:val="0"/>
      <w:marTop w:val="0"/>
      <w:marBottom w:val="0"/>
      <w:divBdr>
        <w:top w:val="none" w:sz="0" w:space="0" w:color="auto"/>
        <w:left w:val="none" w:sz="0" w:space="0" w:color="auto"/>
        <w:bottom w:val="none" w:sz="0" w:space="0" w:color="auto"/>
        <w:right w:val="none" w:sz="0" w:space="0" w:color="auto"/>
      </w:divBdr>
      <w:divsChild>
        <w:div w:id="132666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yidaiyilu.gov.cn/info/iList.jsp?cat_id=10076" TargetMode="External"/><Relationship Id="rId13" Type="http://schemas.openxmlformats.org/officeDocument/2006/relationships/hyperlink" Target="https://www.cntsdata.com/" TargetMode="External"/><Relationship Id="rId18" Type="http://schemas.openxmlformats.org/officeDocument/2006/relationships/hyperlink" Target="http://www.humanrightsdata.com/p/data-documentatio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ltandroadforum.org/english/n100/2017/0516/c22-423.html" TargetMode="External"/><Relationship Id="rId12" Type="http://schemas.openxmlformats.org/officeDocument/2006/relationships/hyperlink" Target="http://web.pdx.edu/~ito/Chinn-Ito_website.htm" TargetMode="External"/><Relationship Id="rId17" Type="http://schemas.openxmlformats.org/officeDocument/2006/relationships/hyperlink" Target="http://www.systemicpeace.org/inscrdata.html" TargetMode="External"/><Relationship Id="rId2" Type="http://schemas.openxmlformats.org/officeDocument/2006/relationships/styles" Target="styles.xml"/><Relationship Id="rId16" Type="http://schemas.openxmlformats.org/officeDocument/2006/relationships/hyperlink" Target="https://dataverse.harvard.edu/dataset.xhtml?persistentId=hdl:1902.1/123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bs.edu/behavioral-finance-and-financial-stability/data/Pages/global.aspx" TargetMode="External"/><Relationship Id="rId5" Type="http://schemas.openxmlformats.org/officeDocument/2006/relationships/footnotes" Target="footnotes.xml"/><Relationship Id="rId15" Type="http://schemas.openxmlformats.org/officeDocument/2006/relationships/hyperlink" Target="http://trade.ec.europa.eu/wtodispute/search.cfm?code=1" TargetMode="External"/><Relationship Id="rId10" Type="http://schemas.openxmlformats.org/officeDocument/2006/relationships/hyperlink" Target="http://tfs.mofcom.gov.cn/article/Nocategory/201111/20111107819474.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ta.mofcom.gov.cn/english/index.shtml" TargetMode="External"/><Relationship Id="rId14" Type="http://schemas.openxmlformats.org/officeDocument/2006/relationships/hyperlink" Target="https://www.wto.org/english/tratop_e/dispu_e/find_dispu_cases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0DBA-8F9A-45C0-A8BE-DD2933D4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Broz</dc:creator>
  <cp:keywords/>
  <dc:description/>
  <cp:lastModifiedBy>jacqueline larson</cp:lastModifiedBy>
  <cp:revision>4</cp:revision>
  <dcterms:created xsi:type="dcterms:W3CDTF">2020-03-10T18:20:00Z</dcterms:created>
  <dcterms:modified xsi:type="dcterms:W3CDTF">2020-03-10T18:20:00Z</dcterms:modified>
</cp:coreProperties>
</file>