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C3F2" w14:textId="77777777" w:rsidR="00DF40BE" w:rsidRPr="00F75D70" w:rsidRDefault="00DF40BE" w:rsidP="00DF40BE">
      <w:pPr>
        <w:jc w:val="center"/>
        <w:rPr>
          <w:rFonts w:ascii="Times New Roman" w:hAnsi="Times New Roman" w:cs="Times New Roman"/>
          <w:lang w:val="en-US"/>
        </w:rPr>
      </w:pPr>
    </w:p>
    <w:p w14:paraId="121D14E7" w14:textId="77777777" w:rsidR="00DF40BE" w:rsidRPr="00F75D70" w:rsidRDefault="00DF40BE" w:rsidP="00DF40BE">
      <w:pPr>
        <w:tabs>
          <w:tab w:val="left" w:pos="2368"/>
        </w:tabs>
        <w:jc w:val="center"/>
        <w:rPr>
          <w:rFonts w:ascii="Times New Roman" w:eastAsiaTheme="minorHAnsi" w:hAnsi="Times New Roman" w:cs="Times New Roman"/>
          <w:b/>
          <w:bCs/>
          <w:sz w:val="32"/>
          <w:szCs w:val="32"/>
          <w:lang w:val="en-US" w:eastAsia="en-US"/>
        </w:rPr>
      </w:pPr>
    </w:p>
    <w:p w14:paraId="00B78A4F" w14:textId="77777777" w:rsidR="00DF40BE" w:rsidRPr="00F75D70" w:rsidRDefault="00DF40BE" w:rsidP="00DF40BE">
      <w:pPr>
        <w:tabs>
          <w:tab w:val="left" w:pos="2368"/>
        </w:tabs>
        <w:jc w:val="center"/>
        <w:rPr>
          <w:rFonts w:ascii="Times New Roman" w:eastAsiaTheme="minorHAnsi" w:hAnsi="Times New Roman" w:cs="Times New Roman"/>
          <w:b/>
          <w:bCs/>
          <w:sz w:val="32"/>
          <w:szCs w:val="32"/>
          <w:lang w:val="en-US" w:eastAsia="en-US"/>
        </w:rPr>
      </w:pPr>
    </w:p>
    <w:p w14:paraId="1C41A882" w14:textId="77777777" w:rsidR="00DF40BE" w:rsidRPr="00F75D70" w:rsidRDefault="00DF40BE" w:rsidP="00DF40BE">
      <w:pPr>
        <w:tabs>
          <w:tab w:val="left" w:pos="2368"/>
        </w:tabs>
        <w:jc w:val="center"/>
        <w:rPr>
          <w:rFonts w:ascii="Times New Roman" w:eastAsiaTheme="minorHAnsi" w:hAnsi="Times New Roman" w:cs="Times New Roman"/>
          <w:b/>
          <w:bCs/>
          <w:sz w:val="32"/>
          <w:szCs w:val="32"/>
          <w:lang w:val="en-US" w:eastAsia="en-US"/>
        </w:rPr>
      </w:pPr>
    </w:p>
    <w:p w14:paraId="79C27DEF" w14:textId="77777777" w:rsidR="00C37785" w:rsidRPr="00C32BCE" w:rsidRDefault="00C37785" w:rsidP="00C37785">
      <w:pPr>
        <w:tabs>
          <w:tab w:val="left" w:pos="2368"/>
        </w:tabs>
        <w:jc w:val="center"/>
        <w:outlineLvl w:val="0"/>
        <w:rPr>
          <w:rFonts w:ascii="Times New Roman" w:eastAsiaTheme="minorHAnsi" w:hAnsi="Times New Roman" w:cs="Times New Roman"/>
          <w:b/>
          <w:bCs/>
          <w:sz w:val="32"/>
          <w:szCs w:val="32"/>
          <w:lang w:val="en-US" w:eastAsia="en-US"/>
        </w:rPr>
      </w:pPr>
      <w:r w:rsidRPr="00C32BCE">
        <w:rPr>
          <w:rFonts w:ascii="Times New Roman" w:eastAsiaTheme="minorHAnsi" w:hAnsi="Times New Roman" w:cs="Times New Roman"/>
          <w:b/>
          <w:bCs/>
          <w:sz w:val="32"/>
          <w:szCs w:val="32"/>
          <w:lang w:val="en-US" w:eastAsia="en-US"/>
        </w:rPr>
        <w:t xml:space="preserve">Non-cooperation by popular vote: </w:t>
      </w:r>
    </w:p>
    <w:p w14:paraId="172DA2B2" w14:textId="3566299E" w:rsidR="00DF40BE" w:rsidRPr="00F75D70" w:rsidRDefault="00C37785" w:rsidP="00C37785">
      <w:pPr>
        <w:jc w:val="center"/>
        <w:rPr>
          <w:rFonts w:ascii="Times New Roman" w:hAnsi="Times New Roman" w:cs="Times New Roman"/>
          <w:sz w:val="32"/>
          <w:szCs w:val="32"/>
          <w:lang w:val="en-US"/>
        </w:rPr>
      </w:pPr>
      <w:r w:rsidRPr="00C32BCE">
        <w:rPr>
          <w:rFonts w:ascii="Times New Roman" w:eastAsiaTheme="minorHAnsi" w:hAnsi="Times New Roman" w:cs="Times New Roman"/>
          <w:b/>
          <w:bCs/>
          <w:sz w:val="32"/>
          <w:szCs w:val="32"/>
          <w:lang w:val="en-US" w:eastAsia="en-US"/>
        </w:rPr>
        <w:t>Expectations, foreign intervention, and the vote in the 2015 Greek bailout referendum</w:t>
      </w:r>
    </w:p>
    <w:p w14:paraId="4CC73F9C" w14:textId="77777777" w:rsidR="00DF40BE" w:rsidRPr="00F75D70" w:rsidRDefault="00DF40BE" w:rsidP="00DF40BE">
      <w:pPr>
        <w:jc w:val="center"/>
        <w:rPr>
          <w:rFonts w:ascii="Times New Roman" w:hAnsi="Times New Roman" w:cs="Times New Roman"/>
          <w:lang w:val="en-US"/>
        </w:rPr>
      </w:pPr>
    </w:p>
    <w:p w14:paraId="12E01F50" w14:textId="77777777" w:rsidR="00DF40BE" w:rsidRPr="00F75D70" w:rsidRDefault="00DF40BE" w:rsidP="00DF40BE">
      <w:pPr>
        <w:rPr>
          <w:rFonts w:ascii="Times New Roman" w:hAnsi="Times New Roman" w:cs="Times New Roman"/>
          <w:lang w:val="en-US"/>
        </w:rPr>
      </w:pPr>
    </w:p>
    <w:p w14:paraId="3B1DF929" w14:textId="77777777" w:rsidR="00DF40BE" w:rsidRPr="00F75D70" w:rsidRDefault="00DF40BE" w:rsidP="00DF40BE">
      <w:pPr>
        <w:jc w:val="center"/>
        <w:rPr>
          <w:rFonts w:ascii="Times New Roman" w:hAnsi="Times New Roman" w:cs="Times New Roman"/>
          <w:lang w:val="en-US"/>
        </w:rPr>
      </w:pPr>
    </w:p>
    <w:p w14:paraId="07EC5D1C" w14:textId="77777777" w:rsidR="00DF40BE" w:rsidRDefault="00DF40BE" w:rsidP="006D2F10">
      <w:pPr>
        <w:spacing w:line="360" w:lineRule="auto"/>
        <w:jc w:val="center"/>
        <w:rPr>
          <w:rFonts w:ascii="Times New Roman" w:hAnsi="Times New Roman" w:cs="Times New Roman"/>
          <w:b/>
          <w:lang w:val="en-US"/>
        </w:rPr>
      </w:pPr>
      <w:r w:rsidRPr="00F75D70">
        <w:rPr>
          <w:rFonts w:ascii="Times New Roman" w:hAnsi="Times New Roman" w:cs="Times New Roman"/>
          <w:b/>
          <w:lang w:val="en-US"/>
        </w:rPr>
        <w:t>Online Appendix</w:t>
      </w:r>
    </w:p>
    <w:p w14:paraId="11BCAC07" w14:textId="77777777" w:rsidR="00DF40BE" w:rsidRDefault="00DF40BE" w:rsidP="00DF40BE">
      <w:pPr>
        <w:spacing w:line="360" w:lineRule="auto"/>
        <w:rPr>
          <w:rFonts w:ascii="Times New Roman" w:hAnsi="Times New Roman" w:cs="Times New Roman"/>
          <w:b/>
          <w:lang w:val="en-US"/>
        </w:rPr>
      </w:pPr>
    </w:p>
    <w:p w14:paraId="0E204C82" w14:textId="77777777" w:rsidR="00DF40BE" w:rsidRPr="004E0B02" w:rsidRDefault="00DF40BE" w:rsidP="00DF40BE">
      <w:pPr>
        <w:spacing w:line="360" w:lineRule="auto"/>
        <w:rPr>
          <w:rFonts w:ascii="Times New Roman" w:hAnsi="Times New Roman" w:cs="Times New Roman"/>
          <w:lang w:val="en-US"/>
        </w:rPr>
      </w:pPr>
    </w:p>
    <w:p w14:paraId="2A8CCBE4" w14:textId="55B560BA" w:rsidR="00C37785" w:rsidRPr="00C91291" w:rsidRDefault="00C37785" w:rsidP="00DF40BE">
      <w:pPr>
        <w:pStyle w:val="Prrafodelista"/>
        <w:numPr>
          <w:ilvl w:val="0"/>
          <w:numId w:val="1"/>
        </w:numPr>
        <w:spacing w:line="360" w:lineRule="auto"/>
        <w:jc w:val="both"/>
        <w:rPr>
          <w:rFonts w:ascii="Times New Roman" w:hAnsi="Times New Roman" w:cs="Times New Roman"/>
          <w:b/>
          <w:szCs w:val="22"/>
          <w:lang w:val="en-US"/>
        </w:rPr>
      </w:pPr>
      <w:r w:rsidRPr="00C91291">
        <w:rPr>
          <w:rFonts w:ascii="Times New Roman" w:hAnsi="Times New Roman" w:cs="Times New Roman"/>
          <w:b/>
          <w:szCs w:val="22"/>
          <w:lang w:val="en-US"/>
        </w:rPr>
        <w:t xml:space="preserve">Unweighted </w:t>
      </w:r>
      <w:r w:rsidR="00365261" w:rsidRPr="00C91291">
        <w:rPr>
          <w:rFonts w:ascii="Times New Roman" w:hAnsi="Times New Roman" w:cs="Times New Roman"/>
          <w:b/>
          <w:szCs w:val="22"/>
          <w:lang w:val="en-US"/>
        </w:rPr>
        <w:t>descriptive</w:t>
      </w:r>
      <w:r w:rsidRPr="00C91291">
        <w:rPr>
          <w:rFonts w:ascii="Times New Roman" w:hAnsi="Times New Roman" w:cs="Times New Roman"/>
          <w:b/>
          <w:szCs w:val="22"/>
          <w:lang w:val="en-US"/>
        </w:rPr>
        <w:t xml:space="preserve"> statistics</w:t>
      </w:r>
    </w:p>
    <w:p w14:paraId="0823C10A" w14:textId="7676B3C8" w:rsidR="00DF40BE" w:rsidRPr="00C91291" w:rsidRDefault="00DF40BE" w:rsidP="00DF40BE">
      <w:pPr>
        <w:pStyle w:val="Prrafodelista"/>
        <w:numPr>
          <w:ilvl w:val="0"/>
          <w:numId w:val="1"/>
        </w:numPr>
        <w:spacing w:line="360" w:lineRule="auto"/>
        <w:jc w:val="both"/>
        <w:rPr>
          <w:rFonts w:ascii="Times New Roman" w:hAnsi="Times New Roman" w:cs="Times New Roman"/>
          <w:b/>
          <w:szCs w:val="22"/>
          <w:lang w:val="en-US"/>
        </w:rPr>
      </w:pPr>
      <w:r w:rsidRPr="00C91291">
        <w:rPr>
          <w:rFonts w:ascii="Times New Roman" w:hAnsi="Times New Roman" w:cs="Times New Roman"/>
          <w:b/>
          <w:szCs w:val="22"/>
          <w:lang w:val="en-US"/>
        </w:rPr>
        <w:t>Determinants of the NO-Vote in the July 2015 Greek referendum. Logit models</w:t>
      </w:r>
    </w:p>
    <w:p w14:paraId="5EB15DBE" w14:textId="77777777" w:rsidR="00DF40BE" w:rsidRPr="00C91291" w:rsidRDefault="00DF40BE" w:rsidP="00DF40BE">
      <w:pPr>
        <w:pStyle w:val="Prrafodelista"/>
        <w:numPr>
          <w:ilvl w:val="0"/>
          <w:numId w:val="1"/>
        </w:numPr>
        <w:spacing w:line="360" w:lineRule="auto"/>
        <w:rPr>
          <w:rFonts w:ascii="Times New Roman" w:hAnsi="Times New Roman" w:cs="Times New Roman"/>
          <w:b/>
          <w:szCs w:val="20"/>
          <w:lang w:val="en-US"/>
        </w:rPr>
      </w:pPr>
      <w:r w:rsidRPr="00C91291">
        <w:rPr>
          <w:rFonts w:ascii="Times New Roman" w:hAnsi="Times New Roman" w:cs="Times New Roman"/>
          <w:b/>
          <w:szCs w:val="20"/>
          <w:lang w:val="en-US"/>
        </w:rPr>
        <w:t>Effect of bank holiday on expectations. Multinomial Logit</w:t>
      </w:r>
    </w:p>
    <w:p w14:paraId="10E5D900" w14:textId="5CC29716" w:rsidR="00C91291" w:rsidRPr="00C91291" w:rsidRDefault="00C91291" w:rsidP="00DF40BE">
      <w:pPr>
        <w:pStyle w:val="Prrafodelista"/>
        <w:numPr>
          <w:ilvl w:val="0"/>
          <w:numId w:val="1"/>
        </w:numPr>
        <w:spacing w:line="360" w:lineRule="auto"/>
        <w:rPr>
          <w:rFonts w:ascii="Times New Roman" w:hAnsi="Times New Roman" w:cs="Times New Roman"/>
          <w:b/>
          <w:szCs w:val="20"/>
          <w:lang w:val="en-US"/>
        </w:rPr>
      </w:pPr>
      <w:r w:rsidRPr="00C91291">
        <w:rPr>
          <w:rFonts w:ascii="Times New Roman" w:hAnsi="Times New Roman" w:cs="Times New Roman"/>
          <w:b/>
          <w:lang w:val="en-US"/>
        </w:rPr>
        <w:t>Polls conducted in Greece before and after the bank shutdown</w:t>
      </w:r>
    </w:p>
    <w:p w14:paraId="55663C4E" w14:textId="145D3BDC" w:rsidR="00DF40BE" w:rsidRPr="009143C2" w:rsidRDefault="00DF40BE" w:rsidP="00DF40BE">
      <w:pPr>
        <w:pStyle w:val="Prrafodelista"/>
        <w:numPr>
          <w:ilvl w:val="0"/>
          <w:numId w:val="1"/>
        </w:numPr>
        <w:spacing w:line="360" w:lineRule="auto"/>
        <w:rPr>
          <w:rFonts w:ascii="Times New Roman" w:hAnsi="Times New Roman" w:cs="Times New Roman"/>
          <w:b/>
          <w:szCs w:val="20"/>
          <w:lang w:val="en-US"/>
        </w:rPr>
      </w:pPr>
      <w:r w:rsidRPr="00C91291">
        <w:rPr>
          <w:rFonts w:ascii="Times New Roman" w:hAnsi="Times New Roman" w:cs="Times New Roman"/>
          <w:b/>
          <w:lang w:val="en-US"/>
        </w:rPr>
        <w:t>Matching Analyses</w:t>
      </w:r>
      <w:r w:rsidR="00404E17">
        <w:rPr>
          <w:rFonts w:ascii="Times New Roman" w:hAnsi="Times New Roman" w:cs="Times New Roman"/>
          <w:b/>
          <w:lang w:val="en-US"/>
        </w:rPr>
        <w:t xml:space="preserve"> on Referendum Vote</w:t>
      </w:r>
    </w:p>
    <w:p w14:paraId="5E7D6E18" w14:textId="5E7E8A63" w:rsidR="00404E17" w:rsidRPr="00404E17" w:rsidRDefault="00404E17" w:rsidP="00404E17">
      <w:pPr>
        <w:pStyle w:val="Prrafodelista"/>
        <w:numPr>
          <w:ilvl w:val="0"/>
          <w:numId w:val="1"/>
        </w:numPr>
        <w:spacing w:line="360" w:lineRule="auto"/>
        <w:rPr>
          <w:rFonts w:ascii="Times New Roman" w:hAnsi="Times New Roman" w:cs="Times New Roman"/>
          <w:b/>
          <w:szCs w:val="20"/>
          <w:lang w:val="en-US"/>
        </w:rPr>
      </w:pPr>
      <w:r w:rsidRPr="00C91291">
        <w:rPr>
          <w:rFonts w:ascii="Times New Roman" w:hAnsi="Times New Roman" w:cs="Times New Roman"/>
          <w:b/>
          <w:lang w:val="en-US"/>
        </w:rPr>
        <w:t>Matching Analyses</w:t>
      </w:r>
      <w:r>
        <w:rPr>
          <w:rFonts w:ascii="Times New Roman" w:hAnsi="Times New Roman" w:cs="Times New Roman"/>
          <w:b/>
          <w:lang w:val="en-US"/>
        </w:rPr>
        <w:t xml:space="preserve"> on Expectations</w:t>
      </w:r>
    </w:p>
    <w:p w14:paraId="378FE4E9" w14:textId="41895FCA" w:rsidR="00404E17" w:rsidRPr="009143C2" w:rsidRDefault="00404E17" w:rsidP="00404E17">
      <w:pPr>
        <w:pStyle w:val="Prrafodelista"/>
        <w:numPr>
          <w:ilvl w:val="0"/>
          <w:numId w:val="1"/>
        </w:numPr>
        <w:spacing w:line="360" w:lineRule="auto"/>
        <w:rPr>
          <w:rFonts w:ascii="Times New Roman" w:hAnsi="Times New Roman" w:cs="Times New Roman"/>
          <w:b/>
          <w:szCs w:val="20"/>
          <w:lang w:val="en-US"/>
        </w:rPr>
      </w:pPr>
      <w:r>
        <w:rPr>
          <w:rFonts w:ascii="Times New Roman" w:hAnsi="Times New Roman" w:cs="Times New Roman"/>
          <w:b/>
          <w:lang w:val="en-US"/>
        </w:rPr>
        <w:t>Experiment on Foreign Threats</w:t>
      </w:r>
    </w:p>
    <w:p w14:paraId="3F909982" w14:textId="1322904A" w:rsidR="009143C2" w:rsidRPr="00C91291" w:rsidRDefault="009143C2" w:rsidP="00DF40BE">
      <w:pPr>
        <w:pStyle w:val="Prrafodelista"/>
        <w:numPr>
          <w:ilvl w:val="0"/>
          <w:numId w:val="1"/>
        </w:numPr>
        <w:spacing w:line="360" w:lineRule="auto"/>
        <w:rPr>
          <w:rFonts w:ascii="Times New Roman" w:hAnsi="Times New Roman" w:cs="Times New Roman"/>
          <w:b/>
          <w:szCs w:val="20"/>
          <w:lang w:val="en-US"/>
        </w:rPr>
      </w:pPr>
      <w:r>
        <w:rPr>
          <w:rFonts w:ascii="Times New Roman" w:hAnsi="Times New Roman" w:cs="Times New Roman"/>
          <w:b/>
          <w:lang w:val="en-US"/>
        </w:rPr>
        <w:t>Causal Mediation Analyses</w:t>
      </w:r>
    </w:p>
    <w:p w14:paraId="4E2466F5" w14:textId="77777777" w:rsidR="00DF40BE" w:rsidRPr="004E0B02" w:rsidRDefault="00DF40BE" w:rsidP="00DF40BE">
      <w:pPr>
        <w:spacing w:line="360" w:lineRule="auto"/>
        <w:rPr>
          <w:rFonts w:ascii="Times New Roman" w:hAnsi="Times New Roman" w:cs="Times New Roman"/>
          <w:lang w:val="en-US"/>
        </w:rPr>
      </w:pPr>
    </w:p>
    <w:p w14:paraId="4345A8FA" w14:textId="4CEEAA47" w:rsidR="002D46F5" w:rsidRDefault="002D46F5" w:rsidP="002D46F5">
      <w:pPr>
        <w:rPr>
          <w:rFonts w:ascii="Times New Roman" w:hAnsi="Times New Roman" w:cs="Times New Roman"/>
          <w:b/>
          <w:sz w:val="22"/>
          <w:szCs w:val="22"/>
          <w:lang w:val="en-US"/>
        </w:rPr>
      </w:pPr>
      <w:r>
        <w:rPr>
          <w:rFonts w:ascii="Times New Roman" w:hAnsi="Times New Roman" w:cs="Times New Roman"/>
          <w:b/>
          <w:sz w:val="22"/>
          <w:szCs w:val="22"/>
          <w:lang w:val="en-US"/>
        </w:rPr>
        <w:br w:type="page"/>
      </w:r>
    </w:p>
    <w:p w14:paraId="6270506A" w14:textId="4FC06F16" w:rsidR="002D46F5" w:rsidRPr="002D46F5" w:rsidRDefault="002D46F5" w:rsidP="002D46F5">
      <w:pPr>
        <w:pStyle w:val="Prrafodelista"/>
        <w:numPr>
          <w:ilvl w:val="0"/>
          <w:numId w:val="8"/>
        </w:numPr>
        <w:outlineLvl w:val="0"/>
        <w:rPr>
          <w:rFonts w:ascii="Times New Roman" w:hAnsi="Times New Roman" w:cs="Times New Roman"/>
          <w:b/>
          <w:lang w:val="en-US"/>
        </w:rPr>
      </w:pPr>
      <w:r w:rsidRPr="002D46F5">
        <w:rPr>
          <w:rFonts w:ascii="Times New Roman" w:hAnsi="Times New Roman" w:cs="Times New Roman"/>
          <w:b/>
          <w:lang w:val="en-US"/>
        </w:rPr>
        <w:lastRenderedPageBreak/>
        <w:t>Des</w:t>
      </w:r>
      <w:r>
        <w:rPr>
          <w:rFonts w:ascii="Times New Roman" w:hAnsi="Times New Roman" w:cs="Times New Roman"/>
          <w:b/>
          <w:lang w:val="en-US"/>
        </w:rPr>
        <w:t>criptive statistics</w:t>
      </w:r>
    </w:p>
    <w:p w14:paraId="09C9EB4C" w14:textId="77777777" w:rsidR="002D46F5" w:rsidRPr="00C32BCE" w:rsidRDefault="002D46F5" w:rsidP="002D46F5">
      <w:pPr>
        <w:spacing w:line="360" w:lineRule="auto"/>
        <w:rPr>
          <w:rFonts w:ascii="Times New Roman" w:hAnsi="Times New Roman" w:cs="Times New Roman"/>
          <w:lang w:val="en-US"/>
        </w:rPr>
      </w:pPr>
    </w:p>
    <w:p w14:paraId="22546E98" w14:textId="77777777" w:rsidR="002D46F5" w:rsidRPr="00C32BCE" w:rsidRDefault="002D46F5" w:rsidP="002D46F5">
      <w:pPr>
        <w:jc w:val="both"/>
        <w:outlineLvl w:val="0"/>
        <w:rPr>
          <w:rFonts w:ascii="Times New Roman" w:hAnsi="Times New Roman" w:cs="Times New Roman"/>
          <w:b/>
          <w:sz w:val="22"/>
          <w:szCs w:val="22"/>
          <w:lang w:val="en-US"/>
        </w:rPr>
      </w:pPr>
      <w:r w:rsidRPr="00C32BCE">
        <w:rPr>
          <w:rFonts w:ascii="Times New Roman" w:eastAsia="Times New Roman" w:hAnsi="Times New Roman" w:cs="Times New Roman"/>
          <w:b/>
          <w:bCs/>
          <w:color w:val="000000"/>
          <w:sz w:val="22"/>
          <w:szCs w:val="22"/>
          <w:lang w:val="en-US" w:eastAsia="es-ES"/>
        </w:rPr>
        <w:t>Table A1: Descriptive Statistics (unweighted)</w:t>
      </w:r>
    </w:p>
    <w:tbl>
      <w:tblPr>
        <w:tblW w:w="9500" w:type="dxa"/>
        <w:tblInd w:w="55" w:type="dxa"/>
        <w:tblLayout w:type="fixed"/>
        <w:tblCellMar>
          <w:left w:w="70" w:type="dxa"/>
          <w:right w:w="70" w:type="dxa"/>
        </w:tblCellMar>
        <w:tblLook w:val="04A0" w:firstRow="1" w:lastRow="0" w:firstColumn="1" w:lastColumn="0" w:noHBand="0" w:noVBand="1"/>
      </w:tblPr>
      <w:tblGrid>
        <w:gridCol w:w="4122"/>
        <w:gridCol w:w="924"/>
        <w:gridCol w:w="1338"/>
        <w:gridCol w:w="1338"/>
        <w:gridCol w:w="789"/>
        <w:gridCol w:w="989"/>
      </w:tblGrid>
      <w:tr w:rsidR="002D46F5" w:rsidRPr="00C32BCE" w14:paraId="7A2F1AE6" w14:textId="77777777" w:rsidTr="00113EF8">
        <w:trPr>
          <w:trHeight w:val="330"/>
        </w:trPr>
        <w:tc>
          <w:tcPr>
            <w:tcW w:w="4122" w:type="dxa"/>
            <w:tcBorders>
              <w:top w:val="nil"/>
              <w:left w:val="nil"/>
              <w:bottom w:val="nil"/>
              <w:right w:val="single" w:sz="4" w:space="0" w:color="auto"/>
            </w:tcBorders>
            <w:noWrap/>
            <w:vAlign w:val="bottom"/>
            <w:hideMark/>
          </w:tcPr>
          <w:p w14:paraId="1C238899"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Variable Name</w:t>
            </w:r>
          </w:p>
        </w:tc>
        <w:tc>
          <w:tcPr>
            <w:tcW w:w="924" w:type="dxa"/>
            <w:tcBorders>
              <w:top w:val="nil"/>
              <w:left w:val="single" w:sz="4" w:space="0" w:color="auto"/>
              <w:bottom w:val="nil"/>
              <w:right w:val="nil"/>
            </w:tcBorders>
            <w:noWrap/>
            <w:vAlign w:val="bottom"/>
            <w:hideMark/>
          </w:tcPr>
          <w:p w14:paraId="1A3C251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N</w:t>
            </w:r>
          </w:p>
        </w:tc>
        <w:tc>
          <w:tcPr>
            <w:tcW w:w="1338" w:type="dxa"/>
            <w:noWrap/>
            <w:vAlign w:val="bottom"/>
            <w:hideMark/>
          </w:tcPr>
          <w:p w14:paraId="106765C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Mean</w:t>
            </w:r>
          </w:p>
        </w:tc>
        <w:tc>
          <w:tcPr>
            <w:tcW w:w="1338" w:type="dxa"/>
            <w:noWrap/>
            <w:vAlign w:val="bottom"/>
            <w:hideMark/>
          </w:tcPr>
          <w:p w14:paraId="69B76FC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Std. Dev.</w:t>
            </w:r>
          </w:p>
        </w:tc>
        <w:tc>
          <w:tcPr>
            <w:tcW w:w="789" w:type="dxa"/>
            <w:noWrap/>
            <w:vAlign w:val="bottom"/>
            <w:hideMark/>
          </w:tcPr>
          <w:p w14:paraId="3D474CB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Min</w:t>
            </w:r>
          </w:p>
        </w:tc>
        <w:tc>
          <w:tcPr>
            <w:tcW w:w="989" w:type="dxa"/>
            <w:noWrap/>
            <w:vAlign w:val="bottom"/>
            <w:hideMark/>
          </w:tcPr>
          <w:p w14:paraId="735760F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b/>
                <w:color w:val="000000"/>
                <w:sz w:val="22"/>
                <w:szCs w:val="22"/>
                <w:lang w:val="en-US" w:eastAsia="es-ES"/>
              </w:rPr>
            </w:pPr>
            <w:r w:rsidRPr="00C32BCE">
              <w:rPr>
                <w:rFonts w:ascii="Times New Roman" w:eastAsia="Times New Roman" w:hAnsi="Times New Roman" w:cs="Times New Roman"/>
                <w:b/>
                <w:color w:val="000000"/>
                <w:sz w:val="22"/>
                <w:szCs w:val="22"/>
                <w:lang w:val="en-US" w:eastAsia="es-ES"/>
              </w:rPr>
              <w:t>Max</w:t>
            </w:r>
          </w:p>
        </w:tc>
      </w:tr>
      <w:tr w:rsidR="002D46F5" w:rsidRPr="00C32BCE" w14:paraId="07754A8D" w14:textId="77777777" w:rsidTr="00113EF8">
        <w:trPr>
          <w:trHeight w:val="316"/>
        </w:trPr>
        <w:tc>
          <w:tcPr>
            <w:tcW w:w="4122" w:type="dxa"/>
            <w:tcBorders>
              <w:top w:val="single" w:sz="4" w:space="0" w:color="auto"/>
              <w:left w:val="nil"/>
              <w:bottom w:val="nil"/>
              <w:right w:val="single" w:sz="4" w:space="0" w:color="auto"/>
            </w:tcBorders>
            <w:noWrap/>
            <w:vAlign w:val="bottom"/>
            <w:hideMark/>
          </w:tcPr>
          <w:p w14:paraId="7C27D479"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Intention to Vote No in Referendum</w:t>
            </w:r>
          </w:p>
        </w:tc>
        <w:tc>
          <w:tcPr>
            <w:tcW w:w="924" w:type="dxa"/>
            <w:tcBorders>
              <w:top w:val="single" w:sz="4" w:space="0" w:color="auto"/>
              <w:left w:val="single" w:sz="4" w:space="0" w:color="auto"/>
              <w:bottom w:val="nil"/>
              <w:right w:val="nil"/>
            </w:tcBorders>
            <w:noWrap/>
            <w:vAlign w:val="bottom"/>
            <w:hideMark/>
          </w:tcPr>
          <w:p w14:paraId="1F0F2DF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tcBorders>
              <w:top w:val="single" w:sz="4" w:space="0" w:color="auto"/>
              <w:left w:val="nil"/>
              <w:bottom w:val="nil"/>
              <w:right w:val="nil"/>
            </w:tcBorders>
            <w:noWrap/>
            <w:vAlign w:val="bottom"/>
            <w:hideMark/>
          </w:tcPr>
          <w:p w14:paraId="2462B73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0.502</w:t>
            </w:r>
          </w:p>
        </w:tc>
        <w:tc>
          <w:tcPr>
            <w:tcW w:w="1338" w:type="dxa"/>
            <w:tcBorders>
              <w:top w:val="single" w:sz="4" w:space="0" w:color="auto"/>
              <w:left w:val="nil"/>
              <w:bottom w:val="nil"/>
              <w:right w:val="nil"/>
            </w:tcBorders>
            <w:noWrap/>
            <w:vAlign w:val="bottom"/>
            <w:hideMark/>
          </w:tcPr>
          <w:p w14:paraId="7A1AAC9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0.500</w:t>
            </w:r>
          </w:p>
        </w:tc>
        <w:tc>
          <w:tcPr>
            <w:tcW w:w="789" w:type="dxa"/>
            <w:tcBorders>
              <w:top w:val="single" w:sz="4" w:space="0" w:color="auto"/>
              <w:left w:val="nil"/>
              <w:bottom w:val="nil"/>
              <w:right w:val="nil"/>
            </w:tcBorders>
            <w:noWrap/>
            <w:vAlign w:val="bottom"/>
            <w:hideMark/>
          </w:tcPr>
          <w:p w14:paraId="6C5B016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tcBorders>
              <w:top w:val="single" w:sz="4" w:space="0" w:color="auto"/>
              <w:left w:val="nil"/>
              <w:bottom w:val="nil"/>
              <w:right w:val="nil"/>
            </w:tcBorders>
            <w:noWrap/>
            <w:vAlign w:val="bottom"/>
            <w:hideMark/>
          </w:tcPr>
          <w:p w14:paraId="7A50C3D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3821BFF9" w14:textId="77777777" w:rsidTr="00113EF8">
        <w:trPr>
          <w:trHeight w:val="300"/>
        </w:trPr>
        <w:tc>
          <w:tcPr>
            <w:tcW w:w="4122" w:type="dxa"/>
            <w:tcBorders>
              <w:top w:val="nil"/>
              <w:left w:val="nil"/>
              <w:bottom w:val="nil"/>
              <w:right w:val="single" w:sz="4" w:space="0" w:color="auto"/>
            </w:tcBorders>
            <w:noWrap/>
            <w:vAlign w:val="bottom"/>
            <w:hideMark/>
          </w:tcPr>
          <w:p w14:paraId="39B9AF0E"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Expectation: No=Grexit</w:t>
            </w:r>
          </w:p>
        </w:tc>
        <w:tc>
          <w:tcPr>
            <w:tcW w:w="924" w:type="dxa"/>
            <w:tcBorders>
              <w:top w:val="nil"/>
              <w:left w:val="single" w:sz="4" w:space="0" w:color="auto"/>
              <w:bottom w:val="nil"/>
              <w:right w:val="nil"/>
            </w:tcBorders>
            <w:noWrap/>
            <w:vAlign w:val="bottom"/>
            <w:hideMark/>
          </w:tcPr>
          <w:p w14:paraId="237D8FE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2305F59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0.265</w:t>
            </w:r>
          </w:p>
        </w:tc>
        <w:tc>
          <w:tcPr>
            <w:tcW w:w="1338" w:type="dxa"/>
            <w:noWrap/>
            <w:vAlign w:val="bottom"/>
            <w:hideMark/>
          </w:tcPr>
          <w:p w14:paraId="36AAB06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0.442</w:t>
            </w:r>
          </w:p>
        </w:tc>
        <w:tc>
          <w:tcPr>
            <w:tcW w:w="789" w:type="dxa"/>
            <w:noWrap/>
            <w:vAlign w:val="bottom"/>
            <w:hideMark/>
          </w:tcPr>
          <w:p w14:paraId="4D3EAC3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7860E44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42F421E2" w14:textId="77777777" w:rsidTr="00113EF8">
        <w:trPr>
          <w:trHeight w:val="300"/>
        </w:trPr>
        <w:tc>
          <w:tcPr>
            <w:tcW w:w="4122" w:type="dxa"/>
            <w:tcBorders>
              <w:top w:val="nil"/>
              <w:left w:val="nil"/>
              <w:bottom w:val="nil"/>
              <w:right w:val="single" w:sz="4" w:space="0" w:color="auto"/>
            </w:tcBorders>
            <w:noWrap/>
            <w:vAlign w:val="bottom"/>
            <w:hideMark/>
          </w:tcPr>
          <w:p w14:paraId="01CE8103"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Expectation: No=Negotiation</w:t>
            </w:r>
          </w:p>
        </w:tc>
        <w:tc>
          <w:tcPr>
            <w:tcW w:w="924" w:type="dxa"/>
            <w:tcBorders>
              <w:top w:val="nil"/>
              <w:left w:val="single" w:sz="4" w:space="0" w:color="auto"/>
              <w:bottom w:val="nil"/>
              <w:right w:val="nil"/>
            </w:tcBorders>
            <w:noWrap/>
            <w:vAlign w:val="bottom"/>
            <w:hideMark/>
          </w:tcPr>
          <w:p w14:paraId="6A38037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01EAC37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0.584</w:t>
            </w:r>
          </w:p>
        </w:tc>
        <w:tc>
          <w:tcPr>
            <w:tcW w:w="1338" w:type="dxa"/>
            <w:noWrap/>
            <w:vAlign w:val="bottom"/>
            <w:hideMark/>
          </w:tcPr>
          <w:p w14:paraId="265A13D6"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0.493</w:t>
            </w:r>
          </w:p>
        </w:tc>
        <w:tc>
          <w:tcPr>
            <w:tcW w:w="789" w:type="dxa"/>
            <w:noWrap/>
            <w:vAlign w:val="bottom"/>
            <w:hideMark/>
          </w:tcPr>
          <w:p w14:paraId="68B7BD87"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6BEECB2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744881ED" w14:textId="77777777" w:rsidTr="00113EF8">
        <w:trPr>
          <w:trHeight w:val="300"/>
        </w:trPr>
        <w:tc>
          <w:tcPr>
            <w:tcW w:w="4122" w:type="dxa"/>
            <w:tcBorders>
              <w:top w:val="nil"/>
              <w:left w:val="nil"/>
              <w:bottom w:val="nil"/>
              <w:right w:val="single" w:sz="4" w:space="0" w:color="auto"/>
            </w:tcBorders>
            <w:noWrap/>
            <w:vAlign w:val="bottom"/>
            <w:hideMark/>
          </w:tcPr>
          <w:p w14:paraId="2AC4B40B"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Education</w:t>
            </w:r>
          </w:p>
        </w:tc>
        <w:tc>
          <w:tcPr>
            <w:tcW w:w="924" w:type="dxa"/>
            <w:tcBorders>
              <w:top w:val="nil"/>
              <w:left w:val="single" w:sz="4" w:space="0" w:color="auto"/>
              <w:bottom w:val="nil"/>
              <w:right w:val="nil"/>
            </w:tcBorders>
            <w:noWrap/>
            <w:vAlign w:val="bottom"/>
            <w:hideMark/>
          </w:tcPr>
          <w:p w14:paraId="573BD4C6" w14:textId="77777777" w:rsidR="002D46F5" w:rsidRPr="00C32BCE" w:rsidRDefault="002D46F5" w:rsidP="00113EF8">
            <w:pPr>
              <w:tabs>
                <w:tab w:val="left" w:pos="142"/>
              </w:tabs>
              <w:ind w:firstLine="142"/>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984</w:t>
            </w:r>
          </w:p>
        </w:tc>
        <w:tc>
          <w:tcPr>
            <w:tcW w:w="1338" w:type="dxa"/>
            <w:noWrap/>
            <w:vAlign w:val="bottom"/>
            <w:hideMark/>
          </w:tcPr>
          <w:p w14:paraId="2D5E9469"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2.814</w:t>
            </w:r>
          </w:p>
        </w:tc>
        <w:tc>
          <w:tcPr>
            <w:tcW w:w="1338" w:type="dxa"/>
            <w:noWrap/>
            <w:vAlign w:val="bottom"/>
            <w:hideMark/>
          </w:tcPr>
          <w:p w14:paraId="207049E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1.211</w:t>
            </w:r>
          </w:p>
        </w:tc>
        <w:tc>
          <w:tcPr>
            <w:tcW w:w="789" w:type="dxa"/>
            <w:noWrap/>
            <w:vAlign w:val="bottom"/>
            <w:hideMark/>
          </w:tcPr>
          <w:p w14:paraId="0ECEE607"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c>
          <w:tcPr>
            <w:tcW w:w="989" w:type="dxa"/>
            <w:noWrap/>
            <w:vAlign w:val="bottom"/>
            <w:hideMark/>
          </w:tcPr>
          <w:p w14:paraId="325B513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4</w:t>
            </w:r>
          </w:p>
        </w:tc>
      </w:tr>
      <w:tr w:rsidR="002D46F5" w:rsidRPr="00C32BCE" w14:paraId="75A2A6F3" w14:textId="77777777" w:rsidTr="00113EF8">
        <w:trPr>
          <w:trHeight w:val="300"/>
        </w:trPr>
        <w:tc>
          <w:tcPr>
            <w:tcW w:w="4122" w:type="dxa"/>
            <w:tcBorders>
              <w:top w:val="nil"/>
              <w:left w:val="nil"/>
              <w:bottom w:val="nil"/>
              <w:right w:val="single" w:sz="4" w:space="0" w:color="auto"/>
            </w:tcBorders>
            <w:noWrap/>
            <w:vAlign w:val="bottom"/>
            <w:hideMark/>
          </w:tcPr>
          <w:p w14:paraId="1CAD491A"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Age</w:t>
            </w:r>
          </w:p>
        </w:tc>
        <w:tc>
          <w:tcPr>
            <w:tcW w:w="924" w:type="dxa"/>
            <w:tcBorders>
              <w:top w:val="nil"/>
              <w:left w:val="single" w:sz="4" w:space="0" w:color="auto"/>
              <w:bottom w:val="nil"/>
              <w:right w:val="nil"/>
            </w:tcBorders>
            <w:noWrap/>
            <w:vAlign w:val="bottom"/>
            <w:hideMark/>
          </w:tcPr>
          <w:p w14:paraId="3EDA226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516730A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4.146</w:t>
            </w:r>
          </w:p>
        </w:tc>
        <w:tc>
          <w:tcPr>
            <w:tcW w:w="1338" w:type="dxa"/>
            <w:noWrap/>
            <w:vAlign w:val="bottom"/>
            <w:hideMark/>
          </w:tcPr>
          <w:p w14:paraId="7EC2189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1.411</w:t>
            </w:r>
          </w:p>
        </w:tc>
        <w:tc>
          <w:tcPr>
            <w:tcW w:w="789" w:type="dxa"/>
            <w:noWrap/>
            <w:vAlign w:val="bottom"/>
            <w:hideMark/>
          </w:tcPr>
          <w:p w14:paraId="7736FD5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c>
          <w:tcPr>
            <w:tcW w:w="989" w:type="dxa"/>
            <w:noWrap/>
            <w:vAlign w:val="bottom"/>
            <w:hideMark/>
          </w:tcPr>
          <w:p w14:paraId="13A32A83"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6</w:t>
            </w:r>
          </w:p>
        </w:tc>
      </w:tr>
      <w:tr w:rsidR="002D46F5" w:rsidRPr="00C32BCE" w14:paraId="2ED0418D" w14:textId="77777777" w:rsidTr="00113EF8">
        <w:trPr>
          <w:trHeight w:val="300"/>
        </w:trPr>
        <w:tc>
          <w:tcPr>
            <w:tcW w:w="4122" w:type="dxa"/>
            <w:tcBorders>
              <w:top w:val="nil"/>
              <w:left w:val="nil"/>
              <w:bottom w:val="nil"/>
              <w:right w:val="single" w:sz="4" w:space="0" w:color="auto"/>
            </w:tcBorders>
            <w:noWrap/>
            <w:vAlign w:val="bottom"/>
            <w:hideMark/>
          </w:tcPr>
          <w:p w14:paraId="7BEB9D6D"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Female</w:t>
            </w:r>
          </w:p>
        </w:tc>
        <w:tc>
          <w:tcPr>
            <w:tcW w:w="924" w:type="dxa"/>
            <w:tcBorders>
              <w:top w:val="nil"/>
              <w:left w:val="single" w:sz="4" w:space="0" w:color="auto"/>
              <w:bottom w:val="nil"/>
              <w:right w:val="nil"/>
            </w:tcBorders>
            <w:noWrap/>
            <w:vAlign w:val="bottom"/>
            <w:hideMark/>
          </w:tcPr>
          <w:p w14:paraId="1903673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329AA1B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0.594</w:t>
            </w:r>
          </w:p>
        </w:tc>
        <w:tc>
          <w:tcPr>
            <w:tcW w:w="1338" w:type="dxa"/>
            <w:noWrap/>
            <w:vAlign w:val="bottom"/>
            <w:hideMark/>
          </w:tcPr>
          <w:p w14:paraId="713B887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0.491</w:t>
            </w:r>
          </w:p>
        </w:tc>
        <w:tc>
          <w:tcPr>
            <w:tcW w:w="789" w:type="dxa"/>
            <w:noWrap/>
            <w:vAlign w:val="bottom"/>
            <w:hideMark/>
          </w:tcPr>
          <w:p w14:paraId="13EEBE3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4903B8A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6359DEEF" w14:textId="77777777" w:rsidTr="00113EF8">
        <w:trPr>
          <w:trHeight w:val="300"/>
        </w:trPr>
        <w:tc>
          <w:tcPr>
            <w:tcW w:w="4122" w:type="dxa"/>
            <w:tcBorders>
              <w:top w:val="nil"/>
              <w:left w:val="nil"/>
              <w:bottom w:val="nil"/>
              <w:right w:val="single" w:sz="4" w:space="0" w:color="auto"/>
            </w:tcBorders>
            <w:noWrap/>
            <w:vAlign w:val="bottom"/>
            <w:hideMark/>
          </w:tcPr>
          <w:p w14:paraId="066F985D"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Rural</w:t>
            </w:r>
          </w:p>
        </w:tc>
        <w:tc>
          <w:tcPr>
            <w:tcW w:w="924" w:type="dxa"/>
            <w:tcBorders>
              <w:top w:val="nil"/>
              <w:left w:val="single" w:sz="4" w:space="0" w:color="auto"/>
              <w:bottom w:val="nil"/>
              <w:right w:val="nil"/>
            </w:tcBorders>
            <w:noWrap/>
            <w:vAlign w:val="bottom"/>
            <w:hideMark/>
          </w:tcPr>
          <w:p w14:paraId="0234EEF9"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43C0690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0.589</w:t>
            </w:r>
          </w:p>
        </w:tc>
        <w:tc>
          <w:tcPr>
            <w:tcW w:w="1338" w:type="dxa"/>
            <w:noWrap/>
            <w:vAlign w:val="bottom"/>
            <w:hideMark/>
          </w:tcPr>
          <w:p w14:paraId="4788F4B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0.492</w:t>
            </w:r>
          </w:p>
        </w:tc>
        <w:tc>
          <w:tcPr>
            <w:tcW w:w="789" w:type="dxa"/>
            <w:noWrap/>
            <w:vAlign w:val="bottom"/>
            <w:hideMark/>
          </w:tcPr>
          <w:p w14:paraId="6C21583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5642FFB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5DF3D910" w14:textId="77777777" w:rsidTr="00113EF8">
        <w:trPr>
          <w:trHeight w:val="300"/>
        </w:trPr>
        <w:tc>
          <w:tcPr>
            <w:tcW w:w="4122" w:type="dxa"/>
            <w:tcBorders>
              <w:top w:val="nil"/>
              <w:left w:val="nil"/>
              <w:bottom w:val="nil"/>
              <w:right w:val="single" w:sz="4" w:space="0" w:color="auto"/>
            </w:tcBorders>
            <w:noWrap/>
            <w:vAlign w:val="bottom"/>
            <w:hideMark/>
          </w:tcPr>
          <w:p w14:paraId="09CA5889"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Unemployed</w:t>
            </w:r>
          </w:p>
        </w:tc>
        <w:tc>
          <w:tcPr>
            <w:tcW w:w="924" w:type="dxa"/>
            <w:tcBorders>
              <w:top w:val="nil"/>
              <w:left w:val="single" w:sz="4" w:space="0" w:color="auto"/>
              <w:bottom w:val="nil"/>
              <w:right w:val="nil"/>
            </w:tcBorders>
            <w:noWrap/>
            <w:vAlign w:val="bottom"/>
            <w:hideMark/>
          </w:tcPr>
          <w:p w14:paraId="32B32DD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1EF2D2D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0.122</w:t>
            </w:r>
          </w:p>
        </w:tc>
        <w:tc>
          <w:tcPr>
            <w:tcW w:w="1338" w:type="dxa"/>
            <w:noWrap/>
            <w:vAlign w:val="bottom"/>
            <w:hideMark/>
          </w:tcPr>
          <w:p w14:paraId="64908436"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0.328</w:t>
            </w:r>
          </w:p>
        </w:tc>
        <w:tc>
          <w:tcPr>
            <w:tcW w:w="789" w:type="dxa"/>
            <w:noWrap/>
            <w:vAlign w:val="bottom"/>
            <w:hideMark/>
          </w:tcPr>
          <w:p w14:paraId="172CE53C" w14:textId="77777777" w:rsidR="002D46F5" w:rsidRPr="00C32BCE" w:rsidRDefault="002D46F5" w:rsidP="00113EF8">
            <w:pPr>
              <w:tabs>
                <w:tab w:val="left" w:pos="142"/>
              </w:tabs>
              <w:ind w:firstLine="142"/>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3062EB91"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3C7B7161" w14:textId="77777777" w:rsidTr="00113EF8">
        <w:trPr>
          <w:trHeight w:val="300"/>
        </w:trPr>
        <w:tc>
          <w:tcPr>
            <w:tcW w:w="4122" w:type="dxa"/>
            <w:tcBorders>
              <w:top w:val="nil"/>
              <w:left w:val="nil"/>
              <w:bottom w:val="nil"/>
              <w:right w:val="single" w:sz="4" w:space="0" w:color="auto"/>
            </w:tcBorders>
            <w:noWrap/>
            <w:vAlign w:val="bottom"/>
            <w:hideMark/>
          </w:tcPr>
          <w:p w14:paraId="6EDB2E46"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Public Sector Employee</w:t>
            </w:r>
          </w:p>
        </w:tc>
        <w:tc>
          <w:tcPr>
            <w:tcW w:w="924" w:type="dxa"/>
            <w:tcBorders>
              <w:top w:val="nil"/>
              <w:left w:val="single" w:sz="4" w:space="0" w:color="auto"/>
              <w:bottom w:val="nil"/>
              <w:right w:val="nil"/>
            </w:tcBorders>
            <w:noWrap/>
            <w:vAlign w:val="bottom"/>
            <w:hideMark/>
          </w:tcPr>
          <w:p w14:paraId="698B301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1BC1859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0.118</w:t>
            </w:r>
          </w:p>
        </w:tc>
        <w:tc>
          <w:tcPr>
            <w:tcW w:w="1338" w:type="dxa"/>
            <w:noWrap/>
            <w:vAlign w:val="bottom"/>
            <w:hideMark/>
          </w:tcPr>
          <w:p w14:paraId="6A2F403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0.323</w:t>
            </w:r>
          </w:p>
        </w:tc>
        <w:tc>
          <w:tcPr>
            <w:tcW w:w="789" w:type="dxa"/>
            <w:noWrap/>
            <w:vAlign w:val="bottom"/>
            <w:hideMark/>
          </w:tcPr>
          <w:p w14:paraId="31BF143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0A78199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21C47166" w14:textId="77777777" w:rsidTr="00113EF8">
        <w:trPr>
          <w:trHeight w:val="300"/>
        </w:trPr>
        <w:tc>
          <w:tcPr>
            <w:tcW w:w="4122" w:type="dxa"/>
            <w:tcBorders>
              <w:top w:val="nil"/>
              <w:left w:val="nil"/>
              <w:bottom w:val="nil"/>
              <w:right w:val="single" w:sz="4" w:space="0" w:color="auto"/>
            </w:tcBorders>
            <w:noWrap/>
            <w:vAlign w:val="bottom"/>
            <w:hideMark/>
          </w:tcPr>
          <w:p w14:paraId="66B96BCE"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Private Sector Employee</w:t>
            </w:r>
          </w:p>
        </w:tc>
        <w:tc>
          <w:tcPr>
            <w:tcW w:w="924" w:type="dxa"/>
            <w:tcBorders>
              <w:top w:val="nil"/>
              <w:left w:val="single" w:sz="4" w:space="0" w:color="auto"/>
              <w:bottom w:val="nil"/>
              <w:right w:val="nil"/>
            </w:tcBorders>
            <w:noWrap/>
            <w:vAlign w:val="bottom"/>
            <w:hideMark/>
          </w:tcPr>
          <w:p w14:paraId="7269A84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5A6ABCC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0.196</w:t>
            </w:r>
          </w:p>
        </w:tc>
        <w:tc>
          <w:tcPr>
            <w:tcW w:w="1338" w:type="dxa"/>
            <w:noWrap/>
            <w:vAlign w:val="bottom"/>
            <w:hideMark/>
          </w:tcPr>
          <w:p w14:paraId="4BDA306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0.397</w:t>
            </w:r>
          </w:p>
        </w:tc>
        <w:tc>
          <w:tcPr>
            <w:tcW w:w="789" w:type="dxa"/>
            <w:noWrap/>
            <w:vAlign w:val="bottom"/>
            <w:hideMark/>
          </w:tcPr>
          <w:p w14:paraId="0C80E6F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482A81D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4DA6C895" w14:textId="77777777" w:rsidTr="00113EF8">
        <w:trPr>
          <w:trHeight w:val="300"/>
        </w:trPr>
        <w:tc>
          <w:tcPr>
            <w:tcW w:w="4122" w:type="dxa"/>
            <w:tcBorders>
              <w:top w:val="nil"/>
              <w:left w:val="nil"/>
              <w:bottom w:val="nil"/>
              <w:right w:val="single" w:sz="4" w:space="0" w:color="auto"/>
            </w:tcBorders>
            <w:noWrap/>
            <w:vAlign w:val="bottom"/>
            <w:hideMark/>
          </w:tcPr>
          <w:p w14:paraId="083F0A6F"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Pensioner</w:t>
            </w:r>
          </w:p>
        </w:tc>
        <w:tc>
          <w:tcPr>
            <w:tcW w:w="924" w:type="dxa"/>
            <w:tcBorders>
              <w:top w:val="nil"/>
              <w:left w:val="single" w:sz="4" w:space="0" w:color="auto"/>
              <w:bottom w:val="nil"/>
              <w:right w:val="nil"/>
            </w:tcBorders>
            <w:noWrap/>
            <w:vAlign w:val="bottom"/>
            <w:hideMark/>
          </w:tcPr>
          <w:p w14:paraId="757FF686"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49216758" w14:textId="77777777" w:rsidR="002D46F5" w:rsidRPr="00C32BCE" w:rsidRDefault="002D46F5" w:rsidP="00113EF8">
            <w:pPr>
              <w:tabs>
                <w:tab w:val="left" w:pos="142"/>
              </w:tabs>
              <w:ind w:firstLine="142"/>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0.259</w:t>
            </w:r>
          </w:p>
        </w:tc>
        <w:tc>
          <w:tcPr>
            <w:tcW w:w="1338" w:type="dxa"/>
            <w:noWrap/>
            <w:vAlign w:val="bottom"/>
            <w:hideMark/>
          </w:tcPr>
          <w:p w14:paraId="21866DC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0.438</w:t>
            </w:r>
          </w:p>
        </w:tc>
        <w:tc>
          <w:tcPr>
            <w:tcW w:w="789" w:type="dxa"/>
            <w:noWrap/>
            <w:vAlign w:val="bottom"/>
            <w:hideMark/>
          </w:tcPr>
          <w:p w14:paraId="3D2DC707"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203934A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6B27FE98" w14:textId="77777777" w:rsidTr="00113EF8">
        <w:trPr>
          <w:trHeight w:val="300"/>
        </w:trPr>
        <w:tc>
          <w:tcPr>
            <w:tcW w:w="4122" w:type="dxa"/>
            <w:tcBorders>
              <w:top w:val="nil"/>
              <w:left w:val="nil"/>
              <w:bottom w:val="nil"/>
              <w:right w:val="single" w:sz="4" w:space="0" w:color="auto"/>
            </w:tcBorders>
            <w:noWrap/>
            <w:vAlign w:val="bottom"/>
            <w:hideMark/>
          </w:tcPr>
          <w:p w14:paraId="1269E003"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Entrepreneur</w:t>
            </w:r>
          </w:p>
        </w:tc>
        <w:tc>
          <w:tcPr>
            <w:tcW w:w="924" w:type="dxa"/>
            <w:tcBorders>
              <w:top w:val="nil"/>
              <w:left w:val="single" w:sz="4" w:space="0" w:color="auto"/>
              <w:bottom w:val="nil"/>
              <w:right w:val="nil"/>
            </w:tcBorders>
            <w:noWrap/>
            <w:vAlign w:val="bottom"/>
            <w:hideMark/>
          </w:tcPr>
          <w:p w14:paraId="02C38B71"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22C911F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0.140</w:t>
            </w:r>
          </w:p>
        </w:tc>
        <w:tc>
          <w:tcPr>
            <w:tcW w:w="1338" w:type="dxa"/>
            <w:noWrap/>
            <w:vAlign w:val="bottom"/>
            <w:hideMark/>
          </w:tcPr>
          <w:p w14:paraId="16C2249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0.347</w:t>
            </w:r>
          </w:p>
        </w:tc>
        <w:tc>
          <w:tcPr>
            <w:tcW w:w="789" w:type="dxa"/>
            <w:noWrap/>
            <w:vAlign w:val="bottom"/>
            <w:hideMark/>
          </w:tcPr>
          <w:p w14:paraId="3103989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7202A95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50DC4F9C" w14:textId="77777777" w:rsidTr="00113EF8">
        <w:trPr>
          <w:trHeight w:val="300"/>
        </w:trPr>
        <w:tc>
          <w:tcPr>
            <w:tcW w:w="4122" w:type="dxa"/>
            <w:tcBorders>
              <w:top w:val="nil"/>
              <w:left w:val="nil"/>
              <w:bottom w:val="nil"/>
              <w:right w:val="single" w:sz="4" w:space="0" w:color="auto"/>
            </w:tcBorders>
            <w:noWrap/>
            <w:vAlign w:val="bottom"/>
            <w:hideMark/>
          </w:tcPr>
          <w:p w14:paraId="785EF4D7"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Farmer</w:t>
            </w:r>
          </w:p>
        </w:tc>
        <w:tc>
          <w:tcPr>
            <w:tcW w:w="924" w:type="dxa"/>
            <w:tcBorders>
              <w:top w:val="nil"/>
              <w:left w:val="single" w:sz="4" w:space="0" w:color="auto"/>
              <w:bottom w:val="nil"/>
              <w:right w:val="nil"/>
            </w:tcBorders>
            <w:noWrap/>
            <w:vAlign w:val="bottom"/>
            <w:hideMark/>
          </w:tcPr>
          <w:p w14:paraId="6DE3E466"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5ABE067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0.445</w:t>
            </w:r>
          </w:p>
        </w:tc>
        <w:tc>
          <w:tcPr>
            <w:tcW w:w="1338" w:type="dxa"/>
            <w:noWrap/>
            <w:vAlign w:val="bottom"/>
            <w:hideMark/>
          </w:tcPr>
          <w:p w14:paraId="470B660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0.206</w:t>
            </w:r>
          </w:p>
        </w:tc>
        <w:tc>
          <w:tcPr>
            <w:tcW w:w="789" w:type="dxa"/>
            <w:noWrap/>
            <w:vAlign w:val="bottom"/>
            <w:hideMark/>
          </w:tcPr>
          <w:p w14:paraId="1B5660C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5BCC8A23"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620944D1" w14:textId="77777777" w:rsidTr="00113EF8">
        <w:trPr>
          <w:trHeight w:val="300"/>
        </w:trPr>
        <w:tc>
          <w:tcPr>
            <w:tcW w:w="4122" w:type="dxa"/>
            <w:tcBorders>
              <w:top w:val="nil"/>
              <w:left w:val="nil"/>
              <w:bottom w:val="nil"/>
              <w:right w:val="single" w:sz="4" w:space="0" w:color="auto"/>
            </w:tcBorders>
            <w:noWrap/>
            <w:vAlign w:val="bottom"/>
            <w:hideMark/>
          </w:tcPr>
          <w:p w14:paraId="2EE6E6EB"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Other occupation</w:t>
            </w:r>
          </w:p>
        </w:tc>
        <w:tc>
          <w:tcPr>
            <w:tcW w:w="924" w:type="dxa"/>
            <w:tcBorders>
              <w:top w:val="nil"/>
              <w:left w:val="single" w:sz="4" w:space="0" w:color="auto"/>
              <w:bottom w:val="nil"/>
              <w:right w:val="nil"/>
            </w:tcBorders>
            <w:noWrap/>
            <w:vAlign w:val="bottom"/>
            <w:hideMark/>
          </w:tcPr>
          <w:p w14:paraId="6B3597A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0207595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0.12</w:t>
            </w:r>
            <w:r w:rsidRPr="00C32BCE">
              <w:rPr>
                <w:rFonts w:ascii="Times New Roman" w:eastAsia="Times New Roman" w:hAnsi="Times New Roman" w:cs="Times New Roman"/>
                <w:color w:val="000000"/>
                <w:sz w:val="22"/>
                <w:szCs w:val="22"/>
                <w:lang w:val="en-US" w:eastAsia="es-ES"/>
              </w:rPr>
              <w:t>0</w:t>
            </w:r>
          </w:p>
        </w:tc>
        <w:tc>
          <w:tcPr>
            <w:tcW w:w="1338" w:type="dxa"/>
            <w:noWrap/>
            <w:vAlign w:val="bottom"/>
            <w:hideMark/>
          </w:tcPr>
          <w:p w14:paraId="6EFBA563"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Pr>
                <w:rFonts w:ascii="Times New Roman" w:eastAsia="Times New Roman" w:hAnsi="Times New Roman" w:cs="Times New Roman"/>
                <w:color w:val="000000"/>
                <w:sz w:val="22"/>
                <w:szCs w:val="22"/>
                <w:lang w:val="en-US" w:eastAsia="es-ES"/>
              </w:rPr>
              <w:t>0.326</w:t>
            </w:r>
          </w:p>
        </w:tc>
        <w:tc>
          <w:tcPr>
            <w:tcW w:w="789" w:type="dxa"/>
            <w:noWrap/>
            <w:vAlign w:val="bottom"/>
            <w:hideMark/>
          </w:tcPr>
          <w:p w14:paraId="4704C30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1CBB8C7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4F59A841" w14:textId="77777777" w:rsidTr="00113EF8">
        <w:trPr>
          <w:trHeight w:val="300"/>
        </w:trPr>
        <w:tc>
          <w:tcPr>
            <w:tcW w:w="4122" w:type="dxa"/>
            <w:tcBorders>
              <w:top w:val="nil"/>
              <w:left w:val="nil"/>
              <w:bottom w:val="nil"/>
              <w:right w:val="single" w:sz="4" w:space="0" w:color="auto"/>
            </w:tcBorders>
            <w:noWrap/>
            <w:vAlign w:val="bottom"/>
            <w:hideMark/>
          </w:tcPr>
          <w:p w14:paraId="18A1E29D"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Bank holiday changed vote intention</w:t>
            </w:r>
          </w:p>
        </w:tc>
        <w:tc>
          <w:tcPr>
            <w:tcW w:w="924" w:type="dxa"/>
            <w:tcBorders>
              <w:top w:val="nil"/>
              <w:left w:val="single" w:sz="4" w:space="0" w:color="auto"/>
              <w:bottom w:val="nil"/>
              <w:right w:val="nil"/>
            </w:tcBorders>
            <w:noWrap/>
            <w:vAlign w:val="bottom"/>
            <w:hideMark/>
          </w:tcPr>
          <w:p w14:paraId="157F6EF7"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54D0A99C" w14:textId="77777777" w:rsidR="002D46F5" w:rsidRPr="00C32BCE" w:rsidRDefault="002D46F5" w:rsidP="00113EF8">
            <w:pPr>
              <w:tabs>
                <w:tab w:val="left" w:pos="142"/>
              </w:tabs>
              <w:ind w:firstLine="142"/>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0.229</w:t>
            </w:r>
          </w:p>
        </w:tc>
        <w:tc>
          <w:tcPr>
            <w:tcW w:w="1338" w:type="dxa"/>
            <w:noWrap/>
            <w:vAlign w:val="bottom"/>
            <w:hideMark/>
          </w:tcPr>
          <w:p w14:paraId="6407A22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0.420</w:t>
            </w:r>
          </w:p>
        </w:tc>
        <w:tc>
          <w:tcPr>
            <w:tcW w:w="789" w:type="dxa"/>
            <w:noWrap/>
            <w:vAlign w:val="bottom"/>
            <w:hideMark/>
          </w:tcPr>
          <w:p w14:paraId="13E3D1B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25F1FBE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56FA3BDB" w14:textId="77777777" w:rsidTr="00113EF8">
        <w:trPr>
          <w:trHeight w:val="300"/>
        </w:trPr>
        <w:tc>
          <w:tcPr>
            <w:tcW w:w="4122" w:type="dxa"/>
            <w:tcBorders>
              <w:top w:val="nil"/>
              <w:left w:val="nil"/>
              <w:bottom w:val="nil"/>
              <w:right w:val="single" w:sz="4" w:space="0" w:color="auto"/>
            </w:tcBorders>
            <w:noWrap/>
            <w:vAlign w:val="bottom"/>
            <w:hideMark/>
          </w:tcPr>
          <w:p w14:paraId="3D98AF90" w14:textId="77777777" w:rsidR="002D46F5" w:rsidRPr="00C32BCE" w:rsidRDefault="002D46F5" w:rsidP="00113EF8">
            <w:pPr>
              <w:tabs>
                <w:tab w:val="left" w:pos="142"/>
              </w:tabs>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Syriza</w:t>
            </w:r>
          </w:p>
        </w:tc>
        <w:tc>
          <w:tcPr>
            <w:tcW w:w="924" w:type="dxa"/>
            <w:tcBorders>
              <w:top w:val="nil"/>
              <w:left w:val="single" w:sz="4" w:space="0" w:color="auto"/>
              <w:bottom w:val="nil"/>
              <w:right w:val="nil"/>
            </w:tcBorders>
            <w:noWrap/>
            <w:vAlign w:val="bottom"/>
            <w:hideMark/>
          </w:tcPr>
          <w:p w14:paraId="2593FB0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3911517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0.363</w:t>
            </w:r>
          </w:p>
        </w:tc>
        <w:tc>
          <w:tcPr>
            <w:tcW w:w="1338" w:type="dxa"/>
            <w:noWrap/>
            <w:vAlign w:val="bottom"/>
            <w:hideMark/>
          </w:tcPr>
          <w:p w14:paraId="686E547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0.481</w:t>
            </w:r>
          </w:p>
        </w:tc>
        <w:tc>
          <w:tcPr>
            <w:tcW w:w="789" w:type="dxa"/>
            <w:noWrap/>
            <w:vAlign w:val="bottom"/>
            <w:hideMark/>
          </w:tcPr>
          <w:p w14:paraId="6BAB08B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1B7AF44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0F4458C9" w14:textId="77777777" w:rsidTr="00113EF8">
        <w:trPr>
          <w:trHeight w:val="300"/>
        </w:trPr>
        <w:tc>
          <w:tcPr>
            <w:tcW w:w="4122" w:type="dxa"/>
            <w:tcBorders>
              <w:top w:val="nil"/>
              <w:left w:val="nil"/>
              <w:bottom w:val="nil"/>
              <w:right w:val="single" w:sz="4" w:space="0" w:color="auto"/>
            </w:tcBorders>
            <w:noWrap/>
            <w:vAlign w:val="bottom"/>
            <w:hideMark/>
          </w:tcPr>
          <w:p w14:paraId="58D72842"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ANEL</w:t>
            </w:r>
          </w:p>
        </w:tc>
        <w:tc>
          <w:tcPr>
            <w:tcW w:w="924" w:type="dxa"/>
            <w:tcBorders>
              <w:top w:val="nil"/>
              <w:left w:val="single" w:sz="4" w:space="0" w:color="auto"/>
              <w:bottom w:val="nil"/>
              <w:right w:val="nil"/>
            </w:tcBorders>
            <w:noWrap/>
            <w:vAlign w:val="bottom"/>
            <w:hideMark/>
          </w:tcPr>
          <w:p w14:paraId="513054C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46321AB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0.031</w:t>
            </w:r>
          </w:p>
        </w:tc>
        <w:tc>
          <w:tcPr>
            <w:tcW w:w="1338" w:type="dxa"/>
            <w:noWrap/>
            <w:vAlign w:val="bottom"/>
            <w:hideMark/>
          </w:tcPr>
          <w:p w14:paraId="0B38651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0.174</w:t>
            </w:r>
          </w:p>
        </w:tc>
        <w:tc>
          <w:tcPr>
            <w:tcW w:w="789" w:type="dxa"/>
            <w:noWrap/>
            <w:vAlign w:val="bottom"/>
            <w:hideMark/>
          </w:tcPr>
          <w:p w14:paraId="0D8B893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3D1CA72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08F7CAEA" w14:textId="77777777" w:rsidTr="00113EF8">
        <w:trPr>
          <w:trHeight w:val="300"/>
        </w:trPr>
        <w:tc>
          <w:tcPr>
            <w:tcW w:w="4122" w:type="dxa"/>
            <w:tcBorders>
              <w:top w:val="nil"/>
              <w:left w:val="nil"/>
              <w:bottom w:val="nil"/>
              <w:right w:val="single" w:sz="4" w:space="0" w:color="auto"/>
            </w:tcBorders>
            <w:noWrap/>
            <w:vAlign w:val="bottom"/>
            <w:hideMark/>
          </w:tcPr>
          <w:p w14:paraId="4C0EC88C" w14:textId="77777777" w:rsidR="002D46F5" w:rsidRPr="00C32BCE" w:rsidRDefault="002D46F5" w:rsidP="00113EF8">
            <w:pPr>
              <w:keepNext/>
              <w:keepLines/>
              <w:tabs>
                <w:tab w:val="left" w:pos="87"/>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Nea Demokratia</w:t>
            </w:r>
          </w:p>
        </w:tc>
        <w:tc>
          <w:tcPr>
            <w:tcW w:w="924" w:type="dxa"/>
            <w:tcBorders>
              <w:top w:val="nil"/>
              <w:left w:val="single" w:sz="4" w:space="0" w:color="auto"/>
              <w:bottom w:val="nil"/>
              <w:right w:val="nil"/>
            </w:tcBorders>
            <w:noWrap/>
            <w:vAlign w:val="bottom"/>
            <w:hideMark/>
          </w:tcPr>
          <w:p w14:paraId="6E307F2B"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558B8C6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0.178</w:t>
            </w:r>
          </w:p>
        </w:tc>
        <w:tc>
          <w:tcPr>
            <w:tcW w:w="1338" w:type="dxa"/>
            <w:noWrap/>
            <w:vAlign w:val="bottom"/>
            <w:hideMark/>
          </w:tcPr>
          <w:p w14:paraId="659742E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0.383</w:t>
            </w:r>
          </w:p>
        </w:tc>
        <w:tc>
          <w:tcPr>
            <w:tcW w:w="789" w:type="dxa"/>
            <w:noWrap/>
            <w:vAlign w:val="bottom"/>
            <w:hideMark/>
          </w:tcPr>
          <w:p w14:paraId="76EDB9A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18F84EE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5D6F413E" w14:textId="77777777" w:rsidTr="00113EF8">
        <w:trPr>
          <w:trHeight w:val="300"/>
        </w:trPr>
        <w:tc>
          <w:tcPr>
            <w:tcW w:w="4122" w:type="dxa"/>
            <w:tcBorders>
              <w:top w:val="nil"/>
              <w:left w:val="nil"/>
              <w:bottom w:val="nil"/>
              <w:right w:val="single" w:sz="4" w:space="0" w:color="auto"/>
            </w:tcBorders>
            <w:noWrap/>
            <w:vAlign w:val="bottom"/>
            <w:hideMark/>
          </w:tcPr>
          <w:p w14:paraId="25302211"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PASOK</w:t>
            </w:r>
          </w:p>
        </w:tc>
        <w:tc>
          <w:tcPr>
            <w:tcW w:w="924" w:type="dxa"/>
            <w:tcBorders>
              <w:top w:val="nil"/>
              <w:left w:val="single" w:sz="4" w:space="0" w:color="auto"/>
              <w:bottom w:val="nil"/>
              <w:right w:val="nil"/>
            </w:tcBorders>
            <w:noWrap/>
            <w:vAlign w:val="bottom"/>
            <w:hideMark/>
          </w:tcPr>
          <w:p w14:paraId="42979C59"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4D55E8A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0.051</w:t>
            </w:r>
          </w:p>
        </w:tc>
        <w:tc>
          <w:tcPr>
            <w:tcW w:w="1338" w:type="dxa"/>
            <w:noWrap/>
            <w:vAlign w:val="bottom"/>
            <w:hideMark/>
          </w:tcPr>
          <w:p w14:paraId="73CC600E"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0.219</w:t>
            </w:r>
          </w:p>
        </w:tc>
        <w:tc>
          <w:tcPr>
            <w:tcW w:w="789" w:type="dxa"/>
            <w:noWrap/>
            <w:vAlign w:val="bottom"/>
            <w:hideMark/>
          </w:tcPr>
          <w:p w14:paraId="028DFB2A"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1BE93A53"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7B7C651C" w14:textId="77777777" w:rsidTr="00113EF8">
        <w:trPr>
          <w:trHeight w:val="300"/>
        </w:trPr>
        <w:tc>
          <w:tcPr>
            <w:tcW w:w="4122" w:type="dxa"/>
            <w:tcBorders>
              <w:top w:val="nil"/>
              <w:left w:val="nil"/>
              <w:bottom w:val="nil"/>
              <w:right w:val="single" w:sz="4" w:space="0" w:color="auto"/>
            </w:tcBorders>
            <w:noWrap/>
            <w:vAlign w:val="bottom"/>
            <w:hideMark/>
          </w:tcPr>
          <w:p w14:paraId="1026D61F"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River</w:t>
            </w:r>
          </w:p>
        </w:tc>
        <w:tc>
          <w:tcPr>
            <w:tcW w:w="924" w:type="dxa"/>
            <w:tcBorders>
              <w:top w:val="nil"/>
              <w:left w:val="single" w:sz="4" w:space="0" w:color="auto"/>
              <w:bottom w:val="nil"/>
              <w:right w:val="nil"/>
            </w:tcBorders>
            <w:noWrap/>
            <w:vAlign w:val="bottom"/>
            <w:hideMark/>
          </w:tcPr>
          <w:p w14:paraId="3CF11AA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08979B9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0.052</w:t>
            </w:r>
          </w:p>
        </w:tc>
        <w:tc>
          <w:tcPr>
            <w:tcW w:w="1338" w:type="dxa"/>
            <w:noWrap/>
            <w:vAlign w:val="bottom"/>
            <w:hideMark/>
          </w:tcPr>
          <w:p w14:paraId="3B39729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0.221</w:t>
            </w:r>
          </w:p>
        </w:tc>
        <w:tc>
          <w:tcPr>
            <w:tcW w:w="789" w:type="dxa"/>
            <w:noWrap/>
            <w:vAlign w:val="bottom"/>
            <w:hideMark/>
          </w:tcPr>
          <w:p w14:paraId="25ED9FD6"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2819A930"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0332C0F8" w14:textId="77777777" w:rsidTr="00113EF8">
        <w:trPr>
          <w:trHeight w:val="300"/>
        </w:trPr>
        <w:tc>
          <w:tcPr>
            <w:tcW w:w="4122" w:type="dxa"/>
            <w:tcBorders>
              <w:top w:val="nil"/>
              <w:left w:val="nil"/>
              <w:bottom w:val="nil"/>
              <w:right w:val="single" w:sz="4" w:space="0" w:color="auto"/>
            </w:tcBorders>
            <w:noWrap/>
            <w:vAlign w:val="bottom"/>
            <w:hideMark/>
          </w:tcPr>
          <w:p w14:paraId="6E3FD8BB"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Golden Dawn</w:t>
            </w:r>
          </w:p>
        </w:tc>
        <w:tc>
          <w:tcPr>
            <w:tcW w:w="924" w:type="dxa"/>
            <w:tcBorders>
              <w:top w:val="nil"/>
              <w:left w:val="single" w:sz="4" w:space="0" w:color="auto"/>
              <w:bottom w:val="nil"/>
              <w:right w:val="nil"/>
            </w:tcBorders>
            <w:noWrap/>
            <w:vAlign w:val="bottom"/>
            <w:hideMark/>
          </w:tcPr>
          <w:p w14:paraId="226A7DF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6A7016B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0.032</w:t>
            </w:r>
          </w:p>
        </w:tc>
        <w:tc>
          <w:tcPr>
            <w:tcW w:w="1338" w:type="dxa"/>
            <w:noWrap/>
            <w:vAlign w:val="bottom"/>
            <w:hideMark/>
          </w:tcPr>
          <w:p w14:paraId="69247971"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0.177</w:t>
            </w:r>
          </w:p>
        </w:tc>
        <w:tc>
          <w:tcPr>
            <w:tcW w:w="789" w:type="dxa"/>
            <w:noWrap/>
            <w:vAlign w:val="bottom"/>
            <w:hideMark/>
          </w:tcPr>
          <w:p w14:paraId="3753D3C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25EFFFB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1C24EE1C" w14:textId="77777777" w:rsidTr="00113EF8">
        <w:trPr>
          <w:trHeight w:val="300"/>
        </w:trPr>
        <w:tc>
          <w:tcPr>
            <w:tcW w:w="4122" w:type="dxa"/>
            <w:tcBorders>
              <w:top w:val="nil"/>
              <w:left w:val="nil"/>
              <w:bottom w:val="nil"/>
              <w:right w:val="single" w:sz="4" w:space="0" w:color="auto"/>
            </w:tcBorders>
            <w:noWrap/>
            <w:vAlign w:val="bottom"/>
            <w:hideMark/>
          </w:tcPr>
          <w:p w14:paraId="4D218C43"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Abstention</w:t>
            </w:r>
          </w:p>
        </w:tc>
        <w:tc>
          <w:tcPr>
            <w:tcW w:w="924" w:type="dxa"/>
            <w:tcBorders>
              <w:top w:val="nil"/>
              <w:left w:val="single" w:sz="4" w:space="0" w:color="auto"/>
              <w:bottom w:val="nil"/>
              <w:right w:val="nil"/>
            </w:tcBorders>
            <w:noWrap/>
            <w:vAlign w:val="bottom"/>
            <w:hideMark/>
          </w:tcPr>
          <w:p w14:paraId="1B0EB997"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1EF298C5"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0.108</w:t>
            </w:r>
          </w:p>
        </w:tc>
        <w:tc>
          <w:tcPr>
            <w:tcW w:w="1338" w:type="dxa"/>
            <w:noWrap/>
            <w:vAlign w:val="bottom"/>
            <w:hideMark/>
          </w:tcPr>
          <w:p w14:paraId="5BDB78E9"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0.311</w:t>
            </w:r>
          </w:p>
        </w:tc>
        <w:tc>
          <w:tcPr>
            <w:tcW w:w="789" w:type="dxa"/>
            <w:noWrap/>
            <w:vAlign w:val="bottom"/>
            <w:hideMark/>
          </w:tcPr>
          <w:p w14:paraId="0DBA571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40ABDC0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65899B11" w14:textId="77777777" w:rsidTr="00113EF8">
        <w:trPr>
          <w:trHeight w:val="300"/>
        </w:trPr>
        <w:tc>
          <w:tcPr>
            <w:tcW w:w="4122" w:type="dxa"/>
            <w:tcBorders>
              <w:top w:val="nil"/>
              <w:left w:val="nil"/>
              <w:bottom w:val="nil"/>
              <w:right w:val="single" w:sz="4" w:space="0" w:color="auto"/>
            </w:tcBorders>
            <w:noWrap/>
            <w:vAlign w:val="bottom"/>
            <w:hideMark/>
          </w:tcPr>
          <w:p w14:paraId="4FCF5B6C"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Preference: Stay in Euro</w:t>
            </w:r>
          </w:p>
        </w:tc>
        <w:tc>
          <w:tcPr>
            <w:tcW w:w="924" w:type="dxa"/>
            <w:tcBorders>
              <w:top w:val="nil"/>
              <w:left w:val="single" w:sz="4" w:space="0" w:color="auto"/>
              <w:bottom w:val="nil"/>
              <w:right w:val="nil"/>
            </w:tcBorders>
            <w:noWrap/>
            <w:vAlign w:val="bottom"/>
            <w:hideMark/>
          </w:tcPr>
          <w:p w14:paraId="60F3215D"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6A53D289"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0.772</w:t>
            </w:r>
          </w:p>
        </w:tc>
        <w:tc>
          <w:tcPr>
            <w:tcW w:w="1338" w:type="dxa"/>
            <w:noWrap/>
            <w:vAlign w:val="bottom"/>
            <w:hideMark/>
          </w:tcPr>
          <w:p w14:paraId="2CC0C53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0.419</w:t>
            </w:r>
          </w:p>
        </w:tc>
        <w:tc>
          <w:tcPr>
            <w:tcW w:w="789" w:type="dxa"/>
            <w:noWrap/>
            <w:vAlign w:val="bottom"/>
            <w:hideMark/>
          </w:tcPr>
          <w:p w14:paraId="7A5B651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1F42ECF8"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r w:rsidR="002D46F5" w:rsidRPr="00C32BCE" w14:paraId="33782E5D" w14:textId="77777777" w:rsidTr="00113EF8">
        <w:trPr>
          <w:trHeight w:val="316"/>
        </w:trPr>
        <w:tc>
          <w:tcPr>
            <w:tcW w:w="4122" w:type="dxa"/>
            <w:tcBorders>
              <w:top w:val="nil"/>
              <w:left w:val="nil"/>
              <w:bottom w:val="nil"/>
              <w:right w:val="single" w:sz="4" w:space="0" w:color="auto"/>
            </w:tcBorders>
            <w:noWrap/>
            <w:vAlign w:val="bottom"/>
            <w:hideMark/>
          </w:tcPr>
          <w:p w14:paraId="6B0EC51F" w14:textId="77777777" w:rsidR="002D46F5" w:rsidRPr="00C32BCE" w:rsidRDefault="002D46F5" w:rsidP="00113EF8">
            <w:pPr>
              <w:keepNext/>
              <w:keepLines/>
              <w:tabs>
                <w:tab w:val="left" w:pos="142"/>
              </w:tabs>
              <w:spacing w:before="200"/>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Preference: Leave Euro</w:t>
            </w:r>
          </w:p>
        </w:tc>
        <w:tc>
          <w:tcPr>
            <w:tcW w:w="924" w:type="dxa"/>
            <w:tcBorders>
              <w:top w:val="nil"/>
              <w:left w:val="single" w:sz="4" w:space="0" w:color="auto"/>
              <w:bottom w:val="nil"/>
              <w:right w:val="nil"/>
            </w:tcBorders>
            <w:noWrap/>
            <w:vAlign w:val="bottom"/>
            <w:hideMark/>
          </w:tcPr>
          <w:p w14:paraId="30AD3052"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989</w:t>
            </w:r>
          </w:p>
        </w:tc>
        <w:tc>
          <w:tcPr>
            <w:tcW w:w="1338" w:type="dxa"/>
            <w:noWrap/>
            <w:vAlign w:val="bottom"/>
            <w:hideMark/>
          </w:tcPr>
          <w:p w14:paraId="7F238F94"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0.113</w:t>
            </w:r>
          </w:p>
        </w:tc>
        <w:tc>
          <w:tcPr>
            <w:tcW w:w="1338" w:type="dxa"/>
            <w:noWrap/>
            <w:vAlign w:val="bottom"/>
            <w:hideMark/>
          </w:tcPr>
          <w:p w14:paraId="12482026" w14:textId="77777777" w:rsidR="002D46F5" w:rsidRPr="00C32BCE" w:rsidRDefault="002D46F5" w:rsidP="00113EF8">
            <w:pPr>
              <w:tabs>
                <w:tab w:val="left" w:pos="142"/>
              </w:tabs>
              <w:ind w:firstLine="142"/>
              <w:jc w:val="both"/>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0.317</w:t>
            </w:r>
          </w:p>
        </w:tc>
        <w:tc>
          <w:tcPr>
            <w:tcW w:w="789" w:type="dxa"/>
            <w:noWrap/>
            <w:vAlign w:val="bottom"/>
            <w:hideMark/>
          </w:tcPr>
          <w:p w14:paraId="7405FD2F"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0</w:t>
            </w:r>
          </w:p>
        </w:tc>
        <w:tc>
          <w:tcPr>
            <w:tcW w:w="989" w:type="dxa"/>
            <w:noWrap/>
            <w:vAlign w:val="bottom"/>
            <w:hideMark/>
          </w:tcPr>
          <w:p w14:paraId="24CEFACC" w14:textId="77777777" w:rsidR="002D46F5" w:rsidRPr="00C32BCE" w:rsidRDefault="002D46F5" w:rsidP="00113EF8">
            <w:pPr>
              <w:keepNext/>
              <w:keepLines/>
              <w:tabs>
                <w:tab w:val="left" w:pos="142"/>
              </w:tabs>
              <w:spacing w:before="200"/>
              <w:ind w:firstLine="142"/>
              <w:jc w:val="both"/>
              <w:outlineLvl w:val="2"/>
              <w:rPr>
                <w:rFonts w:ascii="Times New Roman" w:eastAsia="Times New Roman" w:hAnsi="Times New Roman" w:cs="Times New Roman"/>
                <w:color w:val="000000"/>
                <w:sz w:val="22"/>
                <w:szCs w:val="22"/>
                <w:lang w:val="en-US" w:eastAsia="es-ES"/>
              </w:rPr>
            </w:pPr>
            <w:r w:rsidRPr="00C32BCE">
              <w:rPr>
                <w:rFonts w:ascii="Times New Roman" w:eastAsia="Times New Roman" w:hAnsi="Times New Roman" w:cs="Times New Roman"/>
                <w:color w:val="000000"/>
                <w:sz w:val="22"/>
                <w:szCs w:val="22"/>
                <w:lang w:val="en-US" w:eastAsia="es-ES"/>
              </w:rPr>
              <w:t>1</w:t>
            </w:r>
          </w:p>
        </w:tc>
      </w:tr>
    </w:tbl>
    <w:p w14:paraId="24977FDA" w14:textId="77777777" w:rsidR="002D46F5" w:rsidRDefault="002D46F5" w:rsidP="002D46F5">
      <w:pPr>
        <w:spacing w:line="360" w:lineRule="auto"/>
        <w:jc w:val="both"/>
        <w:rPr>
          <w:rFonts w:ascii="Times New Roman" w:hAnsi="Times New Roman" w:cs="Times New Roman"/>
          <w:b/>
          <w:szCs w:val="22"/>
          <w:lang w:val="en-US"/>
        </w:rPr>
      </w:pPr>
    </w:p>
    <w:p w14:paraId="63108E68" w14:textId="77777777" w:rsidR="002D46F5" w:rsidRDefault="002D46F5" w:rsidP="002D46F5">
      <w:pPr>
        <w:spacing w:line="360" w:lineRule="auto"/>
        <w:jc w:val="both"/>
        <w:rPr>
          <w:rFonts w:ascii="Times New Roman" w:hAnsi="Times New Roman" w:cs="Times New Roman"/>
          <w:b/>
          <w:szCs w:val="22"/>
          <w:lang w:val="en-US"/>
        </w:rPr>
      </w:pPr>
    </w:p>
    <w:p w14:paraId="0D341F2D" w14:textId="77777777" w:rsidR="002D46F5" w:rsidRDefault="002D46F5" w:rsidP="002D46F5">
      <w:pPr>
        <w:spacing w:line="360" w:lineRule="auto"/>
        <w:jc w:val="both"/>
        <w:rPr>
          <w:rFonts w:ascii="Times New Roman" w:hAnsi="Times New Roman" w:cs="Times New Roman"/>
          <w:b/>
          <w:szCs w:val="22"/>
          <w:lang w:val="en-US"/>
        </w:rPr>
      </w:pPr>
    </w:p>
    <w:p w14:paraId="239CAA56" w14:textId="77777777" w:rsidR="002D46F5" w:rsidRDefault="002D46F5" w:rsidP="002D46F5">
      <w:pPr>
        <w:spacing w:line="360" w:lineRule="auto"/>
        <w:jc w:val="both"/>
        <w:rPr>
          <w:rFonts w:ascii="Times New Roman" w:hAnsi="Times New Roman" w:cs="Times New Roman"/>
          <w:b/>
          <w:szCs w:val="22"/>
          <w:lang w:val="en-US"/>
        </w:rPr>
      </w:pPr>
    </w:p>
    <w:p w14:paraId="4C3F666E" w14:textId="77777777" w:rsidR="002D46F5" w:rsidRDefault="002D46F5" w:rsidP="002D46F5">
      <w:pPr>
        <w:spacing w:line="360" w:lineRule="auto"/>
        <w:jc w:val="both"/>
        <w:rPr>
          <w:rFonts w:ascii="Times New Roman" w:hAnsi="Times New Roman" w:cs="Times New Roman"/>
          <w:b/>
          <w:szCs w:val="22"/>
          <w:lang w:val="en-US"/>
        </w:rPr>
      </w:pPr>
    </w:p>
    <w:p w14:paraId="374964DA" w14:textId="77777777" w:rsidR="002D46F5" w:rsidRDefault="002D46F5" w:rsidP="002D46F5">
      <w:pPr>
        <w:spacing w:line="360" w:lineRule="auto"/>
        <w:jc w:val="both"/>
        <w:rPr>
          <w:rFonts w:ascii="Times New Roman" w:hAnsi="Times New Roman" w:cs="Times New Roman"/>
          <w:b/>
          <w:szCs w:val="22"/>
          <w:lang w:val="en-US"/>
        </w:rPr>
      </w:pPr>
    </w:p>
    <w:p w14:paraId="15AEBF56" w14:textId="77777777" w:rsidR="002D46F5" w:rsidRDefault="002D46F5" w:rsidP="002D46F5">
      <w:pPr>
        <w:spacing w:line="360" w:lineRule="auto"/>
        <w:jc w:val="both"/>
        <w:rPr>
          <w:rFonts w:ascii="Times New Roman" w:hAnsi="Times New Roman" w:cs="Times New Roman"/>
          <w:b/>
          <w:szCs w:val="22"/>
          <w:lang w:val="en-US"/>
        </w:rPr>
      </w:pPr>
    </w:p>
    <w:p w14:paraId="6BEF0C4C" w14:textId="77777777" w:rsidR="002D46F5" w:rsidRPr="002D46F5" w:rsidRDefault="002D46F5" w:rsidP="002D46F5">
      <w:pPr>
        <w:pStyle w:val="Prrafodelista"/>
        <w:numPr>
          <w:ilvl w:val="0"/>
          <w:numId w:val="8"/>
        </w:numPr>
        <w:spacing w:line="360" w:lineRule="auto"/>
        <w:jc w:val="both"/>
        <w:rPr>
          <w:rFonts w:ascii="Times New Roman" w:hAnsi="Times New Roman" w:cs="Times New Roman"/>
          <w:b/>
          <w:szCs w:val="22"/>
          <w:lang w:val="en-US"/>
        </w:rPr>
      </w:pPr>
      <w:r w:rsidRPr="002D46F5">
        <w:rPr>
          <w:rFonts w:ascii="Times New Roman" w:hAnsi="Times New Roman" w:cs="Times New Roman"/>
          <w:b/>
          <w:szCs w:val="22"/>
          <w:lang w:val="en-US"/>
        </w:rPr>
        <w:t>Determinants of No-Vote</w:t>
      </w:r>
    </w:p>
    <w:p w14:paraId="4CB7B971" w14:textId="40A6BEC5" w:rsidR="002D46F5" w:rsidRPr="00D16900" w:rsidRDefault="002D46F5" w:rsidP="002D46F5">
      <w:pPr>
        <w:pStyle w:val="Textocomentario"/>
        <w:jc w:val="both"/>
        <w:rPr>
          <w:rFonts w:ascii="Times New Roman" w:hAnsi="Times New Roman" w:cs="Times New Roman"/>
          <w:szCs w:val="20"/>
          <w:lang w:val="en-US"/>
        </w:rPr>
      </w:pPr>
      <w:r w:rsidRPr="00D16900">
        <w:rPr>
          <w:rFonts w:ascii="Times New Roman" w:hAnsi="Times New Roman" w:cs="Times New Roman"/>
          <w:szCs w:val="22"/>
          <w:lang w:val="en-US"/>
        </w:rPr>
        <w:t>Table A</w:t>
      </w:r>
      <w:r>
        <w:rPr>
          <w:rFonts w:ascii="Times New Roman" w:hAnsi="Times New Roman" w:cs="Times New Roman"/>
          <w:szCs w:val="22"/>
          <w:lang w:val="en-US"/>
        </w:rPr>
        <w:t>2 shows the logit regression ana</w:t>
      </w:r>
      <w:r w:rsidRPr="00D16900">
        <w:rPr>
          <w:rFonts w:ascii="Times New Roman" w:hAnsi="Times New Roman" w:cs="Times New Roman"/>
          <w:szCs w:val="22"/>
          <w:lang w:val="en-US"/>
        </w:rPr>
        <w:t>l</w:t>
      </w:r>
      <w:r>
        <w:rPr>
          <w:rFonts w:ascii="Times New Roman" w:hAnsi="Times New Roman" w:cs="Times New Roman"/>
          <w:szCs w:val="22"/>
          <w:lang w:val="en-US"/>
        </w:rPr>
        <w:t>y</w:t>
      </w:r>
      <w:r w:rsidRPr="00D16900">
        <w:rPr>
          <w:rFonts w:ascii="Times New Roman" w:hAnsi="Times New Roman" w:cs="Times New Roman"/>
          <w:szCs w:val="22"/>
          <w:lang w:val="en-US"/>
        </w:rPr>
        <w:t>sis for vote intentions.</w:t>
      </w:r>
      <w:r w:rsidR="000C2F8B">
        <w:rPr>
          <w:rFonts w:ascii="Times New Roman" w:hAnsi="Times New Roman" w:cs="Times New Roman"/>
          <w:szCs w:val="22"/>
          <w:lang w:val="en-US"/>
        </w:rPr>
        <w:t xml:space="preserve"> Column 1 includes just the expectation variables.</w:t>
      </w:r>
      <w:r w:rsidRPr="00D16900">
        <w:rPr>
          <w:rFonts w:ascii="Times New Roman" w:hAnsi="Times New Roman" w:cs="Times New Roman"/>
          <w:szCs w:val="22"/>
          <w:lang w:val="en-US"/>
        </w:rPr>
        <w:t xml:space="preserve"> </w:t>
      </w:r>
      <w:r w:rsidR="000C2F8B">
        <w:rPr>
          <w:rFonts w:ascii="Times New Roman" w:hAnsi="Times New Roman" w:cs="Times New Roman"/>
          <w:szCs w:val="22"/>
          <w:lang w:val="en-US"/>
        </w:rPr>
        <w:t>Columns 2-4 add progressively the socio</w:t>
      </w:r>
      <w:r w:rsidR="00185AAA">
        <w:rPr>
          <w:rFonts w:ascii="Times New Roman" w:hAnsi="Times New Roman" w:cs="Times New Roman"/>
          <w:szCs w:val="22"/>
          <w:lang w:val="en-US"/>
        </w:rPr>
        <w:t>-</w:t>
      </w:r>
      <w:bookmarkStart w:id="0" w:name="_GoBack"/>
      <w:bookmarkEnd w:id="0"/>
      <w:r w:rsidR="000C2F8B">
        <w:rPr>
          <w:rFonts w:ascii="Times New Roman" w:hAnsi="Times New Roman" w:cs="Times New Roman"/>
          <w:szCs w:val="22"/>
          <w:lang w:val="en-US"/>
        </w:rPr>
        <w:t>demographic variables, partisan variables and euro preferences</w:t>
      </w:r>
      <w:r w:rsidR="00185AAA">
        <w:rPr>
          <w:rFonts w:ascii="Times New Roman" w:hAnsi="Times New Roman" w:cs="Times New Roman"/>
          <w:szCs w:val="22"/>
          <w:lang w:val="en-US"/>
        </w:rPr>
        <w:t xml:space="preserve"> (the full model is represented in figure 4)</w:t>
      </w:r>
      <w:r w:rsidR="000C2F8B">
        <w:rPr>
          <w:rFonts w:ascii="Times New Roman" w:hAnsi="Times New Roman" w:cs="Times New Roman"/>
          <w:szCs w:val="22"/>
          <w:lang w:val="en-US"/>
        </w:rPr>
        <w:t>. It must be noted that the magnitude and significance of the expectation variables remain very robust and stable after the inclusion of these controls, indicating that they have an independent effect</w:t>
      </w:r>
      <w:r w:rsidRPr="008F79E2">
        <w:rPr>
          <w:rFonts w:ascii="Times New Roman" w:hAnsi="Times New Roman" w:cs="Times New Roman"/>
          <w:lang w:val="en-US"/>
        </w:rPr>
        <w:t>.</w:t>
      </w:r>
      <w:r w:rsidRPr="008F79E2">
        <w:rPr>
          <w:rStyle w:val="Refdenotaalpie"/>
          <w:rFonts w:ascii="Times New Roman" w:hAnsi="Times New Roman" w:cs="Times New Roman"/>
          <w:lang w:val="en-US"/>
        </w:rPr>
        <w:footnoteReference w:id="1"/>
      </w:r>
      <w:r w:rsidR="000C2F8B">
        <w:rPr>
          <w:rFonts w:ascii="Times New Roman" w:hAnsi="Times New Roman" w:cs="Times New Roman"/>
          <w:lang w:val="en-US"/>
        </w:rPr>
        <w:t xml:space="preserve"> Finally, column 5</w:t>
      </w:r>
      <w:r>
        <w:rPr>
          <w:rFonts w:ascii="Times New Roman" w:hAnsi="Times New Roman" w:cs="Times New Roman"/>
          <w:lang w:val="en-US"/>
        </w:rPr>
        <w:t xml:space="preserve"> includes an interaction between expectation</w:t>
      </w:r>
      <w:r w:rsidR="000C2F8B">
        <w:rPr>
          <w:rFonts w:ascii="Times New Roman" w:hAnsi="Times New Roman" w:cs="Times New Roman"/>
          <w:lang w:val="en-US"/>
        </w:rPr>
        <w:t>s</w:t>
      </w:r>
      <w:r>
        <w:rPr>
          <w:rFonts w:ascii="Times New Roman" w:hAnsi="Times New Roman" w:cs="Times New Roman"/>
          <w:lang w:val="en-US"/>
        </w:rPr>
        <w:t xml:space="preserve"> and preference to sta</w:t>
      </w:r>
      <w:r w:rsidR="00185AAA">
        <w:rPr>
          <w:rFonts w:ascii="Times New Roman" w:hAnsi="Times New Roman" w:cs="Times New Roman"/>
          <w:lang w:val="en-US"/>
        </w:rPr>
        <w:t>y in the euro, on which figure 6</w:t>
      </w:r>
      <w:r>
        <w:rPr>
          <w:rFonts w:ascii="Times New Roman" w:hAnsi="Times New Roman" w:cs="Times New Roman"/>
          <w:lang w:val="en-US"/>
        </w:rPr>
        <w:t xml:space="preserve"> is based.</w:t>
      </w:r>
    </w:p>
    <w:p w14:paraId="3F520B61" w14:textId="77777777" w:rsidR="002D46F5" w:rsidRPr="00F75D70" w:rsidRDefault="002D46F5" w:rsidP="002D46F5">
      <w:pPr>
        <w:jc w:val="both"/>
        <w:rPr>
          <w:rFonts w:ascii="Times New Roman" w:hAnsi="Times New Roman" w:cs="Times New Roman"/>
          <w:b/>
          <w:sz w:val="22"/>
          <w:szCs w:val="22"/>
          <w:lang w:val="en-US"/>
        </w:rPr>
      </w:pPr>
    </w:p>
    <w:p w14:paraId="498B4E39" w14:textId="77777777" w:rsidR="002D46F5" w:rsidRPr="00F75D70" w:rsidRDefault="002D46F5" w:rsidP="002D46F5">
      <w:pPr>
        <w:spacing w:line="360" w:lineRule="auto"/>
        <w:rPr>
          <w:rFonts w:ascii="Times New Roman" w:hAnsi="Times New Roman" w:cs="Times New Roman"/>
          <w:b/>
          <w:lang w:val="en-US"/>
        </w:rPr>
      </w:pPr>
    </w:p>
    <w:p w14:paraId="0044AD37" w14:textId="77777777" w:rsidR="002D46F5" w:rsidRDefault="002D46F5" w:rsidP="002D46F5">
      <w:pPr>
        <w:rPr>
          <w:rFonts w:ascii="Times New Roman" w:hAnsi="Times New Roman" w:cs="Times New Roman"/>
          <w:b/>
          <w:sz w:val="22"/>
          <w:szCs w:val="22"/>
          <w:lang w:val="en-US"/>
        </w:rPr>
      </w:pPr>
      <w:r>
        <w:rPr>
          <w:rFonts w:ascii="Times New Roman" w:hAnsi="Times New Roman" w:cs="Times New Roman"/>
          <w:b/>
          <w:sz w:val="22"/>
          <w:szCs w:val="22"/>
          <w:lang w:val="en-US"/>
        </w:rPr>
        <w:br w:type="page"/>
      </w:r>
    </w:p>
    <w:p w14:paraId="0702C043" w14:textId="77777777" w:rsidR="002D46F5" w:rsidRPr="002847F0" w:rsidRDefault="002D46F5" w:rsidP="002D46F5">
      <w:pPr>
        <w:spacing w:line="360" w:lineRule="auto"/>
        <w:jc w:val="both"/>
        <w:rPr>
          <w:rFonts w:ascii="Times New Roman" w:hAnsi="Times New Roman" w:cs="Times New Roman"/>
          <w:b/>
          <w:sz w:val="22"/>
          <w:szCs w:val="22"/>
          <w:lang w:val="en-US"/>
        </w:rPr>
      </w:pPr>
      <w:r w:rsidRPr="002847F0">
        <w:rPr>
          <w:rFonts w:ascii="Times New Roman" w:hAnsi="Times New Roman" w:cs="Times New Roman"/>
          <w:b/>
          <w:sz w:val="22"/>
          <w:szCs w:val="22"/>
          <w:lang w:val="en-US"/>
        </w:rPr>
        <w:lastRenderedPageBreak/>
        <w:t>Table A.2: Determinants of the NO-Vote in the July 2015 Greek referendum. Logit models</w:t>
      </w:r>
    </w:p>
    <w:tbl>
      <w:tblPr>
        <w:tblW w:w="9639" w:type="dxa"/>
        <w:tblInd w:w="55" w:type="dxa"/>
        <w:tblCellMar>
          <w:left w:w="70" w:type="dxa"/>
          <w:right w:w="70" w:type="dxa"/>
        </w:tblCellMar>
        <w:tblLook w:val="04A0" w:firstRow="1" w:lastRow="0" w:firstColumn="1" w:lastColumn="0" w:noHBand="0" w:noVBand="1"/>
      </w:tblPr>
      <w:tblGrid>
        <w:gridCol w:w="3431"/>
        <w:gridCol w:w="1304"/>
        <w:gridCol w:w="1304"/>
        <w:gridCol w:w="1148"/>
        <w:gridCol w:w="1148"/>
        <w:gridCol w:w="1304"/>
      </w:tblGrid>
      <w:tr w:rsidR="002D46F5" w:rsidRPr="001A12FE" w14:paraId="4AD85E46" w14:textId="77777777" w:rsidTr="00113EF8">
        <w:trPr>
          <w:trHeight w:val="181"/>
        </w:trPr>
        <w:tc>
          <w:tcPr>
            <w:tcW w:w="3431" w:type="dxa"/>
            <w:tcBorders>
              <w:top w:val="nil"/>
              <w:left w:val="nil"/>
              <w:bottom w:val="single" w:sz="4" w:space="0" w:color="auto"/>
              <w:right w:val="nil"/>
            </w:tcBorders>
            <w:shd w:val="clear" w:color="auto" w:fill="auto"/>
            <w:noWrap/>
            <w:vAlign w:val="bottom"/>
          </w:tcPr>
          <w:p w14:paraId="0F968AA2" w14:textId="77777777" w:rsidR="002D46F5" w:rsidRPr="002847F0" w:rsidRDefault="002D46F5" w:rsidP="00113EF8">
            <w:pP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w:t>
            </w:r>
          </w:p>
        </w:tc>
        <w:tc>
          <w:tcPr>
            <w:tcW w:w="6208" w:type="dxa"/>
            <w:gridSpan w:val="5"/>
            <w:tcBorders>
              <w:top w:val="nil"/>
              <w:left w:val="single" w:sz="4" w:space="0" w:color="auto"/>
              <w:bottom w:val="single" w:sz="4" w:space="0" w:color="auto"/>
              <w:right w:val="nil"/>
            </w:tcBorders>
            <w:shd w:val="clear" w:color="auto" w:fill="auto"/>
            <w:noWrap/>
            <w:vAlign w:val="bottom"/>
          </w:tcPr>
          <w:p w14:paraId="1D51167C" w14:textId="77777777" w:rsidR="002D46F5" w:rsidRPr="002847F0" w:rsidRDefault="002D46F5" w:rsidP="00113EF8">
            <w:pPr>
              <w:jc w:val="center"/>
              <w:rPr>
                <w:rFonts w:ascii="Times New Roman" w:eastAsia="Times New Roman" w:hAnsi="Times New Roman" w:cs="Times New Roman"/>
                <w:b/>
                <w:color w:val="000000"/>
                <w:sz w:val="20"/>
                <w:szCs w:val="20"/>
                <w:lang w:val="en-US" w:eastAsia="es-ES"/>
              </w:rPr>
            </w:pPr>
            <w:r w:rsidRPr="002847F0">
              <w:rPr>
                <w:rFonts w:ascii="Times New Roman" w:eastAsia="Times New Roman" w:hAnsi="Times New Roman" w:cs="Times New Roman"/>
                <w:b/>
                <w:color w:val="000000"/>
                <w:sz w:val="20"/>
                <w:szCs w:val="20"/>
                <w:lang w:val="en-US" w:eastAsia="es-ES"/>
              </w:rPr>
              <w:t>Dependent Variable: Intention to Vote No in the Referendum</w:t>
            </w:r>
          </w:p>
        </w:tc>
      </w:tr>
      <w:tr w:rsidR="002D46F5" w:rsidRPr="00F75D70" w14:paraId="66DA7105" w14:textId="77777777" w:rsidTr="00113EF8">
        <w:trPr>
          <w:trHeight w:val="181"/>
        </w:trPr>
        <w:tc>
          <w:tcPr>
            <w:tcW w:w="3431" w:type="dxa"/>
            <w:tcBorders>
              <w:top w:val="single" w:sz="4" w:space="0" w:color="auto"/>
              <w:left w:val="nil"/>
              <w:bottom w:val="double" w:sz="6" w:space="0" w:color="auto"/>
              <w:right w:val="nil"/>
            </w:tcBorders>
            <w:shd w:val="clear" w:color="auto" w:fill="auto"/>
            <w:noWrap/>
            <w:vAlign w:val="bottom"/>
          </w:tcPr>
          <w:p w14:paraId="69A58B5A" w14:textId="77777777" w:rsidR="002D46F5" w:rsidRPr="002847F0" w:rsidRDefault="002D46F5" w:rsidP="00113EF8">
            <w:pP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w:t>
            </w:r>
          </w:p>
        </w:tc>
        <w:tc>
          <w:tcPr>
            <w:tcW w:w="1304" w:type="dxa"/>
            <w:tcBorders>
              <w:top w:val="single" w:sz="4" w:space="0" w:color="auto"/>
              <w:left w:val="single" w:sz="4" w:space="0" w:color="auto"/>
              <w:bottom w:val="double" w:sz="6" w:space="0" w:color="auto"/>
              <w:right w:val="nil"/>
            </w:tcBorders>
            <w:shd w:val="clear" w:color="auto" w:fill="auto"/>
            <w:noWrap/>
            <w:vAlign w:val="bottom"/>
          </w:tcPr>
          <w:p w14:paraId="0EDFF96E" w14:textId="77777777" w:rsidR="002D46F5" w:rsidRPr="002847F0" w:rsidRDefault="002D46F5"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(1)</w:t>
            </w:r>
          </w:p>
        </w:tc>
        <w:tc>
          <w:tcPr>
            <w:tcW w:w="1304" w:type="dxa"/>
            <w:tcBorders>
              <w:top w:val="single" w:sz="4" w:space="0" w:color="auto"/>
              <w:left w:val="nil"/>
              <w:bottom w:val="double" w:sz="6" w:space="0" w:color="auto"/>
              <w:right w:val="nil"/>
            </w:tcBorders>
            <w:shd w:val="clear" w:color="auto" w:fill="auto"/>
            <w:noWrap/>
            <w:vAlign w:val="bottom"/>
          </w:tcPr>
          <w:p w14:paraId="41709C7F" w14:textId="77777777" w:rsidR="002D46F5" w:rsidRPr="002847F0" w:rsidRDefault="002D46F5"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(2)</w:t>
            </w:r>
          </w:p>
        </w:tc>
        <w:tc>
          <w:tcPr>
            <w:tcW w:w="1148" w:type="dxa"/>
            <w:tcBorders>
              <w:top w:val="single" w:sz="4" w:space="0" w:color="auto"/>
              <w:left w:val="nil"/>
              <w:bottom w:val="double" w:sz="6" w:space="0" w:color="auto"/>
              <w:right w:val="nil"/>
            </w:tcBorders>
            <w:vAlign w:val="bottom"/>
          </w:tcPr>
          <w:p w14:paraId="18307C12" w14:textId="77777777" w:rsidR="002D46F5" w:rsidRPr="002847F0" w:rsidRDefault="002D46F5"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(3)</w:t>
            </w:r>
          </w:p>
        </w:tc>
        <w:tc>
          <w:tcPr>
            <w:tcW w:w="1148" w:type="dxa"/>
            <w:tcBorders>
              <w:top w:val="single" w:sz="4" w:space="0" w:color="auto"/>
              <w:left w:val="nil"/>
              <w:bottom w:val="double" w:sz="6" w:space="0" w:color="auto"/>
              <w:right w:val="nil"/>
            </w:tcBorders>
            <w:vAlign w:val="bottom"/>
          </w:tcPr>
          <w:p w14:paraId="17148067" w14:textId="77777777" w:rsidR="002D46F5" w:rsidRPr="002847F0" w:rsidRDefault="002D46F5"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(4)</w:t>
            </w:r>
          </w:p>
        </w:tc>
        <w:tc>
          <w:tcPr>
            <w:tcW w:w="1304" w:type="dxa"/>
            <w:tcBorders>
              <w:top w:val="single" w:sz="4" w:space="0" w:color="auto"/>
              <w:left w:val="nil"/>
              <w:bottom w:val="double" w:sz="6" w:space="0" w:color="auto"/>
              <w:right w:val="nil"/>
            </w:tcBorders>
            <w:shd w:val="clear" w:color="auto" w:fill="auto"/>
            <w:noWrap/>
            <w:vAlign w:val="bottom"/>
          </w:tcPr>
          <w:p w14:paraId="088EBC4C" w14:textId="77777777" w:rsidR="002D46F5" w:rsidRPr="002847F0" w:rsidRDefault="002D46F5"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(5)</w:t>
            </w:r>
          </w:p>
        </w:tc>
      </w:tr>
      <w:tr w:rsidR="002847F0" w:rsidRPr="00F75D70" w14:paraId="48D1BBFC" w14:textId="77777777" w:rsidTr="00113EF8">
        <w:trPr>
          <w:trHeight w:val="181"/>
        </w:trPr>
        <w:tc>
          <w:tcPr>
            <w:tcW w:w="3431" w:type="dxa"/>
            <w:tcBorders>
              <w:top w:val="nil"/>
              <w:left w:val="nil"/>
              <w:bottom w:val="nil"/>
              <w:right w:val="nil"/>
            </w:tcBorders>
            <w:shd w:val="clear" w:color="auto" w:fill="auto"/>
            <w:noWrap/>
            <w:vAlign w:val="bottom"/>
          </w:tcPr>
          <w:p w14:paraId="652EBC9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Expectation: Grexit</w:t>
            </w:r>
          </w:p>
        </w:tc>
        <w:tc>
          <w:tcPr>
            <w:tcW w:w="1304" w:type="dxa"/>
            <w:tcBorders>
              <w:top w:val="nil"/>
              <w:left w:val="single" w:sz="4" w:space="0" w:color="auto"/>
              <w:bottom w:val="nil"/>
              <w:right w:val="nil"/>
            </w:tcBorders>
            <w:shd w:val="clear" w:color="auto" w:fill="auto"/>
            <w:noWrap/>
          </w:tcPr>
          <w:p w14:paraId="4D0686CF" w14:textId="0E8D13E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-1.198***</w:t>
            </w:r>
          </w:p>
        </w:tc>
        <w:tc>
          <w:tcPr>
            <w:tcW w:w="1304" w:type="dxa"/>
            <w:tcBorders>
              <w:top w:val="nil"/>
              <w:left w:val="nil"/>
              <w:bottom w:val="nil"/>
              <w:right w:val="nil"/>
            </w:tcBorders>
            <w:shd w:val="clear" w:color="auto" w:fill="auto"/>
            <w:noWrap/>
          </w:tcPr>
          <w:p w14:paraId="0E6EA0BF" w14:textId="2287582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-1.376***</w:t>
            </w:r>
          </w:p>
        </w:tc>
        <w:tc>
          <w:tcPr>
            <w:tcW w:w="1148" w:type="dxa"/>
            <w:tcBorders>
              <w:top w:val="nil"/>
              <w:left w:val="nil"/>
              <w:bottom w:val="nil"/>
              <w:right w:val="nil"/>
            </w:tcBorders>
          </w:tcPr>
          <w:p w14:paraId="4519884B" w14:textId="6E33F33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-1.275***</w:t>
            </w:r>
          </w:p>
        </w:tc>
        <w:tc>
          <w:tcPr>
            <w:tcW w:w="1148" w:type="dxa"/>
            <w:tcBorders>
              <w:top w:val="nil"/>
              <w:left w:val="nil"/>
              <w:bottom w:val="nil"/>
              <w:right w:val="nil"/>
            </w:tcBorders>
          </w:tcPr>
          <w:p w14:paraId="7F8E74F7" w14:textId="1E2026D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-1.280***</w:t>
            </w:r>
          </w:p>
        </w:tc>
        <w:tc>
          <w:tcPr>
            <w:tcW w:w="1304" w:type="dxa"/>
            <w:tcBorders>
              <w:top w:val="nil"/>
              <w:left w:val="nil"/>
              <w:bottom w:val="nil"/>
              <w:right w:val="nil"/>
            </w:tcBorders>
            <w:shd w:val="clear" w:color="auto" w:fill="auto"/>
            <w:noWrap/>
          </w:tcPr>
          <w:p w14:paraId="172A3220" w14:textId="697EABC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-0.421</w:t>
            </w:r>
          </w:p>
        </w:tc>
      </w:tr>
      <w:tr w:rsidR="002847F0" w:rsidRPr="00F75D70" w14:paraId="20C04B2A" w14:textId="77777777" w:rsidTr="00113EF8">
        <w:trPr>
          <w:trHeight w:val="181"/>
        </w:trPr>
        <w:tc>
          <w:tcPr>
            <w:tcW w:w="3431" w:type="dxa"/>
            <w:tcBorders>
              <w:top w:val="nil"/>
              <w:left w:val="nil"/>
              <w:bottom w:val="nil"/>
              <w:right w:val="nil"/>
            </w:tcBorders>
            <w:shd w:val="clear" w:color="auto" w:fill="auto"/>
            <w:noWrap/>
            <w:vAlign w:val="bottom"/>
          </w:tcPr>
          <w:p w14:paraId="31257B8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600C0BD" w14:textId="4495AF6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(0.310)</w:t>
            </w:r>
          </w:p>
        </w:tc>
        <w:tc>
          <w:tcPr>
            <w:tcW w:w="1304" w:type="dxa"/>
            <w:tcBorders>
              <w:top w:val="nil"/>
              <w:left w:val="nil"/>
              <w:bottom w:val="nil"/>
              <w:right w:val="nil"/>
            </w:tcBorders>
            <w:shd w:val="clear" w:color="auto" w:fill="auto"/>
            <w:noWrap/>
          </w:tcPr>
          <w:p w14:paraId="65EECC34" w14:textId="114EDFC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(0.324)</w:t>
            </w:r>
          </w:p>
        </w:tc>
        <w:tc>
          <w:tcPr>
            <w:tcW w:w="1148" w:type="dxa"/>
            <w:tcBorders>
              <w:top w:val="nil"/>
              <w:left w:val="nil"/>
              <w:bottom w:val="nil"/>
              <w:right w:val="nil"/>
            </w:tcBorders>
          </w:tcPr>
          <w:p w14:paraId="151CD3EA" w14:textId="078419A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(0.366)</w:t>
            </w:r>
          </w:p>
        </w:tc>
        <w:tc>
          <w:tcPr>
            <w:tcW w:w="1148" w:type="dxa"/>
            <w:tcBorders>
              <w:top w:val="nil"/>
              <w:left w:val="nil"/>
              <w:bottom w:val="nil"/>
              <w:right w:val="nil"/>
            </w:tcBorders>
          </w:tcPr>
          <w:p w14:paraId="0DFA7680" w14:textId="1FEF70E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(0.420)</w:t>
            </w:r>
          </w:p>
        </w:tc>
        <w:tc>
          <w:tcPr>
            <w:tcW w:w="1304" w:type="dxa"/>
            <w:tcBorders>
              <w:top w:val="nil"/>
              <w:left w:val="nil"/>
              <w:bottom w:val="nil"/>
              <w:right w:val="nil"/>
            </w:tcBorders>
            <w:shd w:val="clear" w:color="auto" w:fill="auto"/>
            <w:noWrap/>
          </w:tcPr>
          <w:p w14:paraId="5CA0D2B5" w14:textId="7467199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(0.815)</w:t>
            </w:r>
          </w:p>
        </w:tc>
      </w:tr>
      <w:tr w:rsidR="002847F0" w:rsidRPr="00F75D70" w14:paraId="1FC0DA43" w14:textId="77777777" w:rsidTr="00113EF8">
        <w:trPr>
          <w:trHeight w:val="181"/>
        </w:trPr>
        <w:tc>
          <w:tcPr>
            <w:tcW w:w="3431" w:type="dxa"/>
            <w:tcBorders>
              <w:top w:val="nil"/>
              <w:left w:val="nil"/>
              <w:bottom w:val="nil"/>
              <w:right w:val="nil"/>
            </w:tcBorders>
            <w:shd w:val="clear" w:color="auto" w:fill="auto"/>
            <w:noWrap/>
            <w:vAlign w:val="bottom"/>
          </w:tcPr>
          <w:p w14:paraId="0C1042D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Expectation: More Negotiations</w:t>
            </w:r>
          </w:p>
        </w:tc>
        <w:tc>
          <w:tcPr>
            <w:tcW w:w="1304" w:type="dxa"/>
            <w:tcBorders>
              <w:top w:val="nil"/>
              <w:left w:val="single" w:sz="4" w:space="0" w:color="auto"/>
              <w:bottom w:val="nil"/>
              <w:right w:val="nil"/>
            </w:tcBorders>
            <w:shd w:val="clear" w:color="auto" w:fill="auto"/>
            <w:noWrap/>
          </w:tcPr>
          <w:p w14:paraId="66E09E2C" w14:textId="7E84466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2.186***</w:t>
            </w:r>
          </w:p>
        </w:tc>
        <w:tc>
          <w:tcPr>
            <w:tcW w:w="1304" w:type="dxa"/>
            <w:tcBorders>
              <w:top w:val="nil"/>
              <w:left w:val="nil"/>
              <w:bottom w:val="nil"/>
              <w:right w:val="nil"/>
            </w:tcBorders>
            <w:shd w:val="clear" w:color="auto" w:fill="auto"/>
            <w:noWrap/>
          </w:tcPr>
          <w:p w14:paraId="5220F20C" w14:textId="6924D8E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2.125***</w:t>
            </w:r>
          </w:p>
        </w:tc>
        <w:tc>
          <w:tcPr>
            <w:tcW w:w="1148" w:type="dxa"/>
            <w:tcBorders>
              <w:top w:val="nil"/>
              <w:left w:val="nil"/>
              <w:bottom w:val="nil"/>
              <w:right w:val="nil"/>
            </w:tcBorders>
          </w:tcPr>
          <w:p w14:paraId="54F29E0F" w14:textId="00669FA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2.042***</w:t>
            </w:r>
          </w:p>
        </w:tc>
        <w:tc>
          <w:tcPr>
            <w:tcW w:w="1148" w:type="dxa"/>
            <w:tcBorders>
              <w:top w:val="nil"/>
              <w:left w:val="nil"/>
              <w:bottom w:val="nil"/>
              <w:right w:val="nil"/>
            </w:tcBorders>
          </w:tcPr>
          <w:p w14:paraId="7AA68E45" w14:textId="328D0A1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2.240***</w:t>
            </w:r>
          </w:p>
        </w:tc>
        <w:tc>
          <w:tcPr>
            <w:tcW w:w="1304" w:type="dxa"/>
            <w:tcBorders>
              <w:top w:val="nil"/>
              <w:left w:val="nil"/>
              <w:bottom w:val="nil"/>
              <w:right w:val="nil"/>
            </w:tcBorders>
            <w:shd w:val="clear" w:color="auto" w:fill="auto"/>
            <w:noWrap/>
          </w:tcPr>
          <w:p w14:paraId="62ACF1B0" w14:textId="493506E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1.445**</w:t>
            </w:r>
          </w:p>
        </w:tc>
      </w:tr>
      <w:tr w:rsidR="002847F0" w:rsidRPr="00F75D70" w14:paraId="708384CF" w14:textId="77777777" w:rsidTr="00113EF8">
        <w:trPr>
          <w:trHeight w:val="181"/>
        </w:trPr>
        <w:tc>
          <w:tcPr>
            <w:tcW w:w="3431" w:type="dxa"/>
            <w:tcBorders>
              <w:top w:val="nil"/>
              <w:left w:val="nil"/>
              <w:bottom w:val="nil"/>
              <w:right w:val="nil"/>
            </w:tcBorders>
            <w:shd w:val="clear" w:color="auto" w:fill="auto"/>
            <w:noWrap/>
            <w:vAlign w:val="bottom"/>
          </w:tcPr>
          <w:p w14:paraId="4481F05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47EE15B1" w14:textId="08A1AF5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(0.223)</w:t>
            </w:r>
          </w:p>
        </w:tc>
        <w:tc>
          <w:tcPr>
            <w:tcW w:w="1304" w:type="dxa"/>
            <w:tcBorders>
              <w:top w:val="nil"/>
              <w:left w:val="nil"/>
              <w:bottom w:val="nil"/>
              <w:right w:val="nil"/>
            </w:tcBorders>
            <w:shd w:val="clear" w:color="auto" w:fill="auto"/>
            <w:noWrap/>
          </w:tcPr>
          <w:p w14:paraId="13C30A36" w14:textId="7DD06DF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(0.245)</w:t>
            </w:r>
          </w:p>
        </w:tc>
        <w:tc>
          <w:tcPr>
            <w:tcW w:w="1148" w:type="dxa"/>
            <w:tcBorders>
              <w:top w:val="nil"/>
              <w:left w:val="nil"/>
              <w:bottom w:val="nil"/>
              <w:right w:val="nil"/>
            </w:tcBorders>
          </w:tcPr>
          <w:p w14:paraId="3C6B641A" w14:textId="4D8B9BD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(0.277)</w:t>
            </w:r>
          </w:p>
        </w:tc>
        <w:tc>
          <w:tcPr>
            <w:tcW w:w="1148" w:type="dxa"/>
            <w:tcBorders>
              <w:top w:val="nil"/>
              <w:left w:val="nil"/>
              <w:bottom w:val="nil"/>
              <w:right w:val="nil"/>
            </w:tcBorders>
          </w:tcPr>
          <w:p w14:paraId="7EEC12E8" w14:textId="31DD280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(0.301)</w:t>
            </w:r>
          </w:p>
        </w:tc>
        <w:tc>
          <w:tcPr>
            <w:tcW w:w="1304" w:type="dxa"/>
            <w:tcBorders>
              <w:top w:val="nil"/>
              <w:left w:val="nil"/>
              <w:bottom w:val="nil"/>
              <w:right w:val="nil"/>
            </w:tcBorders>
            <w:shd w:val="clear" w:color="auto" w:fill="auto"/>
            <w:noWrap/>
          </w:tcPr>
          <w:p w14:paraId="419E49D7" w14:textId="1AE1564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(0.591)</w:t>
            </w:r>
          </w:p>
        </w:tc>
      </w:tr>
      <w:tr w:rsidR="002847F0" w:rsidRPr="001A12FE" w14:paraId="17642A7E" w14:textId="77777777" w:rsidTr="007A6C99">
        <w:trPr>
          <w:trHeight w:val="181"/>
        </w:trPr>
        <w:tc>
          <w:tcPr>
            <w:tcW w:w="3431" w:type="dxa"/>
            <w:tcBorders>
              <w:top w:val="nil"/>
              <w:left w:val="nil"/>
              <w:bottom w:val="nil"/>
              <w:right w:val="nil"/>
            </w:tcBorders>
            <w:shd w:val="clear" w:color="auto" w:fill="auto"/>
            <w:noWrap/>
            <w:vAlign w:val="bottom"/>
          </w:tcPr>
          <w:p w14:paraId="1E2AB716" w14:textId="68A12A8A" w:rsidR="002847F0" w:rsidRPr="002847F0" w:rsidRDefault="002847F0" w:rsidP="007A6C99">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25-34 years</w:t>
            </w:r>
          </w:p>
        </w:tc>
        <w:tc>
          <w:tcPr>
            <w:tcW w:w="1304" w:type="dxa"/>
            <w:tcBorders>
              <w:top w:val="nil"/>
              <w:left w:val="single" w:sz="4" w:space="0" w:color="auto"/>
              <w:bottom w:val="nil"/>
              <w:right w:val="nil"/>
            </w:tcBorders>
            <w:shd w:val="clear" w:color="auto" w:fill="auto"/>
            <w:noWrap/>
          </w:tcPr>
          <w:p w14:paraId="67BE7BD1"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11A0DCF1" w14:textId="2CB28478"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-0.160</w:t>
            </w:r>
          </w:p>
        </w:tc>
        <w:tc>
          <w:tcPr>
            <w:tcW w:w="1148" w:type="dxa"/>
            <w:tcBorders>
              <w:top w:val="nil"/>
              <w:left w:val="nil"/>
              <w:bottom w:val="nil"/>
              <w:right w:val="nil"/>
            </w:tcBorders>
          </w:tcPr>
          <w:p w14:paraId="6348BF1F" w14:textId="66871046"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-0.354</w:t>
            </w:r>
          </w:p>
        </w:tc>
        <w:tc>
          <w:tcPr>
            <w:tcW w:w="1148" w:type="dxa"/>
            <w:tcBorders>
              <w:top w:val="nil"/>
              <w:left w:val="nil"/>
              <w:bottom w:val="nil"/>
              <w:right w:val="nil"/>
            </w:tcBorders>
          </w:tcPr>
          <w:p w14:paraId="78D90397" w14:textId="12347E46"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-0.0369</w:t>
            </w:r>
          </w:p>
        </w:tc>
        <w:tc>
          <w:tcPr>
            <w:tcW w:w="1304" w:type="dxa"/>
            <w:tcBorders>
              <w:top w:val="nil"/>
              <w:left w:val="nil"/>
              <w:bottom w:val="nil"/>
              <w:right w:val="nil"/>
            </w:tcBorders>
            <w:shd w:val="clear" w:color="auto" w:fill="auto"/>
            <w:noWrap/>
          </w:tcPr>
          <w:p w14:paraId="386BB74F" w14:textId="72DEE99B"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0.111</w:t>
            </w:r>
          </w:p>
        </w:tc>
      </w:tr>
      <w:tr w:rsidR="002847F0" w:rsidRPr="001A12FE" w14:paraId="795CB82B" w14:textId="77777777" w:rsidTr="007A6C99">
        <w:trPr>
          <w:trHeight w:val="181"/>
        </w:trPr>
        <w:tc>
          <w:tcPr>
            <w:tcW w:w="3431" w:type="dxa"/>
            <w:tcBorders>
              <w:top w:val="nil"/>
              <w:left w:val="nil"/>
              <w:bottom w:val="nil"/>
              <w:right w:val="nil"/>
            </w:tcBorders>
            <w:shd w:val="clear" w:color="auto" w:fill="auto"/>
            <w:noWrap/>
            <w:vAlign w:val="bottom"/>
          </w:tcPr>
          <w:p w14:paraId="78BEE09D"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4DBBD3C1"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9B78288" w14:textId="6E74755A"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(0.603)</w:t>
            </w:r>
          </w:p>
        </w:tc>
        <w:tc>
          <w:tcPr>
            <w:tcW w:w="1148" w:type="dxa"/>
            <w:tcBorders>
              <w:top w:val="nil"/>
              <w:left w:val="nil"/>
              <w:bottom w:val="nil"/>
              <w:right w:val="nil"/>
            </w:tcBorders>
          </w:tcPr>
          <w:p w14:paraId="50177911" w14:textId="6157AEAE"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(0.619)</w:t>
            </w:r>
          </w:p>
        </w:tc>
        <w:tc>
          <w:tcPr>
            <w:tcW w:w="1148" w:type="dxa"/>
            <w:tcBorders>
              <w:top w:val="nil"/>
              <w:left w:val="nil"/>
              <w:bottom w:val="nil"/>
              <w:right w:val="nil"/>
            </w:tcBorders>
          </w:tcPr>
          <w:p w14:paraId="2F8C5CF7" w14:textId="3B9D10A9"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(0.692)</w:t>
            </w:r>
          </w:p>
        </w:tc>
        <w:tc>
          <w:tcPr>
            <w:tcW w:w="1304" w:type="dxa"/>
            <w:tcBorders>
              <w:top w:val="nil"/>
              <w:left w:val="nil"/>
              <w:bottom w:val="nil"/>
              <w:right w:val="nil"/>
            </w:tcBorders>
            <w:shd w:val="clear" w:color="auto" w:fill="auto"/>
            <w:noWrap/>
          </w:tcPr>
          <w:p w14:paraId="36D736C3" w14:textId="5630F38E"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(0.633)</w:t>
            </w:r>
          </w:p>
        </w:tc>
      </w:tr>
      <w:tr w:rsidR="002847F0" w:rsidRPr="001A12FE" w14:paraId="079D472D" w14:textId="77777777" w:rsidTr="007A6C99">
        <w:trPr>
          <w:trHeight w:val="181"/>
        </w:trPr>
        <w:tc>
          <w:tcPr>
            <w:tcW w:w="3431" w:type="dxa"/>
            <w:tcBorders>
              <w:top w:val="nil"/>
              <w:left w:val="nil"/>
              <w:bottom w:val="nil"/>
              <w:right w:val="nil"/>
            </w:tcBorders>
            <w:shd w:val="clear" w:color="auto" w:fill="auto"/>
            <w:noWrap/>
            <w:vAlign w:val="bottom"/>
          </w:tcPr>
          <w:p w14:paraId="751247F3" w14:textId="6EBBA4A7" w:rsidR="002847F0" w:rsidRPr="002847F0" w:rsidRDefault="002847F0" w:rsidP="007A6C99">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35-44 years</w:t>
            </w:r>
          </w:p>
        </w:tc>
        <w:tc>
          <w:tcPr>
            <w:tcW w:w="1304" w:type="dxa"/>
            <w:tcBorders>
              <w:top w:val="nil"/>
              <w:left w:val="single" w:sz="4" w:space="0" w:color="auto"/>
              <w:bottom w:val="nil"/>
              <w:right w:val="nil"/>
            </w:tcBorders>
            <w:shd w:val="clear" w:color="auto" w:fill="auto"/>
            <w:noWrap/>
          </w:tcPr>
          <w:p w14:paraId="595F18B5"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043B318" w14:textId="23B4F57B"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-0.827</w:t>
            </w:r>
          </w:p>
        </w:tc>
        <w:tc>
          <w:tcPr>
            <w:tcW w:w="1148" w:type="dxa"/>
            <w:tcBorders>
              <w:top w:val="nil"/>
              <w:left w:val="nil"/>
              <w:bottom w:val="nil"/>
              <w:right w:val="nil"/>
            </w:tcBorders>
          </w:tcPr>
          <w:p w14:paraId="303A634E" w14:textId="02386400"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-0.937</w:t>
            </w:r>
          </w:p>
        </w:tc>
        <w:tc>
          <w:tcPr>
            <w:tcW w:w="1148" w:type="dxa"/>
            <w:tcBorders>
              <w:top w:val="nil"/>
              <w:left w:val="nil"/>
              <w:bottom w:val="nil"/>
              <w:right w:val="nil"/>
            </w:tcBorders>
          </w:tcPr>
          <w:p w14:paraId="4B007B08" w14:textId="4DA22268"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-0.591</w:t>
            </w:r>
          </w:p>
        </w:tc>
        <w:tc>
          <w:tcPr>
            <w:tcW w:w="1304" w:type="dxa"/>
            <w:tcBorders>
              <w:top w:val="nil"/>
              <w:left w:val="nil"/>
              <w:bottom w:val="nil"/>
              <w:right w:val="nil"/>
            </w:tcBorders>
            <w:shd w:val="clear" w:color="auto" w:fill="auto"/>
            <w:noWrap/>
          </w:tcPr>
          <w:p w14:paraId="6C7CB79F" w14:textId="34E06D56"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-0.506</w:t>
            </w:r>
          </w:p>
        </w:tc>
      </w:tr>
      <w:tr w:rsidR="002847F0" w:rsidRPr="001A12FE" w14:paraId="0C6F40C5" w14:textId="77777777" w:rsidTr="007A6C99">
        <w:trPr>
          <w:trHeight w:val="181"/>
        </w:trPr>
        <w:tc>
          <w:tcPr>
            <w:tcW w:w="3431" w:type="dxa"/>
            <w:tcBorders>
              <w:top w:val="nil"/>
              <w:left w:val="nil"/>
              <w:bottom w:val="nil"/>
              <w:right w:val="nil"/>
            </w:tcBorders>
            <w:shd w:val="clear" w:color="auto" w:fill="auto"/>
            <w:noWrap/>
            <w:vAlign w:val="bottom"/>
          </w:tcPr>
          <w:p w14:paraId="37C038EE"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454C30C"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2CB933B" w14:textId="4C1AE154"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(0.582)</w:t>
            </w:r>
          </w:p>
        </w:tc>
        <w:tc>
          <w:tcPr>
            <w:tcW w:w="1148" w:type="dxa"/>
            <w:tcBorders>
              <w:top w:val="nil"/>
              <w:left w:val="nil"/>
              <w:bottom w:val="nil"/>
              <w:right w:val="nil"/>
            </w:tcBorders>
          </w:tcPr>
          <w:p w14:paraId="76DBF92D" w14:textId="32102F27"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(0.598)</w:t>
            </w:r>
          </w:p>
        </w:tc>
        <w:tc>
          <w:tcPr>
            <w:tcW w:w="1148" w:type="dxa"/>
            <w:tcBorders>
              <w:top w:val="nil"/>
              <w:left w:val="nil"/>
              <w:bottom w:val="nil"/>
              <w:right w:val="nil"/>
            </w:tcBorders>
          </w:tcPr>
          <w:p w14:paraId="6FF31CC5" w14:textId="0AA5C427"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(0.685)</w:t>
            </w:r>
          </w:p>
        </w:tc>
        <w:tc>
          <w:tcPr>
            <w:tcW w:w="1304" w:type="dxa"/>
            <w:tcBorders>
              <w:top w:val="nil"/>
              <w:left w:val="nil"/>
              <w:bottom w:val="nil"/>
              <w:right w:val="nil"/>
            </w:tcBorders>
            <w:shd w:val="clear" w:color="auto" w:fill="auto"/>
            <w:noWrap/>
          </w:tcPr>
          <w:p w14:paraId="5CA3A148" w14:textId="2950E648"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(0.616)</w:t>
            </w:r>
          </w:p>
        </w:tc>
      </w:tr>
      <w:tr w:rsidR="002847F0" w:rsidRPr="001A12FE" w14:paraId="562852E3" w14:textId="77777777" w:rsidTr="007A6C99">
        <w:trPr>
          <w:trHeight w:val="181"/>
        </w:trPr>
        <w:tc>
          <w:tcPr>
            <w:tcW w:w="3431" w:type="dxa"/>
            <w:tcBorders>
              <w:top w:val="nil"/>
              <w:left w:val="nil"/>
              <w:bottom w:val="nil"/>
              <w:right w:val="nil"/>
            </w:tcBorders>
            <w:shd w:val="clear" w:color="auto" w:fill="auto"/>
            <w:noWrap/>
            <w:vAlign w:val="bottom"/>
          </w:tcPr>
          <w:p w14:paraId="2314717A" w14:textId="70FCBDC2" w:rsidR="002847F0" w:rsidRPr="002847F0" w:rsidRDefault="002847F0" w:rsidP="007A6C99">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45-54 years</w:t>
            </w:r>
          </w:p>
        </w:tc>
        <w:tc>
          <w:tcPr>
            <w:tcW w:w="1304" w:type="dxa"/>
            <w:tcBorders>
              <w:top w:val="nil"/>
              <w:left w:val="single" w:sz="4" w:space="0" w:color="auto"/>
              <w:bottom w:val="nil"/>
              <w:right w:val="nil"/>
            </w:tcBorders>
            <w:shd w:val="clear" w:color="auto" w:fill="auto"/>
            <w:noWrap/>
          </w:tcPr>
          <w:p w14:paraId="625219BA"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2B1EE8F" w14:textId="37458CB8"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-1.271**</w:t>
            </w:r>
          </w:p>
        </w:tc>
        <w:tc>
          <w:tcPr>
            <w:tcW w:w="1148" w:type="dxa"/>
            <w:tcBorders>
              <w:top w:val="nil"/>
              <w:left w:val="nil"/>
              <w:bottom w:val="nil"/>
              <w:right w:val="nil"/>
            </w:tcBorders>
          </w:tcPr>
          <w:p w14:paraId="7F198C55" w14:textId="2790B8E2"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-1.565***</w:t>
            </w:r>
          </w:p>
        </w:tc>
        <w:tc>
          <w:tcPr>
            <w:tcW w:w="1148" w:type="dxa"/>
            <w:tcBorders>
              <w:top w:val="nil"/>
              <w:left w:val="nil"/>
              <w:bottom w:val="nil"/>
              <w:right w:val="nil"/>
            </w:tcBorders>
          </w:tcPr>
          <w:p w14:paraId="1229956A" w14:textId="16794B05"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-1.265*</w:t>
            </w:r>
          </w:p>
        </w:tc>
        <w:tc>
          <w:tcPr>
            <w:tcW w:w="1304" w:type="dxa"/>
            <w:tcBorders>
              <w:top w:val="nil"/>
              <w:left w:val="nil"/>
              <w:bottom w:val="nil"/>
              <w:right w:val="nil"/>
            </w:tcBorders>
            <w:shd w:val="clear" w:color="auto" w:fill="auto"/>
            <w:noWrap/>
          </w:tcPr>
          <w:p w14:paraId="6055C9B7" w14:textId="1548B1AE"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-1.074*</w:t>
            </w:r>
          </w:p>
        </w:tc>
      </w:tr>
      <w:tr w:rsidR="002847F0" w:rsidRPr="001A12FE" w14:paraId="42ABE25E" w14:textId="77777777" w:rsidTr="007A6C99">
        <w:trPr>
          <w:trHeight w:val="181"/>
        </w:trPr>
        <w:tc>
          <w:tcPr>
            <w:tcW w:w="3431" w:type="dxa"/>
            <w:tcBorders>
              <w:top w:val="nil"/>
              <w:left w:val="nil"/>
              <w:bottom w:val="nil"/>
              <w:right w:val="nil"/>
            </w:tcBorders>
            <w:shd w:val="clear" w:color="auto" w:fill="auto"/>
            <w:noWrap/>
            <w:vAlign w:val="bottom"/>
          </w:tcPr>
          <w:p w14:paraId="6400AD66"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9090138"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98068AF" w14:textId="2938DA6C"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(0.570)</w:t>
            </w:r>
          </w:p>
        </w:tc>
        <w:tc>
          <w:tcPr>
            <w:tcW w:w="1148" w:type="dxa"/>
            <w:tcBorders>
              <w:top w:val="nil"/>
              <w:left w:val="nil"/>
              <w:bottom w:val="nil"/>
              <w:right w:val="nil"/>
            </w:tcBorders>
          </w:tcPr>
          <w:p w14:paraId="0E3CC2EA" w14:textId="3D9BBB33"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(0.586)</w:t>
            </w:r>
          </w:p>
        </w:tc>
        <w:tc>
          <w:tcPr>
            <w:tcW w:w="1148" w:type="dxa"/>
            <w:tcBorders>
              <w:top w:val="nil"/>
              <w:left w:val="nil"/>
              <w:bottom w:val="nil"/>
              <w:right w:val="nil"/>
            </w:tcBorders>
          </w:tcPr>
          <w:p w14:paraId="4C0E4D78" w14:textId="591CC640"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(0.682)</w:t>
            </w:r>
          </w:p>
        </w:tc>
        <w:tc>
          <w:tcPr>
            <w:tcW w:w="1304" w:type="dxa"/>
            <w:tcBorders>
              <w:top w:val="nil"/>
              <w:left w:val="nil"/>
              <w:bottom w:val="nil"/>
              <w:right w:val="nil"/>
            </w:tcBorders>
            <w:shd w:val="clear" w:color="auto" w:fill="auto"/>
            <w:noWrap/>
          </w:tcPr>
          <w:p w14:paraId="5BBED2DA" w14:textId="39A2A5EC"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(0.605)</w:t>
            </w:r>
          </w:p>
        </w:tc>
      </w:tr>
      <w:tr w:rsidR="002847F0" w:rsidRPr="001A12FE" w14:paraId="7238364D" w14:textId="77777777" w:rsidTr="007A6C99">
        <w:trPr>
          <w:trHeight w:val="181"/>
        </w:trPr>
        <w:tc>
          <w:tcPr>
            <w:tcW w:w="3431" w:type="dxa"/>
            <w:tcBorders>
              <w:top w:val="nil"/>
              <w:left w:val="nil"/>
              <w:bottom w:val="nil"/>
              <w:right w:val="nil"/>
            </w:tcBorders>
            <w:shd w:val="clear" w:color="auto" w:fill="auto"/>
            <w:noWrap/>
            <w:vAlign w:val="bottom"/>
          </w:tcPr>
          <w:p w14:paraId="5717FC93" w14:textId="06F58C7B" w:rsidR="002847F0" w:rsidRPr="002847F0" w:rsidRDefault="002847F0" w:rsidP="007A6C99">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55-64 years</w:t>
            </w:r>
          </w:p>
        </w:tc>
        <w:tc>
          <w:tcPr>
            <w:tcW w:w="1304" w:type="dxa"/>
            <w:tcBorders>
              <w:top w:val="nil"/>
              <w:left w:val="single" w:sz="4" w:space="0" w:color="auto"/>
              <w:bottom w:val="nil"/>
              <w:right w:val="nil"/>
            </w:tcBorders>
            <w:shd w:val="clear" w:color="auto" w:fill="auto"/>
            <w:noWrap/>
          </w:tcPr>
          <w:p w14:paraId="4E4177BB"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409B2317" w14:textId="106442F6"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-0.840</w:t>
            </w:r>
          </w:p>
        </w:tc>
        <w:tc>
          <w:tcPr>
            <w:tcW w:w="1148" w:type="dxa"/>
            <w:tcBorders>
              <w:top w:val="nil"/>
              <w:left w:val="nil"/>
              <w:bottom w:val="nil"/>
              <w:right w:val="nil"/>
            </w:tcBorders>
          </w:tcPr>
          <w:p w14:paraId="1A9E0140" w14:textId="79C3C958"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-1.130*</w:t>
            </w:r>
          </w:p>
        </w:tc>
        <w:tc>
          <w:tcPr>
            <w:tcW w:w="1148" w:type="dxa"/>
            <w:tcBorders>
              <w:top w:val="nil"/>
              <w:left w:val="nil"/>
              <w:bottom w:val="nil"/>
              <w:right w:val="nil"/>
            </w:tcBorders>
          </w:tcPr>
          <w:p w14:paraId="3AA2AA33" w14:textId="7208BF6C"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-0.712</w:t>
            </w:r>
          </w:p>
        </w:tc>
        <w:tc>
          <w:tcPr>
            <w:tcW w:w="1304" w:type="dxa"/>
            <w:tcBorders>
              <w:top w:val="nil"/>
              <w:left w:val="nil"/>
              <w:bottom w:val="nil"/>
              <w:right w:val="nil"/>
            </w:tcBorders>
            <w:shd w:val="clear" w:color="auto" w:fill="auto"/>
            <w:noWrap/>
          </w:tcPr>
          <w:p w14:paraId="0D6837FA" w14:textId="44E0EF0F"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-0.598</w:t>
            </w:r>
          </w:p>
        </w:tc>
      </w:tr>
      <w:tr w:rsidR="002847F0" w:rsidRPr="001A12FE" w14:paraId="3BFB2076" w14:textId="77777777" w:rsidTr="007A6C99">
        <w:trPr>
          <w:trHeight w:val="181"/>
        </w:trPr>
        <w:tc>
          <w:tcPr>
            <w:tcW w:w="3431" w:type="dxa"/>
            <w:tcBorders>
              <w:top w:val="nil"/>
              <w:left w:val="nil"/>
              <w:bottom w:val="nil"/>
              <w:right w:val="nil"/>
            </w:tcBorders>
            <w:shd w:val="clear" w:color="auto" w:fill="auto"/>
            <w:noWrap/>
            <w:vAlign w:val="bottom"/>
          </w:tcPr>
          <w:p w14:paraId="718828EC"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F96D6CE" w14:textId="77777777" w:rsidR="002847F0" w:rsidRPr="002847F0" w:rsidRDefault="002847F0" w:rsidP="007A6C99">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8BB540F" w14:textId="219558DC"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(0.568)</w:t>
            </w:r>
          </w:p>
        </w:tc>
        <w:tc>
          <w:tcPr>
            <w:tcW w:w="1148" w:type="dxa"/>
            <w:tcBorders>
              <w:top w:val="nil"/>
              <w:left w:val="nil"/>
              <w:bottom w:val="nil"/>
              <w:right w:val="nil"/>
            </w:tcBorders>
          </w:tcPr>
          <w:p w14:paraId="35949845" w14:textId="0F377937"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(0.596)</w:t>
            </w:r>
          </w:p>
        </w:tc>
        <w:tc>
          <w:tcPr>
            <w:tcW w:w="1148" w:type="dxa"/>
            <w:tcBorders>
              <w:top w:val="nil"/>
              <w:left w:val="nil"/>
              <w:bottom w:val="nil"/>
              <w:right w:val="nil"/>
            </w:tcBorders>
          </w:tcPr>
          <w:p w14:paraId="20A25A39" w14:textId="3BA7E513"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(0.685)</w:t>
            </w:r>
          </w:p>
        </w:tc>
        <w:tc>
          <w:tcPr>
            <w:tcW w:w="1304" w:type="dxa"/>
            <w:tcBorders>
              <w:top w:val="nil"/>
              <w:left w:val="nil"/>
              <w:bottom w:val="nil"/>
              <w:right w:val="nil"/>
            </w:tcBorders>
            <w:shd w:val="clear" w:color="auto" w:fill="auto"/>
            <w:noWrap/>
          </w:tcPr>
          <w:p w14:paraId="0F6BF74E" w14:textId="66C8A8C0" w:rsidR="002847F0" w:rsidRPr="002847F0" w:rsidRDefault="002847F0" w:rsidP="007A6C99">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(0.621)</w:t>
            </w:r>
          </w:p>
        </w:tc>
      </w:tr>
      <w:tr w:rsidR="002847F0" w:rsidRPr="00F75D70" w14:paraId="60AD6EFB" w14:textId="77777777" w:rsidTr="00113EF8">
        <w:trPr>
          <w:trHeight w:val="181"/>
        </w:trPr>
        <w:tc>
          <w:tcPr>
            <w:tcW w:w="3431" w:type="dxa"/>
            <w:tcBorders>
              <w:top w:val="nil"/>
              <w:left w:val="nil"/>
              <w:bottom w:val="nil"/>
              <w:right w:val="nil"/>
            </w:tcBorders>
            <w:shd w:val="clear" w:color="auto" w:fill="auto"/>
            <w:noWrap/>
            <w:vAlign w:val="bottom"/>
          </w:tcPr>
          <w:p w14:paraId="008AF2E3" w14:textId="45987375"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+65 years</w:t>
            </w:r>
          </w:p>
        </w:tc>
        <w:tc>
          <w:tcPr>
            <w:tcW w:w="1304" w:type="dxa"/>
            <w:tcBorders>
              <w:top w:val="nil"/>
              <w:left w:val="single" w:sz="4" w:space="0" w:color="auto"/>
              <w:bottom w:val="nil"/>
              <w:right w:val="nil"/>
            </w:tcBorders>
            <w:shd w:val="clear" w:color="auto" w:fill="auto"/>
            <w:noWrap/>
          </w:tcPr>
          <w:p w14:paraId="6D94A15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9FE6D41" w14:textId="58E8811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-1.806***</w:t>
            </w:r>
          </w:p>
        </w:tc>
        <w:tc>
          <w:tcPr>
            <w:tcW w:w="1148" w:type="dxa"/>
            <w:tcBorders>
              <w:top w:val="nil"/>
              <w:left w:val="nil"/>
              <w:bottom w:val="nil"/>
              <w:right w:val="nil"/>
            </w:tcBorders>
          </w:tcPr>
          <w:p w14:paraId="30B25C83" w14:textId="7B1E662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-1.743***</w:t>
            </w:r>
          </w:p>
        </w:tc>
        <w:tc>
          <w:tcPr>
            <w:tcW w:w="1148" w:type="dxa"/>
            <w:tcBorders>
              <w:top w:val="nil"/>
              <w:left w:val="nil"/>
              <w:bottom w:val="nil"/>
              <w:right w:val="nil"/>
            </w:tcBorders>
          </w:tcPr>
          <w:p w14:paraId="4593D7D8" w14:textId="75B37F4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-1.267*</w:t>
            </w:r>
          </w:p>
        </w:tc>
        <w:tc>
          <w:tcPr>
            <w:tcW w:w="1304" w:type="dxa"/>
            <w:tcBorders>
              <w:top w:val="nil"/>
              <w:left w:val="nil"/>
              <w:bottom w:val="nil"/>
              <w:right w:val="nil"/>
            </w:tcBorders>
            <w:shd w:val="clear" w:color="auto" w:fill="auto"/>
            <w:noWrap/>
          </w:tcPr>
          <w:p w14:paraId="53CC5388" w14:textId="30CA8AE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-1.173*</w:t>
            </w:r>
          </w:p>
        </w:tc>
      </w:tr>
      <w:tr w:rsidR="002847F0" w:rsidRPr="00F75D70" w14:paraId="1D755662" w14:textId="77777777" w:rsidTr="00113EF8">
        <w:trPr>
          <w:trHeight w:val="181"/>
        </w:trPr>
        <w:tc>
          <w:tcPr>
            <w:tcW w:w="3431" w:type="dxa"/>
            <w:tcBorders>
              <w:top w:val="nil"/>
              <w:left w:val="nil"/>
              <w:bottom w:val="nil"/>
              <w:right w:val="nil"/>
            </w:tcBorders>
            <w:shd w:val="clear" w:color="auto" w:fill="auto"/>
            <w:noWrap/>
            <w:vAlign w:val="bottom"/>
          </w:tcPr>
          <w:p w14:paraId="7887869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24284C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4CEBA160" w14:textId="67C64C2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(0.590)</w:t>
            </w:r>
          </w:p>
        </w:tc>
        <w:tc>
          <w:tcPr>
            <w:tcW w:w="1148" w:type="dxa"/>
            <w:tcBorders>
              <w:top w:val="nil"/>
              <w:left w:val="nil"/>
              <w:bottom w:val="nil"/>
              <w:right w:val="nil"/>
            </w:tcBorders>
          </w:tcPr>
          <w:p w14:paraId="069AC1BD" w14:textId="486E1E4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(0.620)</w:t>
            </w:r>
          </w:p>
        </w:tc>
        <w:tc>
          <w:tcPr>
            <w:tcW w:w="1148" w:type="dxa"/>
            <w:tcBorders>
              <w:top w:val="nil"/>
              <w:left w:val="nil"/>
              <w:bottom w:val="nil"/>
              <w:right w:val="nil"/>
            </w:tcBorders>
          </w:tcPr>
          <w:p w14:paraId="7A071C50" w14:textId="1D24CFF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(0.699)</w:t>
            </w:r>
          </w:p>
        </w:tc>
        <w:tc>
          <w:tcPr>
            <w:tcW w:w="1304" w:type="dxa"/>
            <w:tcBorders>
              <w:top w:val="nil"/>
              <w:left w:val="nil"/>
              <w:bottom w:val="nil"/>
              <w:right w:val="nil"/>
            </w:tcBorders>
            <w:shd w:val="clear" w:color="auto" w:fill="auto"/>
            <w:noWrap/>
          </w:tcPr>
          <w:p w14:paraId="7DD63327" w14:textId="4270F72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(0.627)</w:t>
            </w:r>
          </w:p>
        </w:tc>
      </w:tr>
      <w:tr w:rsidR="002847F0" w:rsidRPr="00F75D70" w14:paraId="328752C9" w14:textId="77777777" w:rsidTr="00113EF8">
        <w:trPr>
          <w:trHeight w:val="181"/>
        </w:trPr>
        <w:tc>
          <w:tcPr>
            <w:tcW w:w="3431" w:type="dxa"/>
            <w:tcBorders>
              <w:top w:val="nil"/>
              <w:left w:val="nil"/>
              <w:bottom w:val="nil"/>
              <w:right w:val="nil"/>
            </w:tcBorders>
            <w:shd w:val="clear" w:color="auto" w:fill="auto"/>
            <w:noWrap/>
            <w:vAlign w:val="bottom"/>
          </w:tcPr>
          <w:p w14:paraId="397FA0C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Unemployed </w:t>
            </w:r>
          </w:p>
        </w:tc>
        <w:tc>
          <w:tcPr>
            <w:tcW w:w="1304" w:type="dxa"/>
            <w:tcBorders>
              <w:top w:val="nil"/>
              <w:left w:val="single" w:sz="4" w:space="0" w:color="auto"/>
              <w:bottom w:val="nil"/>
              <w:right w:val="nil"/>
            </w:tcBorders>
            <w:shd w:val="clear" w:color="auto" w:fill="auto"/>
            <w:noWrap/>
          </w:tcPr>
          <w:p w14:paraId="7047CE74"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DC82205" w14:textId="2A66567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0.228</w:t>
            </w:r>
          </w:p>
        </w:tc>
        <w:tc>
          <w:tcPr>
            <w:tcW w:w="1148" w:type="dxa"/>
            <w:tcBorders>
              <w:top w:val="nil"/>
              <w:left w:val="nil"/>
              <w:bottom w:val="nil"/>
              <w:right w:val="nil"/>
            </w:tcBorders>
          </w:tcPr>
          <w:p w14:paraId="51CDC041" w14:textId="21D0E8A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0.0163</w:t>
            </w:r>
          </w:p>
        </w:tc>
        <w:tc>
          <w:tcPr>
            <w:tcW w:w="1148" w:type="dxa"/>
            <w:tcBorders>
              <w:top w:val="nil"/>
              <w:left w:val="nil"/>
              <w:bottom w:val="nil"/>
              <w:right w:val="nil"/>
            </w:tcBorders>
          </w:tcPr>
          <w:p w14:paraId="5D555E6B" w14:textId="4B4D314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-0.106</w:t>
            </w:r>
          </w:p>
        </w:tc>
        <w:tc>
          <w:tcPr>
            <w:tcW w:w="1304" w:type="dxa"/>
            <w:tcBorders>
              <w:top w:val="nil"/>
              <w:left w:val="nil"/>
              <w:bottom w:val="nil"/>
              <w:right w:val="nil"/>
            </w:tcBorders>
            <w:shd w:val="clear" w:color="auto" w:fill="auto"/>
            <w:noWrap/>
          </w:tcPr>
          <w:p w14:paraId="2F1422C9" w14:textId="1C88091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-0.212</w:t>
            </w:r>
          </w:p>
        </w:tc>
      </w:tr>
      <w:tr w:rsidR="002847F0" w:rsidRPr="00F75D70" w14:paraId="208C3088" w14:textId="77777777" w:rsidTr="00113EF8">
        <w:trPr>
          <w:trHeight w:val="181"/>
        </w:trPr>
        <w:tc>
          <w:tcPr>
            <w:tcW w:w="3431" w:type="dxa"/>
            <w:tcBorders>
              <w:top w:val="nil"/>
              <w:left w:val="nil"/>
              <w:bottom w:val="nil"/>
              <w:right w:val="nil"/>
            </w:tcBorders>
            <w:shd w:val="clear" w:color="auto" w:fill="auto"/>
            <w:noWrap/>
            <w:vAlign w:val="bottom"/>
          </w:tcPr>
          <w:p w14:paraId="0C7FB3BA"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1A1E9DB8"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39569B2" w14:textId="424C6C0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(0.387)</w:t>
            </w:r>
          </w:p>
        </w:tc>
        <w:tc>
          <w:tcPr>
            <w:tcW w:w="1148" w:type="dxa"/>
            <w:tcBorders>
              <w:top w:val="nil"/>
              <w:left w:val="nil"/>
              <w:bottom w:val="nil"/>
              <w:right w:val="nil"/>
            </w:tcBorders>
          </w:tcPr>
          <w:p w14:paraId="3604A0F0" w14:textId="710D9D8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(0.426)</w:t>
            </w:r>
          </w:p>
        </w:tc>
        <w:tc>
          <w:tcPr>
            <w:tcW w:w="1148" w:type="dxa"/>
            <w:tcBorders>
              <w:top w:val="nil"/>
              <w:left w:val="nil"/>
              <w:bottom w:val="nil"/>
              <w:right w:val="nil"/>
            </w:tcBorders>
          </w:tcPr>
          <w:p w14:paraId="6A9EF7C5" w14:textId="7930BE4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(0.432)</w:t>
            </w:r>
          </w:p>
        </w:tc>
        <w:tc>
          <w:tcPr>
            <w:tcW w:w="1304" w:type="dxa"/>
            <w:tcBorders>
              <w:top w:val="nil"/>
              <w:left w:val="nil"/>
              <w:bottom w:val="nil"/>
              <w:right w:val="nil"/>
            </w:tcBorders>
            <w:shd w:val="clear" w:color="auto" w:fill="auto"/>
            <w:noWrap/>
          </w:tcPr>
          <w:p w14:paraId="6F941F93" w14:textId="6F0FE0C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(0.434)</w:t>
            </w:r>
          </w:p>
        </w:tc>
      </w:tr>
      <w:tr w:rsidR="002847F0" w:rsidRPr="00F75D70" w14:paraId="62BDD009" w14:textId="77777777" w:rsidTr="00113EF8">
        <w:trPr>
          <w:trHeight w:val="181"/>
        </w:trPr>
        <w:tc>
          <w:tcPr>
            <w:tcW w:w="3431" w:type="dxa"/>
            <w:tcBorders>
              <w:top w:val="nil"/>
              <w:left w:val="nil"/>
              <w:bottom w:val="nil"/>
              <w:right w:val="nil"/>
            </w:tcBorders>
            <w:shd w:val="clear" w:color="auto" w:fill="auto"/>
            <w:noWrap/>
            <w:vAlign w:val="bottom"/>
          </w:tcPr>
          <w:p w14:paraId="3D2E9B1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Public Sector Employee </w:t>
            </w:r>
          </w:p>
        </w:tc>
        <w:tc>
          <w:tcPr>
            <w:tcW w:w="1304" w:type="dxa"/>
            <w:tcBorders>
              <w:top w:val="nil"/>
              <w:left w:val="single" w:sz="4" w:space="0" w:color="auto"/>
              <w:bottom w:val="nil"/>
              <w:right w:val="nil"/>
            </w:tcBorders>
            <w:shd w:val="clear" w:color="auto" w:fill="auto"/>
            <w:noWrap/>
          </w:tcPr>
          <w:p w14:paraId="3FFF7D7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477E2BF5" w14:textId="5265C89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0.0705</w:t>
            </w:r>
          </w:p>
        </w:tc>
        <w:tc>
          <w:tcPr>
            <w:tcW w:w="1148" w:type="dxa"/>
            <w:tcBorders>
              <w:top w:val="nil"/>
              <w:left w:val="nil"/>
              <w:bottom w:val="nil"/>
              <w:right w:val="nil"/>
            </w:tcBorders>
          </w:tcPr>
          <w:p w14:paraId="4E692008" w14:textId="4A4B71B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0.0488</w:t>
            </w:r>
          </w:p>
        </w:tc>
        <w:tc>
          <w:tcPr>
            <w:tcW w:w="1148" w:type="dxa"/>
            <w:tcBorders>
              <w:top w:val="nil"/>
              <w:left w:val="nil"/>
              <w:bottom w:val="nil"/>
              <w:right w:val="nil"/>
            </w:tcBorders>
          </w:tcPr>
          <w:p w14:paraId="31FEBE6E" w14:textId="6F33F36A"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0.113</w:t>
            </w:r>
          </w:p>
        </w:tc>
        <w:tc>
          <w:tcPr>
            <w:tcW w:w="1304" w:type="dxa"/>
            <w:tcBorders>
              <w:top w:val="nil"/>
              <w:left w:val="nil"/>
              <w:bottom w:val="nil"/>
              <w:right w:val="nil"/>
            </w:tcBorders>
            <w:shd w:val="clear" w:color="auto" w:fill="auto"/>
            <w:noWrap/>
          </w:tcPr>
          <w:p w14:paraId="14DC4E8A" w14:textId="351B202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0.0884</w:t>
            </w:r>
          </w:p>
        </w:tc>
      </w:tr>
      <w:tr w:rsidR="002847F0" w:rsidRPr="00F75D70" w14:paraId="5F1F9622" w14:textId="77777777" w:rsidTr="00113EF8">
        <w:trPr>
          <w:trHeight w:val="181"/>
        </w:trPr>
        <w:tc>
          <w:tcPr>
            <w:tcW w:w="3431" w:type="dxa"/>
            <w:tcBorders>
              <w:top w:val="nil"/>
              <w:left w:val="nil"/>
              <w:bottom w:val="nil"/>
              <w:right w:val="nil"/>
            </w:tcBorders>
            <w:shd w:val="clear" w:color="auto" w:fill="auto"/>
            <w:noWrap/>
            <w:vAlign w:val="bottom"/>
          </w:tcPr>
          <w:p w14:paraId="26E2C32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466BAB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415D3BF" w14:textId="6D253AD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(0.356)</w:t>
            </w:r>
          </w:p>
        </w:tc>
        <w:tc>
          <w:tcPr>
            <w:tcW w:w="1148" w:type="dxa"/>
            <w:tcBorders>
              <w:top w:val="nil"/>
              <w:left w:val="nil"/>
              <w:bottom w:val="nil"/>
              <w:right w:val="nil"/>
            </w:tcBorders>
          </w:tcPr>
          <w:p w14:paraId="64693B59" w14:textId="4716408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(0.392)</w:t>
            </w:r>
          </w:p>
        </w:tc>
        <w:tc>
          <w:tcPr>
            <w:tcW w:w="1148" w:type="dxa"/>
            <w:tcBorders>
              <w:top w:val="nil"/>
              <w:left w:val="nil"/>
              <w:bottom w:val="nil"/>
              <w:right w:val="nil"/>
            </w:tcBorders>
          </w:tcPr>
          <w:p w14:paraId="3416B3ED" w14:textId="512D1AA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(0.400)</w:t>
            </w:r>
          </w:p>
        </w:tc>
        <w:tc>
          <w:tcPr>
            <w:tcW w:w="1304" w:type="dxa"/>
            <w:tcBorders>
              <w:top w:val="nil"/>
              <w:left w:val="nil"/>
              <w:bottom w:val="nil"/>
              <w:right w:val="nil"/>
            </w:tcBorders>
            <w:shd w:val="clear" w:color="auto" w:fill="auto"/>
            <w:noWrap/>
          </w:tcPr>
          <w:p w14:paraId="660168D5" w14:textId="1168B08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(0.411)</w:t>
            </w:r>
          </w:p>
        </w:tc>
      </w:tr>
      <w:tr w:rsidR="002847F0" w:rsidRPr="00F75D70" w14:paraId="5C646CD9" w14:textId="77777777" w:rsidTr="00113EF8">
        <w:trPr>
          <w:trHeight w:val="181"/>
        </w:trPr>
        <w:tc>
          <w:tcPr>
            <w:tcW w:w="3431" w:type="dxa"/>
            <w:tcBorders>
              <w:top w:val="nil"/>
              <w:left w:val="nil"/>
              <w:bottom w:val="nil"/>
              <w:right w:val="nil"/>
            </w:tcBorders>
            <w:shd w:val="clear" w:color="auto" w:fill="auto"/>
            <w:noWrap/>
            <w:vAlign w:val="bottom"/>
          </w:tcPr>
          <w:p w14:paraId="59CF7FA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Private Sector Employee </w:t>
            </w:r>
          </w:p>
        </w:tc>
        <w:tc>
          <w:tcPr>
            <w:tcW w:w="1304" w:type="dxa"/>
            <w:tcBorders>
              <w:top w:val="nil"/>
              <w:left w:val="single" w:sz="4" w:space="0" w:color="auto"/>
              <w:bottom w:val="nil"/>
              <w:right w:val="nil"/>
            </w:tcBorders>
            <w:shd w:val="clear" w:color="auto" w:fill="auto"/>
            <w:noWrap/>
          </w:tcPr>
          <w:p w14:paraId="085FFED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5C005D2" w14:textId="2677EAD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-0.222</w:t>
            </w:r>
          </w:p>
        </w:tc>
        <w:tc>
          <w:tcPr>
            <w:tcW w:w="1148" w:type="dxa"/>
            <w:tcBorders>
              <w:top w:val="nil"/>
              <w:left w:val="nil"/>
              <w:bottom w:val="nil"/>
              <w:right w:val="nil"/>
            </w:tcBorders>
          </w:tcPr>
          <w:p w14:paraId="12AC3E55" w14:textId="563C3B0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-0.136</w:t>
            </w:r>
          </w:p>
        </w:tc>
        <w:tc>
          <w:tcPr>
            <w:tcW w:w="1148" w:type="dxa"/>
            <w:tcBorders>
              <w:top w:val="nil"/>
              <w:left w:val="nil"/>
              <w:bottom w:val="nil"/>
              <w:right w:val="nil"/>
            </w:tcBorders>
          </w:tcPr>
          <w:p w14:paraId="74DFEBB6" w14:textId="248C336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-0.0694</w:t>
            </w:r>
          </w:p>
        </w:tc>
        <w:tc>
          <w:tcPr>
            <w:tcW w:w="1304" w:type="dxa"/>
            <w:tcBorders>
              <w:top w:val="nil"/>
              <w:left w:val="nil"/>
              <w:bottom w:val="nil"/>
              <w:right w:val="nil"/>
            </w:tcBorders>
            <w:shd w:val="clear" w:color="auto" w:fill="auto"/>
            <w:noWrap/>
          </w:tcPr>
          <w:p w14:paraId="4D62A518" w14:textId="42A6F30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-0.0671</w:t>
            </w:r>
          </w:p>
        </w:tc>
      </w:tr>
      <w:tr w:rsidR="002847F0" w:rsidRPr="00F75D70" w14:paraId="6143A57D" w14:textId="77777777" w:rsidTr="00113EF8">
        <w:trPr>
          <w:trHeight w:val="181"/>
        </w:trPr>
        <w:tc>
          <w:tcPr>
            <w:tcW w:w="3431" w:type="dxa"/>
            <w:tcBorders>
              <w:top w:val="nil"/>
              <w:left w:val="nil"/>
              <w:bottom w:val="nil"/>
              <w:right w:val="nil"/>
            </w:tcBorders>
            <w:shd w:val="clear" w:color="auto" w:fill="auto"/>
            <w:noWrap/>
            <w:vAlign w:val="bottom"/>
          </w:tcPr>
          <w:p w14:paraId="13B0A69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7AF3959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DBEBE89" w14:textId="49A6BBB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(0.310)</w:t>
            </w:r>
          </w:p>
        </w:tc>
        <w:tc>
          <w:tcPr>
            <w:tcW w:w="1148" w:type="dxa"/>
            <w:tcBorders>
              <w:top w:val="nil"/>
              <w:left w:val="nil"/>
              <w:bottom w:val="nil"/>
              <w:right w:val="nil"/>
            </w:tcBorders>
          </w:tcPr>
          <w:p w14:paraId="49A07133" w14:textId="552188B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(0.346)</w:t>
            </w:r>
          </w:p>
        </w:tc>
        <w:tc>
          <w:tcPr>
            <w:tcW w:w="1148" w:type="dxa"/>
            <w:tcBorders>
              <w:top w:val="nil"/>
              <w:left w:val="nil"/>
              <w:bottom w:val="nil"/>
              <w:right w:val="nil"/>
            </w:tcBorders>
          </w:tcPr>
          <w:p w14:paraId="2B238CDE" w14:textId="0FC7081F"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(0.357)</w:t>
            </w:r>
          </w:p>
        </w:tc>
        <w:tc>
          <w:tcPr>
            <w:tcW w:w="1304" w:type="dxa"/>
            <w:tcBorders>
              <w:top w:val="nil"/>
              <w:left w:val="nil"/>
              <w:bottom w:val="nil"/>
              <w:right w:val="nil"/>
            </w:tcBorders>
            <w:shd w:val="clear" w:color="auto" w:fill="auto"/>
            <w:noWrap/>
          </w:tcPr>
          <w:p w14:paraId="0DDFE43D" w14:textId="4F29818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(0.373)</w:t>
            </w:r>
          </w:p>
        </w:tc>
      </w:tr>
      <w:tr w:rsidR="002847F0" w:rsidRPr="00F75D70" w14:paraId="1E900274" w14:textId="77777777" w:rsidTr="00113EF8">
        <w:trPr>
          <w:trHeight w:val="181"/>
        </w:trPr>
        <w:tc>
          <w:tcPr>
            <w:tcW w:w="3431" w:type="dxa"/>
            <w:tcBorders>
              <w:top w:val="nil"/>
              <w:left w:val="nil"/>
              <w:bottom w:val="nil"/>
              <w:right w:val="nil"/>
            </w:tcBorders>
            <w:shd w:val="clear" w:color="auto" w:fill="auto"/>
            <w:noWrap/>
            <w:vAlign w:val="bottom"/>
          </w:tcPr>
          <w:p w14:paraId="7B30A87D"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Entrepreneur</w:t>
            </w:r>
          </w:p>
        </w:tc>
        <w:tc>
          <w:tcPr>
            <w:tcW w:w="1304" w:type="dxa"/>
            <w:tcBorders>
              <w:top w:val="nil"/>
              <w:left w:val="single" w:sz="4" w:space="0" w:color="auto"/>
              <w:bottom w:val="nil"/>
              <w:right w:val="nil"/>
            </w:tcBorders>
            <w:shd w:val="clear" w:color="auto" w:fill="auto"/>
            <w:noWrap/>
          </w:tcPr>
          <w:p w14:paraId="14BCBBD3"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77E3D3C" w14:textId="007619FF"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-0.292</w:t>
            </w:r>
          </w:p>
        </w:tc>
        <w:tc>
          <w:tcPr>
            <w:tcW w:w="1148" w:type="dxa"/>
            <w:tcBorders>
              <w:top w:val="nil"/>
              <w:left w:val="nil"/>
              <w:bottom w:val="nil"/>
              <w:right w:val="nil"/>
            </w:tcBorders>
          </w:tcPr>
          <w:p w14:paraId="30FFE763" w14:textId="3FB16AC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-0.315</w:t>
            </w:r>
          </w:p>
        </w:tc>
        <w:tc>
          <w:tcPr>
            <w:tcW w:w="1148" w:type="dxa"/>
            <w:tcBorders>
              <w:top w:val="nil"/>
              <w:left w:val="nil"/>
              <w:bottom w:val="nil"/>
              <w:right w:val="nil"/>
            </w:tcBorders>
          </w:tcPr>
          <w:p w14:paraId="645C8A78" w14:textId="3BD49F3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-0.202</w:t>
            </w:r>
          </w:p>
        </w:tc>
        <w:tc>
          <w:tcPr>
            <w:tcW w:w="1304" w:type="dxa"/>
            <w:tcBorders>
              <w:top w:val="nil"/>
              <w:left w:val="nil"/>
              <w:bottom w:val="nil"/>
              <w:right w:val="nil"/>
            </w:tcBorders>
            <w:shd w:val="clear" w:color="auto" w:fill="auto"/>
            <w:noWrap/>
          </w:tcPr>
          <w:p w14:paraId="4D38FEB3" w14:textId="412D551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-0.289</w:t>
            </w:r>
          </w:p>
        </w:tc>
      </w:tr>
      <w:tr w:rsidR="002847F0" w:rsidRPr="00F75D70" w14:paraId="4173DB5D" w14:textId="77777777" w:rsidTr="00113EF8">
        <w:trPr>
          <w:trHeight w:val="181"/>
        </w:trPr>
        <w:tc>
          <w:tcPr>
            <w:tcW w:w="3431" w:type="dxa"/>
            <w:tcBorders>
              <w:top w:val="nil"/>
              <w:left w:val="nil"/>
              <w:bottom w:val="nil"/>
              <w:right w:val="nil"/>
            </w:tcBorders>
            <w:shd w:val="clear" w:color="auto" w:fill="auto"/>
            <w:noWrap/>
            <w:vAlign w:val="bottom"/>
          </w:tcPr>
          <w:p w14:paraId="15BAE56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3E002C7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7B5941D" w14:textId="7681E00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(0.313)</w:t>
            </w:r>
          </w:p>
        </w:tc>
        <w:tc>
          <w:tcPr>
            <w:tcW w:w="1148" w:type="dxa"/>
            <w:tcBorders>
              <w:top w:val="nil"/>
              <w:left w:val="nil"/>
              <w:bottom w:val="nil"/>
              <w:right w:val="nil"/>
            </w:tcBorders>
          </w:tcPr>
          <w:p w14:paraId="7BFFE4B0" w14:textId="72D4BB1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(0.370)</w:t>
            </w:r>
          </w:p>
        </w:tc>
        <w:tc>
          <w:tcPr>
            <w:tcW w:w="1148" w:type="dxa"/>
            <w:tcBorders>
              <w:top w:val="nil"/>
              <w:left w:val="nil"/>
              <w:bottom w:val="nil"/>
              <w:right w:val="nil"/>
            </w:tcBorders>
          </w:tcPr>
          <w:p w14:paraId="22F53112" w14:textId="2FF4E3B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(0.374)</w:t>
            </w:r>
          </w:p>
        </w:tc>
        <w:tc>
          <w:tcPr>
            <w:tcW w:w="1304" w:type="dxa"/>
            <w:tcBorders>
              <w:top w:val="nil"/>
              <w:left w:val="nil"/>
              <w:bottom w:val="nil"/>
              <w:right w:val="nil"/>
            </w:tcBorders>
            <w:shd w:val="clear" w:color="auto" w:fill="auto"/>
            <w:noWrap/>
          </w:tcPr>
          <w:p w14:paraId="33684034" w14:textId="1A41F98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(0.380)</w:t>
            </w:r>
          </w:p>
        </w:tc>
      </w:tr>
      <w:tr w:rsidR="002847F0" w:rsidRPr="00F75D70" w14:paraId="25E3163B" w14:textId="77777777" w:rsidTr="00113EF8">
        <w:trPr>
          <w:trHeight w:val="181"/>
        </w:trPr>
        <w:tc>
          <w:tcPr>
            <w:tcW w:w="3431" w:type="dxa"/>
            <w:tcBorders>
              <w:top w:val="nil"/>
              <w:left w:val="nil"/>
              <w:bottom w:val="nil"/>
              <w:right w:val="nil"/>
            </w:tcBorders>
            <w:shd w:val="clear" w:color="auto" w:fill="auto"/>
            <w:noWrap/>
            <w:vAlign w:val="bottom"/>
          </w:tcPr>
          <w:p w14:paraId="14B35BC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Farmer</w:t>
            </w:r>
          </w:p>
        </w:tc>
        <w:tc>
          <w:tcPr>
            <w:tcW w:w="1304" w:type="dxa"/>
            <w:tcBorders>
              <w:top w:val="nil"/>
              <w:left w:val="single" w:sz="4" w:space="0" w:color="auto"/>
              <w:bottom w:val="nil"/>
              <w:right w:val="nil"/>
            </w:tcBorders>
            <w:shd w:val="clear" w:color="auto" w:fill="auto"/>
            <w:noWrap/>
          </w:tcPr>
          <w:p w14:paraId="3FD47E5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600A1E8" w14:textId="768AAEC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-0.545</w:t>
            </w:r>
          </w:p>
        </w:tc>
        <w:tc>
          <w:tcPr>
            <w:tcW w:w="1148" w:type="dxa"/>
            <w:tcBorders>
              <w:top w:val="nil"/>
              <w:left w:val="nil"/>
              <w:bottom w:val="nil"/>
              <w:right w:val="nil"/>
            </w:tcBorders>
          </w:tcPr>
          <w:p w14:paraId="71501F3D" w14:textId="088C643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-0.310</w:t>
            </w:r>
          </w:p>
        </w:tc>
        <w:tc>
          <w:tcPr>
            <w:tcW w:w="1148" w:type="dxa"/>
            <w:tcBorders>
              <w:top w:val="nil"/>
              <w:left w:val="nil"/>
              <w:bottom w:val="nil"/>
              <w:right w:val="nil"/>
            </w:tcBorders>
          </w:tcPr>
          <w:p w14:paraId="29CB5ED3" w14:textId="7AF7C52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-0.284</w:t>
            </w:r>
          </w:p>
        </w:tc>
        <w:tc>
          <w:tcPr>
            <w:tcW w:w="1304" w:type="dxa"/>
            <w:tcBorders>
              <w:top w:val="nil"/>
              <w:left w:val="nil"/>
              <w:bottom w:val="nil"/>
              <w:right w:val="nil"/>
            </w:tcBorders>
            <w:shd w:val="clear" w:color="auto" w:fill="auto"/>
            <w:noWrap/>
          </w:tcPr>
          <w:p w14:paraId="7A017B46" w14:textId="0A668FD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-0.523</w:t>
            </w:r>
          </w:p>
        </w:tc>
      </w:tr>
      <w:tr w:rsidR="002847F0" w:rsidRPr="00F75D70" w14:paraId="2B562CE4" w14:textId="77777777" w:rsidTr="00113EF8">
        <w:trPr>
          <w:trHeight w:val="181"/>
        </w:trPr>
        <w:tc>
          <w:tcPr>
            <w:tcW w:w="3431" w:type="dxa"/>
            <w:tcBorders>
              <w:top w:val="nil"/>
              <w:left w:val="nil"/>
              <w:bottom w:val="nil"/>
              <w:right w:val="nil"/>
            </w:tcBorders>
            <w:shd w:val="clear" w:color="auto" w:fill="auto"/>
            <w:noWrap/>
            <w:vAlign w:val="bottom"/>
          </w:tcPr>
          <w:p w14:paraId="13D89B3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77C684C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15DFFE24" w14:textId="2A698D5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(0.458)</w:t>
            </w:r>
          </w:p>
        </w:tc>
        <w:tc>
          <w:tcPr>
            <w:tcW w:w="1148" w:type="dxa"/>
            <w:tcBorders>
              <w:top w:val="nil"/>
              <w:left w:val="nil"/>
              <w:bottom w:val="nil"/>
              <w:right w:val="nil"/>
            </w:tcBorders>
          </w:tcPr>
          <w:p w14:paraId="4D2561B3" w14:textId="27D9AF4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(0.504)</w:t>
            </w:r>
          </w:p>
        </w:tc>
        <w:tc>
          <w:tcPr>
            <w:tcW w:w="1148" w:type="dxa"/>
            <w:tcBorders>
              <w:top w:val="nil"/>
              <w:left w:val="nil"/>
              <w:bottom w:val="nil"/>
              <w:right w:val="nil"/>
            </w:tcBorders>
          </w:tcPr>
          <w:p w14:paraId="2E21F9D4" w14:textId="5F8102C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(0.515)</w:t>
            </w:r>
          </w:p>
        </w:tc>
        <w:tc>
          <w:tcPr>
            <w:tcW w:w="1304" w:type="dxa"/>
            <w:tcBorders>
              <w:top w:val="nil"/>
              <w:left w:val="nil"/>
              <w:bottom w:val="nil"/>
              <w:right w:val="nil"/>
            </w:tcBorders>
            <w:shd w:val="clear" w:color="auto" w:fill="auto"/>
            <w:noWrap/>
          </w:tcPr>
          <w:p w14:paraId="6879FFC6" w14:textId="2B7FBDA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(0.562)</w:t>
            </w:r>
          </w:p>
        </w:tc>
      </w:tr>
      <w:tr w:rsidR="002847F0" w:rsidRPr="00F75D70" w14:paraId="11C0C78B" w14:textId="77777777" w:rsidTr="00113EF8">
        <w:trPr>
          <w:trHeight w:val="181"/>
        </w:trPr>
        <w:tc>
          <w:tcPr>
            <w:tcW w:w="3431" w:type="dxa"/>
            <w:tcBorders>
              <w:top w:val="nil"/>
              <w:left w:val="nil"/>
              <w:bottom w:val="nil"/>
              <w:right w:val="nil"/>
            </w:tcBorders>
            <w:shd w:val="clear" w:color="auto" w:fill="auto"/>
            <w:noWrap/>
            <w:vAlign w:val="bottom"/>
          </w:tcPr>
          <w:p w14:paraId="2404F82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Other Occupation</w:t>
            </w:r>
          </w:p>
        </w:tc>
        <w:tc>
          <w:tcPr>
            <w:tcW w:w="1304" w:type="dxa"/>
            <w:tcBorders>
              <w:top w:val="nil"/>
              <w:left w:val="single" w:sz="4" w:space="0" w:color="auto"/>
              <w:bottom w:val="nil"/>
              <w:right w:val="nil"/>
            </w:tcBorders>
            <w:shd w:val="clear" w:color="auto" w:fill="auto"/>
            <w:noWrap/>
          </w:tcPr>
          <w:p w14:paraId="6DAFC08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A7A2A9B" w14:textId="2D84BD8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-0.0835</w:t>
            </w:r>
          </w:p>
        </w:tc>
        <w:tc>
          <w:tcPr>
            <w:tcW w:w="1148" w:type="dxa"/>
            <w:tcBorders>
              <w:top w:val="nil"/>
              <w:left w:val="nil"/>
              <w:bottom w:val="nil"/>
              <w:right w:val="nil"/>
            </w:tcBorders>
          </w:tcPr>
          <w:p w14:paraId="0BC11FE7" w14:textId="096310D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-0.0946</w:t>
            </w:r>
          </w:p>
        </w:tc>
        <w:tc>
          <w:tcPr>
            <w:tcW w:w="1148" w:type="dxa"/>
            <w:tcBorders>
              <w:top w:val="nil"/>
              <w:left w:val="nil"/>
              <w:bottom w:val="nil"/>
              <w:right w:val="nil"/>
            </w:tcBorders>
          </w:tcPr>
          <w:p w14:paraId="0AF19F1D" w14:textId="00119C1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-0.0869</w:t>
            </w:r>
          </w:p>
        </w:tc>
        <w:tc>
          <w:tcPr>
            <w:tcW w:w="1304" w:type="dxa"/>
            <w:tcBorders>
              <w:top w:val="nil"/>
              <w:left w:val="nil"/>
              <w:bottom w:val="nil"/>
              <w:right w:val="nil"/>
            </w:tcBorders>
            <w:shd w:val="clear" w:color="auto" w:fill="auto"/>
            <w:noWrap/>
          </w:tcPr>
          <w:p w14:paraId="7271C5DE" w14:textId="684B70A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-0.0377</w:t>
            </w:r>
          </w:p>
        </w:tc>
      </w:tr>
      <w:tr w:rsidR="002847F0" w:rsidRPr="00F75D70" w14:paraId="270DF9FA" w14:textId="77777777" w:rsidTr="00113EF8">
        <w:trPr>
          <w:trHeight w:val="181"/>
        </w:trPr>
        <w:tc>
          <w:tcPr>
            <w:tcW w:w="3431" w:type="dxa"/>
            <w:tcBorders>
              <w:top w:val="nil"/>
              <w:left w:val="nil"/>
              <w:bottom w:val="nil"/>
              <w:right w:val="nil"/>
            </w:tcBorders>
            <w:shd w:val="clear" w:color="auto" w:fill="auto"/>
            <w:noWrap/>
            <w:vAlign w:val="bottom"/>
          </w:tcPr>
          <w:p w14:paraId="2BB3D69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2D3B65E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AC1E221" w14:textId="63A514E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(0.337)</w:t>
            </w:r>
          </w:p>
        </w:tc>
        <w:tc>
          <w:tcPr>
            <w:tcW w:w="1148" w:type="dxa"/>
            <w:tcBorders>
              <w:top w:val="nil"/>
              <w:left w:val="nil"/>
              <w:bottom w:val="nil"/>
              <w:right w:val="nil"/>
            </w:tcBorders>
          </w:tcPr>
          <w:p w14:paraId="5B0CEC32" w14:textId="0535491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(0.393)</w:t>
            </w:r>
          </w:p>
        </w:tc>
        <w:tc>
          <w:tcPr>
            <w:tcW w:w="1148" w:type="dxa"/>
            <w:tcBorders>
              <w:top w:val="nil"/>
              <w:left w:val="nil"/>
              <w:bottom w:val="nil"/>
              <w:right w:val="nil"/>
            </w:tcBorders>
          </w:tcPr>
          <w:p w14:paraId="19CE1CB3" w14:textId="4583BD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(0.405)</w:t>
            </w:r>
          </w:p>
        </w:tc>
        <w:tc>
          <w:tcPr>
            <w:tcW w:w="1304" w:type="dxa"/>
            <w:tcBorders>
              <w:top w:val="nil"/>
              <w:left w:val="nil"/>
              <w:bottom w:val="nil"/>
              <w:right w:val="nil"/>
            </w:tcBorders>
            <w:shd w:val="clear" w:color="auto" w:fill="auto"/>
            <w:noWrap/>
          </w:tcPr>
          <w:p w14:paraId="132FAD09" w14:textId="5F2CE4E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(0.425)</w:t>
            </w:r>
          </w:p>
        </w:tc>
      </w:tr>
      <w:tr w:rsidR="002847F0" w:rsidRPr="00F75D70" w14:paraId="7902584F" w14:textId="77777777" w:rsidTr="00113EF8">
        <w:trPr>
          <w:trHeight w:val="181"/>
        </w:trPr>
        <w:tc>
          <w:tcPr>
            <w:tcW w:w="3431" w:type="dxa"/>
            <w:tcBorders>
              <w:top w:val="nil"/>
              <w:left w:val="nil"/>
              <w:bottom w:val="nil"/>
              <w:right w:val="nil"/>
            </w:tcBorders>
            <w:shd w:val="clear" w:color="auto" w:fill="auto"/>
            <w:noWrap/>
            <w:vAlign w:val="bottom"/>
          </w:tcPr>
          <w:p w14:paraId="5E3BBF24"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Education Level</w:t>
            </w:r>
          </w:p>
        </w:tc>
        <w:tc>
          <w:tcPr>
            <w:tcW w:w="1304" w:type="dxa"/>
            <w:tcBorders>
              <w:top w:val="nil"/>
              <w:left w:val="single" w:sz="4" w:space="0" w:color="auto"/>
              <w:bottom w:val="nil"/>
              <w:right w:val="nil"/>
            </w:tcBorders>
            <w:shd w:val="clear" w:color="auto" w:fill="auto"/>
            <w:noWrap/>
          </w:tcPr>
          <w:p w14:paraId="3520A15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FD98714" w14:textId="2DA3687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-0.0540</w:t>
            </w:r>
          </w:p>
        </w:tc>
        <w:tc>
          <w:tcPr>
            <w:tcW w:w="1148" w:type="dxa"/>
            <w:tcBorders>
              <w:top w:val="nil"/>
              <w:left w:val="nil"/>
              <w:bottom w:val="nil"/>
              <w:right w:val="nil"/>
            </w:tcBorders>
          </w:tcPr>
          <w:p w14:paraId="171FDE43" w14:textId="7DE5C0D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0.0309</w:t>
            </w:r>
          </w:p>
        </w:tc>
        <w:tc>
          <w:tcPr>
            <w:tcW w:w="1148" w:type="dxa"/>
            <w:tcBorders>
              <w:top w:val="nil"/>
              <w:left w:val="nil"/>
              <w:bottom w:val="nil"/>
              <w:right w:val="nil"/>
            </w:tcBorders>
          </w:tcPr>
          <w:p w14:paraId="3C9E7B92" w14:textId="51D84AD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0.0655</w:t>
            </w:r>
          </w:p>
        </w:tc>
        <w:tc>
          <w:tcPr>
            <w:tcW w:w="1304" w:type="dxa"/>
            <w:tcBorders>
              <w:top w:val="nil"/>
              <w:left w:val="nil"/>
              <w:bottom w:val="nil"/>
              <w:right w:val="nil"/>
            </w:tcBorders>
            <w:shd w:val="clear" w:color="auto" w:fill="auto"/>
            <w:noWrap/>
          </w:tcPr>
          <w:p w14:paraId="26F7519A" w14:textId="6C2FB53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0.0568</w:t>
            </w:r>
          </w:p>
        </w:tc>
      </w:tr>
      <w:tr w:rsidR="002847F0" w:rsidRPr="00F75D70" w14:paraId="32069F57" w14:textId="77777777" w:rsidTr="00113EF8">
        <w:trPr>
          <w:trHeight w:val="181"/>
        </w:trPr>
        <w:tc>
          <w:tcPr>
            <w:tcW w:w="3431" w:type="dxa"/>
            <w:tcBorders>
              <w:top w:val="nil"/>
              <w:left w:val="nil"/>
              <w:bottom w:val="nil"/>
              <w:right w:val="nil"/>
            </w:tcBorders>
            <w:shd w:val="clear" w:color="auto" w:fill="auto"/>
            <w:noWrap/>
            <w:vAlign w:val="bottom"/>
          </w:tcPr>
          <w:p w14:paraId="6A02C6F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797936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CFD92B4" w14:textId="3AC55E4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(0.0827)</w:t>
            </w:r>
          </w:p>
        </w:tc>
        <w:tc>
          <w:tcPr>
            <w:tcW w:w="1148" w:type="dxa"/>
            <w:tcBorders>
              <w:top w:val="nil"/>
              <w:left w:val="nil"/>
              <w:bottom w:val="nil"/>
              <w:right w:val="nil"/>
            </w:tcBorders>
          </w:tcPr>
          <w:p w14:paraId="06F1F283" w14:textId="553D5C8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(0.0947)</w:t>
            </w:r>
          </w:p>
        </w:tc>
        <w:tc>
          <w:tcPr>
            <w:tcW w:w="1148" w:type="dxa"/>
            <w:tcBorders>
              <w:top w:val="nil"/>
              <w:left w:val="nil"/>
              <w:bottom w:val="nil"/>
              <w:right w:val="nil"/>
            </w:tcBorders>
          </w:tcPr>
          <w:p w14:paraId="0AF14D61" w14:textId="3437580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(0.0964)</w:t>
            </w:r>
          </w:p>
        </w:tc>
        <w:tc>
          <w:tcPr>
            <w:tcW w:w="1304" w:type="dxa"/>
            <w:tcBorders>
              <w:top w:val="nil"/>
              <w:left w:val="nil"/>
              <w:bottom w:val="nil"/>
              <w:right w:val="nil"/>
            </w:tcBorders>
            <w:shd w:val="clear" w:color="auto" w:fill="auto"/>
            <w:noWrap/>
          </w:tcPr>
          <w:p w14:paraId="66324825" w14:textId="6940CC9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(0.0964)</w:t>
            </w:r>
          </w:p>
        </w:tc>
      </w:tr>
      <w:tr w:rsidR="002847F0" w:rsidRPr="00F75D70" w14:paraId="4FD4C6EE" w14:textId="77777777" w:rsidTr="00113EF8">
        <w:trPr>
          <w:trHeight w:val="181"/>
        </w:trPr>
        <w:tc>
          <w:tcPr>
            <w:tcW w:w="3431" w:type="dxa"/>
            <w:tcBorders>
              <w:top w:val="nil"/>
              <w:left w:val="nil"/>
              <w:bottom w:val="nil"/>
              <w:right w:val="nil"/>
            </w:tcBorders>
            <w:shd w:val="clear" w:color="auto" w:fill="auto"/>
            <w:noWrap/>
            <w:vAlign w:val="bottom"/>
          </w:tcPr>
          <w:p w14:paraId="431B95A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Female</w:t>
            </w:r>
          </w:p>
        </w:tc>
        <w:tc>
          <w:tcPr>
            <w:tcW w:w="1304" w:type="dxa"/>
            <w:tcBorders>
              <w:top w:val="nil"/>
              <w:left w:val="single" w:sz="4" w:space="0" w:color="auto"/>
              <w:bottom w:val="nil"/>
              <w:right w:val="nil"/>
            </w:tcBorders>
            <w:shd w:val="clear" w:color="auto" w:fill="auto"/>
            <w:noWrap/>
          </w:tcPr>
          <w:p w14:paraId="1449520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BDDBEDF" w14:textId="61B597A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0.212</w:t>
            </w:r>
          </w:p>
        </w:tc>
        <w:tc>
          <w:tcPr>
            <w:tcW w:w="1148" w:type="dxa"/>
            <w:tcBorders>
              <w:top w:val="nil"/>
              <w:left w:val="nil"/>
              <w:bottom w:val="nil"/>
              <w:right w:val="nil"/>
            </w:tcBorders>
          </w:tcPr>
          <w:p w14:paraId="64F05E68" w14:textId="75F50DE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0.200</w:t>
            </w:r>
          </w:p>
        </w:tc>
        <w:tc>
          <w:tcPr>
            <w:tcW w:w="1148" w:type="dxa"/>
            <w:tcBorders>
              <w:top w:val="nil"/>
              <w:left w:val="nil"/>
              <w:bottom w:val="nil"/>
              <w:right w:val="nil"/>
            </w:tcBorders>
          </w:tcPr>
          <w:p w14:paraId="74629D1C" w14:textId="615AABEB"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0.314</w:t>
            </w:r>
          </w:p>
        </w:tc>
        <w:tc>
          <w:tcPr>
            <w:tcW w:w="1304" w:type="dxa"/>
            <w:tcBorders>
              <w:top w:val="nil"/>
              <w:left w:val="nil"/>
              <w:bottom w:val="nil"/>
              <w:right w:val="nil"/>
            </w:tcBorders>
            <w:shd w:val="clear" w:color="auto" w:fill="auto"/>
            <w:noWrap/>
          </w:tcPr>
          <w:p w14:paraId="06323981" w14:textId="18A1FE3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0.190</w:t>
            </w:r>
          </w:p>
        </w:tc>
      </w:tr>
      <w:tr w:rsidR="002847F0" w:rsidRPr="00F75D70" w14:paraId="2F2804C7" w14:textId="77777777" w:rsidTr="00113EF8">
        <w:trPr>
          <w:trHeight w:val="181"/>
        </w:trPr>
        <w:tc>
          <w:tcPr>
            <w:tcW w:w="3431" w:type="dxa"/>
            <w:tcBorders>
              <w:top w:val="nil"/>
              <w:left w:val="nil"/>
              <w:bottom w:val="nil"/>
              <w:right w:val="nil"/>
            </w:tcBorders>
            <w:shd w:val="clear" w:color="auto" w:fill="auto"/>
            <w:noWrap/>
            <w:vAlign w:val="bottom"/>
          </w:tcPr>
          <w:p w14:paraId="30E073BA"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2DC4633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21E0040" w14:textId="5C22693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(0.185)</w:t>
            </w:r>
          </w:p>
        </w:tc>
        <w:tc>
          <w:tcPr>
            <w:tcW w:w="1148" w:type="dxa"/>
            <w:tcBorders>
              <w:top w:val="nil"/>
              <w:left w:val="nil"/>
              <w:bottom w:val="nil"/>
              <w:right w:val="nil"/>
            </w:tcBorders>
          </w:tcPr>
          <w:p w14:paraId="33FC92F5" w14:textId="03D7FF7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(0.208)</w:t>
            </w:r>
          </w:p>
        </w:tc>
        <w:tc>
          <w:tcPr>
            <w:tcW w:w="1148" w:type="dxa"/>
            <w:tcBorders>
              <w:top w:val="nil"/>
              <w:left w:val="nil"/>
              <w:bottom w:val="nil"/>
              <w:right w:val="nil"/>
            </w:tcBorders>
          </w:tcPr>
          <w:p w14:paraId="7B9E9692" w14:textId="1FE0C09A"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(0.211)</w:t>
            </w:r>
          </w:p>
        </w:tc>
        <w:tc>
          <w:tcPr>
            <w:tcW w:w="1304" w:type="dxa"/>
            <w:tcBorders>
              <w:top w:val="nil"/>
              <w:left w:val="nil"/>
              <w:bottom w:val="nil"/>
              <w:right w:val="nil"/>
            </w:tcBorders>
            <w:shd w:val="clear" w:color="auto" w:fill="auto"/>
            <w:noWrap/>
          </w:tcPr>
          <w:p w14:paraId="0E034984" w14:textId="7F91A13A"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(0.209)</w:t>
            </w:r>
          </w:p>
        </w:tc>
      </w:tr>
      <w:tr w:rsidR="002847F0" w:rsidRPr="00F75D70" w14:paraId="66E755F8" w14:textId="77777777" w:rsidTr="00113EF8">
        <w:trPr>
          <w:trHeight w:val="181"/>
        </w:trPr>
        <w:tc>
          <w:tcPr>
            <w:tcW w:w="3431" w:type="dxa"/>
            <w:tcBorders>
              <w:top w:val="nil"/>
              <w:left w:val="nil"/>
              <w:bottom w:val="nil"/>
              <w:right w:val="nil"/>
            </w:tcBorders>
            <w:shd w:val="clear" w:color="auto" w:fill="auto"/>
            <w:noWrap/>
            <w:vAlign w:val="bottom"/>
          </w:tcPr>
          <w:p w14:paraId="2D4C062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Rural </w:t>
            </w:r>
          </w:p>
        </w:tc>
        <w:tc>
          <w:tcPr>
            <w:tcW w:w="1304" w:type="dxa"/>
            <w:tcBorders>
              <w:top w:val="nil"/>
              <w:left w:val="single" w:sz="4" w:space="0" w:color="auto"/>
              <w:bottom w:val="nil"/>
              <w:right w:val="nil"/>
            </w:tcBorders>
            <w:shd w:val="clear" w:color="auto" w:fill="auto"/>
            <w:noWrap/>
          </w:tcPr>
          <w:p w14:paraId="589416E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443F5982" w14:textId="73CCA3B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0.261</w:t>
            </w:r>
          </w:p>
        </w:tc>
        <w:tc>
          <w:tcPr>
            <w:tcW w:w="1148" w:type="dxa"/>
            <w:tcBorders>
              <w:top w:val="nil"/>
              <w:left w:val="nil"/>
              <w:bottom w:val="nil"/>
              <w:right w:val="nil"/>
            </w:tcBorders>
          </w:tcPr>
          <w:p w14:paraId="4D59B5E7" w14:textId="76624D2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0.227</w:t>
            </w:r>
          </w:p>
        </w:tc>
        <w:tc>
          <w:tcPr>
            <w:tcW w:w="1148" w:type="dxa"/>
            <w:tcBorders>
              <w:top w:val="nil"/>
              <w:left w:val="nil"/>
              <w:bottom w:val="nil"/>
              <w:right w:val="nil"/>
            </w:tcBorders>
          </w:tcPr>
          <w:p w14:paraId="05A44B6B" w14:textId="3425313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0.166</w:t>
            </w:r>
          </w:p>
        </w:tc>
        <w:tc>
          <w:tcPr>
            <w:tcW w:w="1304" w:type="dxa"/>
            <w:tcBorders>
              <w:top w:val="nil"/>
              <w:left w:val="nil"/>
              <w:bottom w:val="nil"/>
              <w:right w:val="nil"/>
            </w:tcBorders>
            <w:shd w:val="clear" w:color="auto" w:fill="auto"/>
            <w:noWrap/>
          </w:tcPr>
          <w:p w14:paraId="0AEDFBF3" w14:textId="634A6BF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0.112</w:t>
            </w:r>
          </w:p>
        </w:tc>
      </w:tr>
      <w:tr w:rsidR="002847F0" w:rsidRPr="00F75D70" w14:paraId="6230D181" w14:textId="77777777" w:rsidTr="00113EF8">
        <w:trPr>
          <w:trHeight w:val="181"/>
        </w:trPr>
        <w:tc>
          <w:tcPr>
            <w:tcW w:w="3431" w:type="dxa"/>
            <w:tcBorders>
              <w:top w:val="nil"/>
              <w:left w:val="nil"/>
              <w:bottom w:val="nil"/>
              <w:right w:val="nil"/>
            </w:tcBorders>
            <w:shd w:val="clear" w:color="auto" w:fill="auto"/>
            <w:noWrap/>
            <w:vAlign w:val="bottom"/>
          </w:tcPr>
          <w:p w14:paraId="53D9E9E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9EE2DF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1660C4F" w14:textId="252F118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(0.173)</w:t>
            </w:r>
          </w:p>
        </w:tc>
        <w:tc>
          <w:tcPr>
            <w:tcW w:w="1148" w:type="dxa"/>
            <w:tcBorders>
              <w:top w:val="nil"/>
              <w:left w:val="nil"/>
              <w:bottom w:val="nil"/>
              <w:right w:val="nil"/>
            </w:tcBorders>
          </w:tcPr>
          <w:p w14:paraId="72F319A6" w14:textId="5C5C038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(0.201)</w:t>
            </w:r>
          </w:p>
        </w:tc>
        <w:tc>
          <w:tcPr>
            <w:tcW w:w="1148" w:type="dxa"/>
            <w:tcBorders>
              <w:top w:val="nil"/>
              <w:left w:val="nil"/>
              <w:bottom w:val="nil"/>
              <w:right w:val="nil"/>
            </w:tcBorders>
          </w:tcPr>
          <w:p w14:paraId="732BE552" w14:textId="6B27C75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(0.206)</w:t>
            </w:r>
          </w:p>
        </w:tc>
        <w:tc>
          <w:tcPr>
            <w:tcW w:w="1304" w:type="dxa"/>
            <w:tcBorders>
              <w:top w:val="nil"/>
              <w:left w:val="nil"/>
              <w:bottom w:val="nil"/>
              <w:right w:val="nil"/>
            </w:tcBorders>
            <w:shd w:val="clear" w:color="auto" w:fill="auto"/>
            <w:noWrap/>
          </w:tcPr>
          <w:p w14:paraId="760969E8" w14:textId="1E0AF6A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(0.208)</w:t>
            </w:r>
          </w:p>
        </w:tc>
      </w:tr>
      <w:tr w:rsidR="002847F0" w:rsidRPr="00F75D70" w14:paraId="417D3157" w14:textId="77777777" w:rsidTr="00826F7F">
        <w:trPr>
          <w:trHeight w:val="181"/>
        </w:trPr>
        <w:tc>
          <w:tcPr>
            <w:tcW w:w="3431" w:type="dxa"/>
            <w:tcBorders>
              <w:top w:val="nil"/>
              <w:left w:val="nil"/>
              <w:bottom w:val="nil"/>
              <w:right w:val="nil"/>
            </w:tcBorders>
            <w:shd w:val="clear" w:color="auto" w:fill="auto"/>
            <w:noWrap/>
            <w:vAlign w:val="bottom"/>
          </w:tcPr>
          <w:p w14:paraId="05E2352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SYRIZA</w:t>
            </w:r>
          </w:p>
        </w:tc>
        <w:tc>
          <w:tcPr>
            <w:tcW w:w="1304" w:type="dxa"/>
            <w:tcBorders>
              <w:top w:val="nil"/>
              <w:left w:val="single" w:sz="4" w:space="0" w:color="auto"/>
              <w:bottom w:val="nil"/>
              <w:right w:val="nil"/>
            </w:tcBorders>
            <w:shd w:val="clear" w:color="auto" w:fill="auto"/>
            <w:noWrap/>
          </w:tcPr>
          <w:p w14:paraId="521EEE1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7A0D408"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3FF2EB0F" w14:textId="2706A37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2.741***</w:t>
            </w:r>
          </w:p>
        </w:tc>
        <w:tc>
          <w:tcPr>
            <w:tcW w:w="1148" w:type="dxa"/>
            <w:tcBorders>
              <w:top w:val="nil"/>
              <w:left w:val="nil"/>
              <w:bottom w:val="nil"/>
              <w:right w:val="nil"/>
            </w:tcBorders>
          </w:tcPr>
          <w:p w14:paraId="6530621C" w14:textId="019DABC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2.626***</w:t>
            </w:r>
          </w:p>
        </w:tc>
        <w:tc>
          <w:tcPr>
            <w:tcW w:w="1304" w:type="dxa"/>
            <w:tcBorders>
              <w:top w:val="nil"/>
              <w:left w:val="nil"/>
              <w:bottom w:val="nil"/>
              <w:right w:val="nil"/>
            </w:tcBorders>
            <w:shd w:val="clear" w:color="auto" w:fill="auto"/>
            <w:noWrap/>
          </w:tcPr>
          <w:p w14:paraId="0C30A6D7" w14:textId="34BF836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2.580***</w:t>
            </w:r>
          </w:p>
        </w:tc>
      </w:tr>
      <w:tr w:rsidR="002847F0" w:rsidRPr="00F75D70" w14:paraId="27EC3F3D" w14:textId="77777777" w:rsidTr="00826F7F">
        <w:trPr>
          <w:trHeight w:val="181"/>
        </w:trPr>
        <w:tc>
          <w:tcPr>
            <w:tcW w:w="3431" w:type="dxa"/>
            <w:tcBorders>
              <w:top w:val="nil"/>
              <w:left w:val="nil"/>
              <w:bottom w:val="nil"/>
              <w:right w:val="nil"/>
            </w:tcBorders>
            <w:shd w:val="clear" w:color="auto" w:fill="auto"/>
            <w:noWrap/>
            <w:vAlign w:val="bottom"/>
          </w:tcPr>
          <w:p w14:paraId="7ADAA90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319343E4"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9A04D47"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15C199A0" w14:textId="4F8F546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(0.301)</w:t>
            </w:r>
          </w:p>
        </w:tc>
        <w:tc>
          <w:tcPr>
            <w:tcW w:w="1148" w:type="dxa"/>
            <w:tcBorders>
              <w:top w:val="nil"/>
              <w:left w:val="nil"/>
              <w:bottom w:val="nil"/>
              <w:right w:val="nil"/>
            </w:tcBorders>
          </w:tcPr>
          <w:p w14:paraId="3F2F5A47" w14:textId="463615A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(0.340)</w:t>
            </w:r>
          </w:p>
        </w:tc>
        <w:tc>
          <w:tcPr>
            <w:tcW w:w="1304" w:type="dxa"/>
            <w:tcBorders>
              <w:top w:val="nil"/>
              <w:left w:val="nil"/>
              <w:bottom w:val="nil"/>
              <w:right w:val="nil"/>
            </w:tcBorders>
            <w:shd w:val="clear" w:color="auto" w:fill="auto"/>
            <w:noWrap/>
          </w:tcPr>
          <w:p w14:paraId="16A736C1" w14:textId="3E11B99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(0.321)</w:t>
            </w:r>
          </w:p>
        </w:tc>
      </w:tr>
      <w:tr w:rsidR="002847F0" w:rsidRPr="00F75D70" w14:paraId="7BCA103F" w14:textId="77777777" w:rsidTr="00826F7F">
        <w:trPr>
          <w:trHeight w:val="181"/>
        </w:trPr>
        <w:tc>
          <w:tcPr>
            <w:tcW w:w="3431" w:type="dxa"/>
            <w:tcBorders>
              <w:top w:val="nil"/>
              <w:left w:val="nil"/>
              <w:bottom w:val="nil"/>
              <w:right w:val="nil"/>
            </w:tcBorders>
            <w:shd w:val="clear" w:color="auto" w:fill="auto"/>
            <w:noWrap/>
            <w:vAlign w:val="bottom"/>
          </w:tcPr>
          <w:p w14:paraId="2D42D8A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ANEL</w:t>
            </w:r>
          </w:p>
        </w:tc>
        <w:tc>
          <w:tcPr>
            <w:tcW w:w="1304" w:type="dxa"/>
            <w:tcBorders>
              <w:top w:val="nil"/>
              <w:left w:val="single" w:sz="4" w:space="0" w:color="auto"/>
              <w:bottom w:val="nil"/>
              <w:right w:val="nil"/>
            </w:tcBorders>
            <w:shd w:val="clear" w:color="auto" w:fill="auto"/>
            <w:noWrap/>
          </w:tcPr>
          <w:p w14:paraId="787F7D0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4DEC4C02"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7D2CDA3D" w14:textId="1C512D80"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2.466***</w:t>
            </w:r>
          </w:p>
        </w:tc>
        <w:tc>
          <w:tcPr>
            <w:tcW w:w="1148" w:type="dxa"/>
            <w:tcBorders>
              <w:top w:val="nil"/>
              <w:left w:val="nil"/>
              <w:bottom w:val="nil"/>
              <w:right w:val="nil"/>
            </w:tcBorders>
          </w:tcPr>
          <w:p w14:paraId="3CBD5D7B" w14:textId="6E78969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2.329***</w:t>
            </w:r>
          </w:p>
        </w:tc>
        <w:tc>
          <w:tcPr>
            <w:tcW w:w="1304" w:type="dxa"/>
            <w:tcBorders>
              <w:top w:val="nil"/>
              <w:left w:val="nil"/>
              <w:bottom w:val="nil"/>
              <w:right w:val="nil"/>
            </w:tcBorders>
            <w:shd w:val="clear" w:color="auto" w:fill="auto"/>
            <w:noWrap/>
          </w:tcPr>
          <w:p w14:paraId="47B81352" w14:textId="09B818A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2.354***</w:t>
            </w:r>
          </w:p>
        </w:tc>
      </w:tr>
      <w:tr w:rsidR="002847F0" w:rsidRPr="00F75D70" w14:paraId="3A48A7C1" w14:textId="77777777" w:rsidTr="00826F7F">
        <w:trPr>
          <w:trHeight w:val="181"/>
        </w:trPr>
        <w:tc>
          <w:tcPr>
            <w:tcW w:w="3431" w:type="dxa"/>
            <w:tcBorders>
              <w:top w:val="nil"/>
              <w:left w:val="nil"/>
              <w:bottom w:val="nil"/>
              <w:right w:val="nil"/>
            </w:tcBorders>
            <w:shd w:val="clear" w:color="auto" w:fill="auto"/>
            <w:noWrap/>
            <w:vAlign w:val="bottom"/>
          </w:tcPr>
          <w:p w14:paraId="11DE2A7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130FC82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5F7E97D2"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169345B5" w14:textId="797F678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(0.688)</w:t>
            </w:r>
          </w:p>
        </w:tc>
        <w:tc>
          <w:tcPr>
            <w:tcW w:w="1148" w:type="dxa"/>
            <w:tcBorders>
              <w:top w:val="nil"/>
              <w:left w:val="nil"/>
              <w:bottom w:val="nil"/>
              <w:right w:val="nil"/>
            </w:tcBorders>
          </w:tcPr>
          <w:p w14:paraId="2AE5F23E" w14:textId="35C924E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(0.841)</w:t>
            </w:r>
          </w:p>
        </w:tc>
        <w:tc>
          <w:tcPr>
            <w:tcW w:w="1304" w:type="dxa"/>
            <w:tcBorders>
              <w:top w:val="nil"/>
              <w:left w:val="nil"/>
              <w:bottom w:val="nil"/>
              <w:right w:val="nil"/>
            </w:tcBorders>
            <w:shd w:val="clear" w:color="auto" w:fill="auto"/>
            <w:noWrap/>
          </w:tcPr>
          <w:p w14:paraId="528B04EC" w14:textId="3986014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(0.845)</w:t>
            </w:r>
          </w:p>
        </w:tc>
      </w:tr>
      <w:tr w:rsidR="002847F0" w:rsidRPr="00F75D70" w14:paraId="6F392A62" w14:textId="77777777" w:rsidTr="00826F7F">
        <w:trPr>
          <w:trHeight w:val="181"/>
        </w:trPr>
        <w:tc>
          <w:tcPr>
            <w:tcW w:w="3431" w:type="dxa"/>
            <w:tcBorders>
              <w:top w:val="nil"/>
              <w:left w:val="nil"/>
              <w:bottom w:val="nil"/>
              <w:right w:val="nil"/>
            </w:tcBorders>
            <w:shd w:val="clear" w:color="auto" w:fill="auto"/>
            <w:noWrap/>
            <w:vAlign w:val="bottom"/>
          </w:tcPr>
          <w:p w14:paraId="10585EA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PASOK</w:t>
            </w:r>
          </w:p>
        </w:tc>
        <w:tc>
          <w:tcPr>
            <w:tcW w:w="1304" w:type="dxa"/>
            <w:tcBorders>
              <w:top w:val="nil"/>
              <w:left w:val="single" w:sz="4" w:space="0" w:color="auto"/>
              <w:bottom w:val="nil"/>
              <w:right w:val="nil"/>
            </w:tcBorders>
            <w:shd w:val="clear" w:color="auto" w:fill="auto"/>
            <w:noWrap/>
          </w:tcPr>
          <w:p w14:paraId="2934B1D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598732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24859EE5" w14:textId="283A5A8A"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-0.273</w:t>
            </w:r>
          </w:p>
        </w:tc>
        <w:tc>
          <w:tcPr>
            <w:tcW w:w="1148" w:type="dxa"/>
            <w:tcBorders>
              <w:top w:val="nil"/>
              <w:left w:val="nil"/>
              <w:bottom w:val="nil"/>
              <w:right w:val="nil"/>
            </w:tcBorders>
          </w:tcPr>
          <w:p w14:paraId="352D6BDE" w14:textId="40569B0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-0.147</w:t>
            </w:r>
          </w:p>
        </w:tc>
        <w:tc>
          <w:tcPr>
            <w:tcW w:w="1304" w:type="dxa"/>
            <w:tcBorders>
              <w:top w:val="nil"/>
              <w:left w:val="nil"/>
              <w:bottom w:val="nil"/>
              <w:right w:val="nil"/>
            </w:tcBorders>
            <w:shd w:val="clear" w:color="auto" w:fill="auto"/>
            <w:noWrap/>
          </w:tcPr>
          <w:p w14:paraId="2A8FF1BA" w14:textId="7D327F6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-0.262</w:t>
            </w:r>
          </w:p>
        </w:tc>
      </w:tr>
      <w:tr w:rsidR="002847F0" w:rsidRPr="00F75D70" w14:paraId="0CE3E15B" w14:textId="77777777" w:rsidTr="00826F7F">
        <w:trPr>
          <w:trHeight w:val="181"/>
        </w:trPr>
        <w:tc>
          <w:tcPr>
            <w:tcW w:w="3431" w:type="dxa"/>
            <w:tcBorders>
              <w:top w:val="nil"/>
              <w:left w:val="nil"/>
              <w:bottom w:val="nil"/>
              <w:right w:val="nil"/>
            </w:tcBorders>
            <w:shd w:val="clear" w:color="auto" w:fill="auto"/>
            <w:noWrap/>
            <w:vAlign w:val="bottom"/>
          </w:tcPr>
          <w:p w14:paraId="7F1BEC2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D40A734"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45B77E4"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2413455D" w14:textId="5C56A56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(0.597)</w:t>
            </w:r>
          </w:p>
        </w:tc>
        <w:tc>
          <w:tcPr>
            <w:tcW w:w="1148" w:type="dxa"/>
            <w:tcBorders>
              <w:top w:val="nil"/>
              <w:left w:val="nil"/>
              <w:bottom w:val="nil"/>
              <w:right w:val="nil"/>
            </w:tcBorders>
          </w:tcPr>
          <w:p w14:paraId="1258CAF8" w14:textId="3F38EC0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(0.639)</w:t>
            </w:r>
          </w:p>
        </w:tc>
        <w:tc>
          <w:tcPr>
            <w:tcW w:w="1304" w:type="dxa"/>
            <w:tcBorders>
              <w:top w:val="nil"/>
              <w:left w:val="nil"/>
              <w:bottom w:val="nil"/>
              <w:right w:val="nil"/>
            </w:tcBorders>
            <w:shd w:val="clear" w:color="auto" w:fill="auto"/>
            <w:noWrap/>
          </w:tcPr>
          <w:p w14:paraId="736F38D3" w14:textId="3FE8735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(0.640)</w:t>
            </w:r>
          </w:p>
        </w:tc>
      </w:tr>
      <w:tr w:rsidR="002847F0" w:rsidRPr="00F75D70" w14:paraId="1BBE2598" w14:textId="77777777" w:rsidTr="00826F7F">
        <w:trPr>
          <w:trHeight w:val="181"/>
        </w:trPr>
        <w:tc>
          <w:tcPr>
            <w:tcW w:w="3431" w:type="dxa"/>
            <w:tcBorders>
              <w:top w:val="nil"/>
              <w:left w:val="nil"/>
              <w:bottom w:val="nil"/>
              <w:right w:val="nil"/>
            </w:tcBorders>
            <w:shd w:val="clear" w:color="auto" w:fill="auto"/>
            <w:noWrap/>
            <w:vAlign w:val="bottom"/>
          </w:tcPr>
          <w:p w14:paraId="1D49065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To Potami</w:t>
            </w:r>
          </w:p>
        </w:tc>
        <w:tc>
          <w:tcPr>
            <w:tcW w:w="1304" w:type="dxa"/>
            <w:tcBorders>
              <w:top w:val="nil"/>
              <w:left w:val="single" w:sz="4" w:space="0" w:color="auto"/>
              <w:bottom w:val="nil"/>
              <w:right w:val="nil"/>
            </w:tcBorders>
            <w:shd w:val="clear" w:color="auto" w:fill="auto"/>
            <w:noWrap/>
          </w:tcPr>
          <w:p w14:paraId="1585573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76F3BAF"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41518197" w14:textId="0B51D46A"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0.143</w:t>
            </w:r>
          </w:p>
        </w:tc>
        <w:tc>
          <w:tcPr>
            <w:tcW w:w="1148" w:type="dxa"/>
            <w:tcBorders>
              <w:top w:val="nil"/>
              <w:left w:val="nil"/>
              <w:bottom w:val="nil"/>
              <w:right w:val="nil"/>
            </w:tcBorders>
          </w:tcPr>
          <w:p w14:paraId="6EE54F9A" w14:textId="29AFFEA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0.272</w:t>
            </w:r>
          </w:p>
        </w:tc>
        <w:tc>
          <w:tcPr>
            <w:tcW w:w="1304" w:type="dxa"/>
            <w:tcBorders>
              <w:top w:val="nil"/>
              <w:left w:val="nil"/>
              <w:bottom w:val="nil"/>
              <w:right w:val="nil"/>
            </w:tcBorders>
            <w:shd w:val="clear" w:color="auto" w:fill="auto"/>
            <w:noWrap/>
          </w:tcPr>
          <w:p w14:paraId="6E2BA74D" w14:textId="429D9D7C"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0.279</w:t>
            </w:r>
          </w:p>
        </w:tc>
      </w:tr>
      <w:tr w:rsidR="002847F0" w:rsidRPr="00F75D70" w14:paraId="2017FD74" w14:textId="77777777" w:rsidTr="00826F7F">
        <w:trPr>
          <w:trHeight w:val="181"/>
        </w:trPr>
        <w:tc>
          <w:tcPr>
            <w:tcW w:w="3431" w:type="dxa"/>
            <w:tcBorders>
              <w:top w:val="nil"/>
              <w:left w:val="nil"/>
              <w:bottom w:val="nil"/>
              <w:right w:val="nil"/>
            </w:tcBorders>
            <w:shd w:val="clear" w:color="auto" w:fill="auto"/>
            <w:noWrap/>
            <w:vAlign w:val="bottom"/>
          </w:tcPr>
          <w:p w14:paraId="68B4EBF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7FCE5CD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2ACBAD32"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62C026F6" w14:textId="6E60481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(0.496)</w:t>
            </w:r>
          </w:p>
        </w:tc>
        <w:tc>
          <w:tcPr>
            <w:tcW w:w="1148" w:type="dxa"/>
            <w:tcBorders>
              <w:top w:val="nil"/>
              <w:left w:val="nil"/>
              <w:bottom w:val="nil"/>
              <w:right w:val="nil"/>
            </w:tcBorders>
          </w:tcPr>
          <w:p w14:paraId="00A3965E" w14:textId="493AD94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(0.529)</w:t>
            </w:r>
          </w:p>
        </w:tc>
        <w:tc>
          <w:tcPr>
            <w:tcW w:w="1304" w:type="dxa"/>
            <w:tcBorders>
              <w:top w:val="nil"/>
              <w:left w:val="nil"/>
              <w:bottom w:val="nil"/>
              <w:right w:val="nil"/>
            </w:tcBorders>
            <w:shd w:val="clear" w:color="auto" w:fill="auto"/>
            <w:noWrap/>
          </w:tcPr>
          <w:p w14:paraId="1ECC5650" w14:textId="6C623B5E"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(0.527)</w:t>
            </w:r>
          </w:p>
        </w:tc>
      </w:tr>
      <w:tr w:rsidR="002847F0" w:rsidRPr="00F75D70" w14:paraId="4E99F657" w14:textId="77777777" w:rsidTr="00826F7F">
        <w:trPr>
          <w:trHeight w:val="181"/>
        </w:trPr>
        <w:tc>
          <w:tcPr>
            <w:tcW w:w="3431" w:type="dxa"/>
            <w:tcBorders>
              <w:top w:val="nil"/>
              <w:left w:val="nil"/>
              <w:bottom w:val="nil"/>
              <w:right w:val="nil"/>
            </w:tcBorders>
            <w:shd w:val="clear" w:color="auto" w:fill="auto"/>
            <w:noWrap/>
            <w:vAlign w:val="bottom"/>
          </w:tcPr>
          <w:p w14:paraId="5363079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Golden Dawn</w:t>
            </w:r>
          </w:p>
        </w:tc>
        <w:tc>
          <w:tcPr>
            <w:tcW w:w="1304" w:type="dxa"/>
            <w:tcBorders>
              <w:top w:val="nil"/>
              <w:left w:val="single" w:sz="4" w:space="0" w:color="auto"/>
              <w:bottom w:val="nil"/>
              <w:right w:val="nil"/>
            </w:tcBorders>
            <w:shd w:val="clear" w:color="auto" w:fill="auto"/>
            <w:noWrap/>
          </w:tcPr>
          <w:p w14:paraId="1926459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C498AD3"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5C5FA4FB" w14:textId="1A10400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3.253***</w:t>
            </w:r>
          </w:p>
        </w:tc>
        <w:tc>
          <w:tcPr>
            <w:tcW w:w="1148" w:type="dxa"/>
            <w:tcBorders>
              <w:top w:val="nil"/>
              <w:left w:val="nil"/>
              <w:bottom w:val="nil"/>
              <w:right w:val="nil"/>
            </w:tcBorders>
          </w:tcPr>
          <w:p w14:paraId="5C49136A" w14:textId="3C6F9D2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2.905***</w:t>
            </w:r>
          </w:p>
        </w:tc>
        <w:tc>
          <w:tcPr>
            <w:tcW w:w="1304" w:type="dxa"/>
            <w:tcBorders>
              <w:top w:val="nil"/>
              <w:left w:val="nil"/>
              <w:bottom w:val="nil"/>
              <w:right w:val="nil"/>
            </w:tcBorders>
            <w:shd w:val="clear" w:color="auto" w:fill="auto"/>
            <w:noWrap/>
          </w:tcPr>
          <w:p w14:paraId="7A7AA85D" w14:textId="33875C2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2.879***</w:t>
            </w:r>
          </w:p>
        </w:tc>
      </w:tr>
      <w:tr w:rsidR="002847F0" w:rsidRPr="00F75D70" w14:paraId="5B547C01" w14:textId="77777777" w:rsidTr="00826F7F">
        <w:trPr>
          <w:trHeight w:val="181"/>
        </w:trPr>
        <w:tc>
          <w:tcPr>
            <w:tcW w:w="3431" w:type="dxa"/>
            <w:tcBorders>
              <w:top w:val="nil"/>
              <w:left w:val="nil"/>
              <w:bottom w:val="nil"/>
              <w:right w:val="nil"/>
            </w:tcBorders>
            <w:shd w:val="clear" w:color="auto" w:fill="auto"/>
            <w:noWrap/>
            <w:vAlign w:val="bottom"/>
          </w:tcPr>
          <w:p w14:paraId="038C398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3586D1C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102B40F9"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66685D55" w14:textId="2F90BB8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(0.708)</w:t>
            </w:r>
          </w:p>
        </w:tc>
        <w:tc>
          <w:tcPr>
            <w:tcW w:w="1148" w:type="dxa"/>
            <w:tcBorders>
              <w:top w:val="nil"/>
              <w:left w:val="nil"/>
              <w:bottom w:val="nil"/>
              <w:right w:val="nil"/>
            </w:tcBorders>
          </w:tcPr>
          <w:p w14:paraId="4CD16DA7" w14:textId="11B2824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(0.759)</w:t>
            </w:r>
          </w:p>
        </w:tc>
        <w:tc>
          <w:tcPr>
            <w:tcW w:w="1304" w:type="dxa"/>
            <w:tcBorders>
              <w:top w:val="nil"/>
              <w:left w:val="nil"/>
              <w:bottom w:val="nil"/>
              <w:right w:val="nil"/>
            </w:tcBorders>
            <w:shd w:val="clear" w:color="auto" w:fill="auto"/>
            <w:noWrap/>
          </w:tcPr>
          <w:p w14:paraId="19688F77" w14:textId="07AEC1BF"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(0.779)</w:t>
            </w:r>
          </w:p>
        </w:tc>
      </w:tr>
      <w:tr w:rsidR="002847F0" w:rsidRPr="00F75D70" w14:paraId="6DC9E1F2" w14:textId="77777777" w:rsidTr="00826F7F">
        <w:trPr>
          <w:trHeight w:val="181"/>
        </w:trPr>
        <w:tc>
          <w:tcPr>
            <w:tcW w:w="3431" w:type="dxa"/>
            <w:tcBorders>
              <w:top w:val="nil"/>
              <w:left w:val="nil"/>
              <w:bottom w:val="nil"/>
              <w:right w:val="nil"/>
            </w:tcBorders>
            <w:shd w:val="clear" w:color="auto" w:fill="auto"/>
            <w:noWrap/>
            <w:vAlign w:val="bottom"/>
          </w:tcPr>
          <w:p w14:paraId="53261FE8"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Abstention</w:t>
            </w:r>
          </w:p>
        </w:tc>
        <w:tc>
          <w:tcPr>
            <w:tcW w:w="1304" w:type="dxa"/>
            <w:tcBorders>
              <w:top w:val="nil"/>
              <w:left w:val="single" w:sz="4" w:space="0" w:color="auto"/>
              <w:bottom w:val="nil"/>
              <w:right w:val="nil"/>
            </w:tcBorders>
            <w:shd w:val="clear" w:color="auto" w:fill="auto"/>
            <w:noWrap/>
          </w:tcPr>
          <w:p w14:paraId="78A2F68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1ED94EF3"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11B67DF2" w14:textId="26404C4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1.428***</w:t>
            </w:r>
          </w:p>
        </w:tc>
        <w:tc>
          <w:tcPr>
            <w:tcW w:w="1148" w:type="dxa"/>
            <w:tcBorders>
              <w:top w:val="nil"/>
              <w:left w:val="nil"/>
              <w:bottom w:val="nil"/>
              <w:right w:val="nil"/>
            </w:tcBorders>
          </w:tcPr>
          <w:p w14:paraId="210A7333" w14:textId="16BB845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1.358***</w:t>
            </w:r>
          </w:p>
        </w:tc>
        <w:tc>
          <w:tcPr>
            <w:tcW w:w="1304" w:type="dxa"/>
            <w:tcBorders>
              <w:top w:val="nil"/>
              <w:left w:val="nil"/>
              <w:bottom w:val="nil"/>
              <w:right w:val="nil"/>
            </w:tcBorders>
            <w:shd w:val="clear" w:color="auto" w:fill="auto"/>
            <w:noWrap/>
          </w:tcPr>
          <w:p w14:paraId="28F22D8A" w14:textId="6FCBFF5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1.217***</w:t>
            </w:r>
          </w:p>
        </w:tc>
      </w:tr>
      <w:tr w:rsidR="002847F0" w:rsidRPr="00F75D70" w14:paraId="00CC2EE5" w14:textId="77777777" w:rsidTr="00826F7F">
        <w:trPr>
          <w:trHeight w:val="181"/>
        </w:trPr>
        <w:tc>
          <w:tcPr>
            <w:tcW w:w="3431" w:type="dxa"/>
            <w:tcBorders>
              <w:top w:val="nil"/>
              <w:left w:val="nil"/>
              <w:bottom w:val="nil"/>
              <w:right w:val="nil"/>
            </w:tcBorders>
            <w:shd w:val="clear" w:color="auto" w:fill="auto"/>
            <w:noWrap/>
            <w:vAlign w:val="bottom"/>
          </w:tcPr>
          <w:p w14:paraId="74EDE07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4C86608"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6FF1B0B"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33BD628B" w14:textId="6CBCEB2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(0.361)</w:t>
            </w:r>
          </w:p>
        </w:tc>
        <w:tc>
          <w:tcPr>
            <w:tcW w:w="1148" w:type="dxa"/>
            <w:tcBorders>
              <w:top w:val="nil"/>
              <w:left w:val="nil"/>
              <w:bottom w:val="nil"/>
              <w:right w:val="nil"/>
            </w:tcBorders>
          </w:tcPr>
          <w:p w14:paraId="037A378E" w14:textId="5D13210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(0.381)</w:t>
            </w:r>
          </w:p>
        </w:tc>
        <w:tc>
          <w:tcPr>
            <w:tcW w:w="1304" w:type="dxa"/>
            <w:tcBorders>
              <w:top w:val="nil"/>
              <w:left w:val="nil"/>
              <w:bottom w:val="nil"/>
              <w:right w:val="nil"/>
            </w:tcBorders>
            <w:shd w:val="clear" w:color="auto" w:fill="auto"/>
            <w:noWrap/>
          </w:tcPr>
          <w:p w14:paraId="02B1F9E3" w14:textId="5B47A9B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(0.371)</w:t>
            </w:r>
          </w:p>
        </w:tc>
      </w:tr>
      <w:tr w:rsidR="002847F0" w:rsidRPr="00F75D70" w14:paraId="1113C8C3" w14:textId="77777777" w:rsidTr="00826F7F">
        <w:trPr>
          <w:trHeight w:val="181"/>
        </w:trPr>
        <w:tc>
          <w:tcPr>
            <w:tcW w:w="3431" w:type="dxa"/>
            <w:tcBorders>
              <w:top w:val="nil"/>
              <w:left w:val="nil"/>
              <w:bottom w:val="nil"/>
              <w:right w:val="nil"/>
            </w:tcBorders>
            <w:shd w:val="clear" w:color="auto" w:fill="auto"/>
            <w:noWrap/>
            <w:vAlign w:val="bottom"/>
          </w:tcPr>
          <w:p w14:paraId="342FA7DD"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Other Party</w:t>
            </w:r>
          </w:p>
        </w:tc>
        <w:tc>
          <w:tcPr>
            <w:tcW w:w="1304" w:type="dxa"/>
            <w:tcBorders>
              <w:top w:val="nil"/>
              <w:left w:val="single" w:sz="4" w:space="0" w:color="auto"/>
              <w:bottom w:val="nil"/>
              <w:right w:val="nil"/>
            </w:tcBorders>
            <w:shd w:val="clear" w:color="auto" w:fill="auto"/>
            <w:noWrap/>
          </w:tcPr>
          <w:p w14:paraId="23479B4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D1BC85F"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7DE2A5BC" w14:textId="06FA19E2"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1.621***</w:t>
            </w:r>
          </w:p>
        </w:tc>
        <w:tc>
          <w:tcPr>
            <w:tcW w:w="1148" w:type="dxa"/>
            <w:tcBorders>
              <w:top w:val="nil"/>
              <w:left w:val="nil"/>
              <w:bottom w:val="nil"/>
              <w:right w:val="nil"/>
            </w:tcBorders>
          </w:tcPr>
          <w:p w14:paraId="7AFD0ED9" w14:textId="2B3DE3B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1.389***</w:t>
            </w:r>
          </w:p>
        </w:tc>
        <w:tc>
          <w:tcPr>
            <w:tcW w:w="1304" w:type="dxa"/>
            <w:tcBorders>
              <w:top w:val="nil"/>
              <w:left w:val="nil"/>
              <w:bottom w:val="nil"/>
              <w:right w:val="nil"/>
            </w:tcBorders>
            <w:shd w:val="clear" w:color="auto" w:fill="auto"/>
            <w:noWrap/>
          </w:tcPr>
          <w:p w14:paraId="592F927E" w14:textId="16669BB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1.219***</w:t>
            </w:r>
          </w:p>
        </w:tc>
      </w:tr>
      <w:tr w:rsidR="002847F0" w:rsidRPr="00F75D70" w14:paraId="2535D576" w14:textId="77777777" w:rsidTr="00826F7F">
        <w:trPr>
          <w:trHeight w:val="181"/>
        </w:trPr>
        <w:tc>
          <w:tcPr>
            <w:tcW w:w="3431" w:type="dxa"/>
            <w:tcBorders>
              <w:top w:val="nil"/>
              <w:left w:val="nil"/>
              <w:bottom w:val="nil"/>
              <w:right w:val="nil"/>
            </w:tcBorders>
            <w:shd w:val="clear" w:color="auto" w:fill="auto"/>
            <w:noWrap/>
            <w:vAlign w:val="bottom"/>
          </w:tcPr>
          <w:p w14:paraId="3F09A44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6FEFFD8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4DEE82E"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567E2485" w14:textId="56AB845F"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r w:rsidRPr="002847F0">
              <w:rPr>
                <w:rFonts w:ascii="Times New Roman" w:hAnsi="Times New Roman" w:cs="Times New Roman"/>
                <w:sz w:val="20"/>
                <w:szCs w:val="20"/>
                <w:lang w:val="es-ES"/>
              </w:rPr>
              <w:t>(0.329)</w:t>
            </w:r>
          </w:p>
        </w:tc>
        <w:tc>
          <w:tcPr>
            <w:tcW w:w="1148" w:type="dxa"/>
            <w:tcBorders>
              <w:top w:val="nil"/>
              <w:left w:val="nil"/>
              <w:bottom w:val="nil"/>
              <w:right w:val="nil"/>
            </w:tcBorders>
          </w:tcPr>
          <w:p w14:paraId="404BED2A" w14:textId="21E6B549"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(0.356)</w:t>
            </w:r>
          </w:p>
        </w:tc>
        <w:tc>
          <w:tcPr>
            <w:tcW w:w="1304" w:type="dxa"/>
            <w:tcBorders>
              <w:top w:val="nil"/>
              <w:left w:val="nil"/>
              <w:bottom w:val="nil"/>
              <w:right w:val="nil"/>
            </w:tcBorders>
            <w:shd w:val="clear" w:color="auto" w:fill="auto"/>
            <w:noWrap/>
          </w:tcPr>
          <w:p w14:paraId="3BD63ED9" w14:textId="7227D7A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(0.338)</w:t>
            </w:r>
          </w:p>
        </w:tc>
      </w:tr>
      <w:tr w:rsidR="002847F0" w:rsidRPr="00F75D70" w14:paraId="6581C3FE" w14:textId="77777777" w:rsidTr="00826F7F">
        <w:trPr>
          <w:trHeight w:val="181"/>
        </w:trPr>
        <w:tc>
          <w:tcPr>
            <w:tcW w:w="3431" w:type="dxa"/>
            <w:tcBorders>
              <w:top w:val="nil"/>
              <w:left w:val="nil"/>
              <w:bottom w:val="nil"/>
              <w:right w:val="nil"/>
            </w:tcBorders>
            <w:shd w:val="clear" w:color="auto" w:fill="auto"/>
            <w:noWrap/>
            <w:vAlign w:val="bottom"/>
          </w:tcPr>
          <w:p w14:paraId="1D4AE66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Preference: leave euro</w:t>
            </w:r>
          </w:p>
        </w:tc>
        <w:tc>
          <w:tcPr>
            <w:tcW w:w="1304" w:type="dxa"/>
            <w:tcBorders>
              <w:top w:val="nil"/>
              <w:left w:val="single" w:sz="4" w:space="0" w:color="auto"/>
              <w:bottom w:val="nil"/>
              <w:right w:val="nil"/>
            </w:tcBorders>
            <w:shd w:val="clear" w:color="auto" w:fill="auto"/>
            <w:noWrap/>
          </w:tcPr>
          <w:p w14:paraId="5D761C1D"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172179CD"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7A4A6B36"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13FFEA3C" w14:textId="0BD7B3F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2.036***</w:t>
            </w:r>
          </w:p>
        </w:tc>
        <w:tc>
          <w:tcPr>
            <w:tcW w:w="1304" w:type="dxa"/>
            <w:tcBorders>
              <w:top w:val="nil"/>
              <w:left w:val="nil"/>
              <w:bottom w:val="nil"/>
              <w:right w:val="nil"/>
            </w:tcBorders>
            <w:shd w:val="clear" w:color="auto" w:fill="auto"/>
            <w:noWrap/>
          </w:tcPr>
          <w:p w14:paraId="5BC9BDC3"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r>
      <w:tr w:rsidR="002847F0" w:rsidRPr="00F75D70" w14:paraId="53D812ED" w14:textId="77777777" w:rsidTr="00826F7F">
        <w:trPr>
          <w:trHeight w:val="181"/>
        </w:trPr>
        <w:tc>
          <w:tcPr>
            <w:tcW w:w="3431" w:type="dxa"/>
            <w:tcBorders>
              <w:top w:val="nil"/>
              <w:left w:val="nil"/>
              <w:bottom w:val="nil"/>
              <w:right w:val="nil"/>
            </w:tcBorders>
            <w:shd w:val="clear" w:color="auto" w:fill="auto"/>
            <w:noWrap/>
            <w:vAlign w:val="bottom"/>
          </w:tcPr>
          <w:p w14:paraId="3E48E587"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0D9A485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2D69C8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2E3EEBB6"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3EE57FDB" w14:textId="6D426B7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(0.599)</w:t>
            </w:r>
          </w:p>
        </w:tc>
        <w:tc>
          <w:tcPr>
            <w:tcW w:w="1304" w:type="dxa"/>
            <w:tcBorders>
              <w:top w:val="nil"/>
              <w:left w:val="nil"/>
              <w:bottom w:val="nil"/>
              <w:right w:val="nil"/>
            </w:tcBorders>
            <w:shd w:val="clear" w:color="auto" w:fill="auto"/>
            <w:noWrap/>
          </w:tcPr>
          <w:p w14:paraId="0566CD2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r>
      <w:tr w:rsidR="002847F0" w:rsidRPr="00F75D70" w14:paraId="15BC006B" w14:textId="77777777" w:rsidTr="00826F7F">
        <w:trPr>
          <w:trHeight w:val="181"/>
        </w:trPr>
        <w:tc>
          <w:tcPr>
            <w:tcW w:w="3431" w:type="dxa"/>
            <w:tcBorders>
              <w:top w:val="nil"/>
              <w:left w:val="nil"/>
              <w:bottom w:val="nil"/>
              <w:right w:val="nil"/>
            </w:tcBorders>
            <w:shd w:val="clear" w:color="auto" w:fill="auto"/>
            <w:noWrap/>
            <w:vAlign w:val="bottom"/>
          </w:tcPr>
          <w:p w14:paraId="235AE0D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Preference: stay euro</w:t>
            </w:r>
          </w:p>
        </w:tc>
        <w:tc>
          <w:tcPr>
            <w:tcW w:w="1304" w:type="dxa"/>
            <w:tcBorders>
              <w:top w:val="nil"/>
              <w:left w:val="single" w:sz="4" w:space="0" w:color="auto"/>
              <w:bottom w:val="nil"/>
              <w:right w:val="nil"/>
            </w:tcBorders>
            <w:shd w:val="clear" w:color="auto" w:fill="auto"/>
            <w:noWrap/>
          </w:tcPr>
          <w:p w14:paraId="706FA02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055F8CB4"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3DA5802D"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11330D53" w14:textId="34EDA034"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-0.662**</w:t>
            </w:r>
          </w:p>
        </w:tc>
        <w:tc>
          <w:tcPr>
            <w:tcW w:w="1304" w:type="dxa"/>
            <w:tcBorders>
              <w:top w:val="nil"/>
              <w:left w:val="nil"/>
              <w:bottom w:val="nil"/>
              <w:right w:val="nil"/>
            </w:tcBorders>
            <w:shd w:val="clear" w:color="auto" w:fill="auto"/>
            <w:noWrap/>
          </w:tcPr>
          <w:p w14:paraId="6E92EDDC" w14:textId="5E573B41"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-1.856***</w:t>
            </w:r>
          </w:p>
        </w:tc>
      </w:tr>
      <w:tr w:rsidR="002847F0" w:rsidRPr="00F75D70" w14:paraId="7901B30C" w14:textId="77777777" w:rsidTr="00826F7F">
        <w:trPr>
          <w:trHeight w:val="181"/>
        </w:trPr>
        <w:tc>
          <w:tcPr>
            <w:tcW w:w="3431" w:type="dxa"/>
            <w:tcBorders>
              <w:top w:val="nil"/>
              <w:left w:val="nil"/>
              <w:bottom w:val="nil"/>
              <w:right w:val="nil"/>
            </w:tcBorders>
            <w:shd w:val="clear" w:color="auto" w:fill="auto"/>
            <w:noWrap/>
            <w:vAlign w:val="bottom"/>
          </w:tcPr>
          <w:p w14:paraId="6868C72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16AC616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6E20B40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77A68E89"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n-US"/>
              </w:rPr>
            </w:pPr>
          </w:p>
        </w:tc>
        <w:tc>
          <w:tcPr>
            <w:tcW w:w="1148" w:type="dxa"/>
            <w:tcBorders>
              <w:top w:val="nil"/>
              <w:left w:val="nil"/>
              <w:bottom w:val="nil"/>
              <w:right w:val="nil"/>
            </w:tcBorders>
          </w:tcPr>
          <w:p w14:paraId="4BB7077E" w14:textId="4AB542B8"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(0.327)</w:t>
            </w:r>
          </w:p>
        </w:tc>
        <w:tc>
          <w:tcPr>
            <w:tcW w:w="1304" w:type="dxa"/>
            <w:tcBorders>
              <w:top w:val="nil"/>
              <w:left w:val="nil"/>
              <w:bottom w:val="nil"/>
              <w:right w:val="nil"/>
            </w:tcBorders>
            <w:shd w:val="clear" w:color="auto" w:fill="auto"/>
            <w:noWrap/>
          </w:tcPr>
          <w:p w14:paraId="47A75200" w14:textId="2F6ACA73"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(0.616)</w:t>
            </w:r>
          </w:p>
        </w:tc>
      </w:tr>
      <w:tr w:rsidR="002847F0" w:rsidRPr="00F75D70" w14:paraId="70F65969" w14:textId="77777777" w:rsidTr="00826F7F">
        <w:trPr>
          <w:trHeight w:val="181"/>
        </w:trPr>
        <w:tc>
          <w:tcPr>
            <w:tcW w:w="3431" w:type="dxa"/>
            <w:tcBorders>
              <w:top w:val="nil"/>
              <w:left w:val="nil"/>
              <w:bottom w:val="nil"/>
              <w:right w:val="nil"/>
            </w:tcBorders>
            <w:shd w:val="clear" w:color="auto" w:fill="auto"/>
            <w:noWrap/>
            <w:vAlign w:val="bottom"/>
          </w:tcPr>
          <w:p w14:paraId="513EC68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Preference: stay euro * Expectation: Grexit </w:t>
            </w:r>
          </w:p>
        </w:tc>
        <w:tc>
          <w:tcPr>
            <w:tcW w:w="1304" w:type="dxa"/>
            <w:tcBorders>
              <w:top w:val="nil"/>
              <w:left w:val="single" w:sz="4" w:space="0" w:color="auto"/>
              <w:bottom w:val="nil"/>
              <w:right w:val="nil"/>
            </w:tcBorders>
            <w:shd w:val="clear" w:color="auto" w:fill="auto"/>
            <w:noWrap/>
          </w:tcPr>
          <w:p w14:paraId="7052E38F"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6F0DFD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51C7C40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77B7E54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c>
          <w:tcPr>
            <w:tcW w:w="1304" w:type="dxa"/>
            <w:tcBorders>
              <w:top w:val="nil"/>
              <w:left w:val="nil"/>
              <w:bottom w:val="nil"/>
              <w:right w:val="nil"/>
            </w:tcBorders>
            <w:shd w:val="clear" w:color="auto" w:fill="auto"/>
            <w:noWrap/>
          </w:tcPr>
          <w:p w14:paraId="64E2EEF7" w14:textId="30004A0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-1.231</w:t>
            </w:r>
          </w:p>
        </w:tc>
      </w:tr>
      <w:tr w:rsidR="002847F0" w:rsidRPr="00F75D70" w14:paraId="2BB5C663" w14:textId="77777777" w:rsidTr="00826F7F">
        <w:trPr>
          <w:trHeight w:val="181"/>
        </w:trPr>
        <w:tc>
          <w:tcPr>
            <w:tcW w:w="3431" w:type="dxa"/>
            <w:tcBorders>
              <w:top w:val="nil"/>
              <w:left w:val="nil"/>
              <w:bottom w:val="nil"/>
              <w:right w:val="nil"/>
            </w:tcBorders>
            <w:shd w:val="clear" w:color="auto" w:fill="auto"/>
            <w:noWrap/>
            <w:vAlign w:val="bottom"/>
          </w:tcPr>
          <w:p w14:paraId="35D10FA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305137FB"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36DD5D4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654FE5A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452AEDDF"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c>
          <w:tcPr>
            <w:tcW w:w="1304" w:type="dxa"/>
            <w:tcBorders>
              <w:top w:val="nil"/>
              <w:left w:val="nil"/>
              <w:bottom w:val="nil"/>
              <w:right w:val="nil"/>
            </w:tcBorders>
            <w:shd w:val="clear" w:color="auto" w:fill="auto"/>
            <w:noWrap/>
          </w:tcPr>
          <w:p w14:paraId="1AF45D8E" w14:textId="3DBDC676"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(0.955)</w:t>
            </w:r>
          </w:p>
        </w:tc>
      </w:tr>
      <w:tr w:rsidR="002847F0" w:rsidRPr="009C2EB3" w14:paraId="12CCF71E" w14:textId="77777777" w:rsidTr="00826F7F">
        <w:trPr>
          <w:trHeight w:val="181"/>
        </w:trPr>
        <w:tc>
          <w:tcPr>
            <w:tcW w:w="3431" w:type="dxa"/>
            <w:tcBorders>
              <w:top w:val="nil"/>
              <w:left w:val="nil"/>
              <w:bottom w:val="nil"/>
              <w:right w:val="nil"/>
            </w:tcBorders>
            <w:shd w:val="clear" w:color="auto" w:fill="auto"/>
            <w:noWrap/>
            <w:vAlign w:val="bottom"/>
          </w:tcPr>
          <w:p w14:paraId="77888779"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 xml:space="preserve">Preference: stay euro * Expectation:More Negotiations </w:t>
            </w:r>
          </w:p>
        </w:tc>
        <w:tc>
          <w:tcPr>
            <w:tcW w:w="1304" w:type="dxa"/>
            <w:tcBorders>
              <w:top w:val="nil"/>
              <w:left w:val="single" w:sz="4" w:space="0" w:color="auto"/>
              <w:bottom w:val="nil"/>
              <w:right w:val="nil"/>
            </w:tcBorders>
            <w:shd w:val="clear" w:color="auto" w:fill="auto"/>
            <w:noWrap/>
          </w:tcPr>
          <w:p w14:paraId="4BC2200C"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154463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4915E433"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67E05211"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c>
          <w:tcPr>
            <w:tcW w:w="1304" w:type="dxa"/>
            <w:tcBorders>
              <w:top w:val="nil"/>
              <w:left w:val="nil"/>
              <w:bottom w:val="nil"/>
              <w:right w:val="nil"/>
            </w:tcBorders>
            <w:shd w:val="clear" w:color="auto" w:fill="auto"/>
            <w:noWrap/>
          </w:tcPr>
          <w:p w14:paraId="23B93257" w14:textId="4AD4C3FD"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0.921</w:t>
            </w:r>
          </w:p>
        </w:tc>
      </w:tr>
      <w:tr w:rsidR="002847F0" w:rsidRPr="009C2EB3" w14:paraId="34EF9490" w14:textId="77777777" w:rsidTr="00826F7F">
        <w:trPr>
          <w:trHeight w:val="181"/>
        </w:trPr>
        <w:tc>
          <w:tcPr>
            <w:tcW w:w="3431" w:type="dxa"/>
            <w:tcBorders>
              <w:top w:val="nil"/>
              <w:left w:val="nil"/>
              <w:bottom w:val="nil"/>
              <w:right w:val="nil"/>
            </w:tcBorders>
            <w:shd w:val="clear" w:color="auto" w:fill="auto"/>
            <w:noWrap/>
            <w:vAlign w:val="bottom"/>
          </w:tcPr>
          <w:p w14:paraId="5C3106A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nil"/>
              <w:right w:val="nil"/>
            </w:tcBorders>
            <w:shd w:val="clear" w:color="auto" w:fill="auto"/>
            <w:noWrap/>
          </w:tcPr>
          <w:p w14:paraId="5FD801F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nil"/>
              <w:right w:val="nil"/>
            </w:tcBorders>
            <w:shd w:val="clear" w:color="auto" w:fill="auto"/>
            <w:noWrap/>
          </w:tcPr>
          <w:p w14:paraId="7CD03266"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5A2A72CE"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nil"/>
              <w:right w:val="nil"/>
            </w:tcBorders>
          </w:tcPr>
          <w:p w14:paraId="29833D80" w14:textId="77777777"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p>
        </w:tc>
        <w:tc>
          <w:tcPr>
            <w:tcW w:w="1304" w:type="dxa"/>
            <w:tcBorders>
              <w:top w:val="nil"/>
              <w:left w:val="nil"/>
              <w:bottom w:val="nil"/>
              <w:right w:val="nil"/>
            </w:tcBorders>
            <w:shd w:val="clear" w:color="auto" w:fill="auto"/>
            <w:noWrap/>
          </w:tcPr>
          <w:p w14:paraId="2ADB2A39" w14:textId="57F524E5" w:rsidR="002847F0" w:rsidRPr="002847F0" w:rsidRDefault="002847F0" w:rsidP="00113EF8">
            <w:pPr>
              <w:widowControl w:val="0"/>
              <w:autoSpaceDE w:val="0"/>
              <w:autoSpaceDN w:val="0"/>
              <w:adjustRightInd w:val="0"/>
              <w:jc w:val="center"/>
              <w:rPr>
                <w:rFonts w:ascii="Times New Roman" w:hAnsi="Times New Roman" w:cs="Times New Roman"/>
                <w:sz w:val="20"/>
                <w:szCs w:val="20"/>
                <w:lang w:val="es-ES"/>
              </w:rPr>
            </w:pPr>
            <w:r w:rsidRPr="002847F0">
              <w:rPr>
                <w:rFonts w:ascii="Times New Roman" w:hAnsi="Times New Roman" w:cs="Times New Roman"/>
                <w:sz w:val="20"/>
                <w:szCs w:val="20"/>
                <w:lang w:val="es-ES"/>
              </w:rPr>
              <w:t>(0.679)</w:t>
            </w:r>
          </w:p>
        </w:tc>
      </w:tr>
      <w:tr w:rsidR="002847F0" w:rsidRPr="00F75D70" w14:paraId="5E275B7E" w14:textId="77777777" w:rsidTr="00826F7F">
        <w:trPr>
          <w:trHeight w:val="181"/>
        </w:trPr>
        <w:tc>
          <w:tcPr>
            <w:tcW w:w="3431" w:type="dxa"/>
            <w:tcBorders>
              <w:top w:val="nil"/>
              <w:left w:val="nil"/>
              <w:bottom w:val="single" w:sz="6" w:space="0" w:color="auto"/>
              <w:right w:val="nil"/>
            </w:tcBorders>
            <w:shd w:val="clear" w:color="auto" w:fill="auto"/>
            <w:noWrap/>
            <w:vAlign w:val="bottom"/>
          </w:tcPr>
          <w:p w14:paraId="07AA8B15"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single" w:sz="4" w:space="0" w:color="auto"/>
              <w:bottom w:val="single" w:sz="6" w:space="0" w:color="auto"/>
              <w:right w:val="nil"/>
            </w:tcBorders>
            <w:shd w:val="clear" w:color="auto" w:fill="auto"/>
            <w:noWrap/>
          </w:tcPr>
          <w:p w14:paraId="34A64ED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single" w:sz="6" w:space="0" w:color="auto"/>
              <w:right w:val="nil"/>
            </w:tcBorders>
            <w:shd w:val="clear" w:color="auto" w:fill="auto"/>
            <w:noWrap/>
          </w:tcPr>
          <w:p w14:paraId="6B2A6584"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single" w:sz="6" w:space="0" w:color="auto"/>
              <w:right w:val="nil"/>
            </w:tcBorders>
          </w:tcPr>
          <w:p w14:paraId="54855EA1"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148" w:type="dxa"/>
            <w:tcBorders>
              <w:top w:val="nil"/>
              <w:left w:val="nil"/>
              <w:bottom w:val="single" w:sz="6" w:space="0" w:color="auto"/>
              <w:right w:val="nil"/>
            </w:tcBorders>
          </w:tcPr>
          <w:p w14:paraId="1B8C3310"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c>
          <w:tcPr>
            <w:tcW w:w="1304" w:type="dxa"/>
            <w:tcBorders>
              <w:top w:val="nil"/>
              <w:left w:val="nil"/>
              <w:bottom w:val="single" w:sz="6" w:space="0" w:color="auto"/>
              <w:right w:val="nil"/>
            </w:tcBorders>
            <w:shd w:val="clear" w:color="auto" w:fill="auto"/>
            <w:noWrap/>
          </w:tcPr>
          <w:p w14:paraId="6C8FA7DB"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p>
        </w:tc>
      </w:tr>
      <w:tr w:rsidR="002847F0" w:rsidRPr="00F75D70" w14:paraId="2B126CB3" w14:textId="77777777" w:rsidTr="00826F7F">
        <w:trPr>
          <w:trHeight w:val="102"/>
        </w:trPr>
        <w:tc>
          <w:tcPr>
            <w:tcW w:w="3431" w:type="dxa"/>
            <w:tcBorders>
              <w:top w:val="single" w:sz="6" w:space="0" w:color="auto"/>
              <w:left w:val="nil"/>
              <w:bottom w:val="single" w:sz="6" w:space="0" w:color="auto"/>
              <w:right w:val="single" w:sz="6" w:space="0" w:color="auto"/>
            </w:tcBorders>
            <w:shd w:val="clear" w:color="auto" w:fill="auto"/>
            <w:noWrap/>
            <w:vAlign w:val="bottom"/>
          </w:tcPr>
          <w:p w14:paraId="26EDD002" w14:textId="77777777"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eastAsia="Times New Roman" w:hAnsi="Times New Roman" w:cs="Times New Roman"/>
                <w:color w:val="000000"/>
                <w:sz w:val="20"/>
                <w:szCs w:val="20"/>
                <w:lang w:val="en-US" w:eastAsia="es-ES"/>
              </w:rPr>
              <w:t>Observations</w:t>
            </w:r>
          </w:p>
        </w:tc>
        <w:tc>
          <w:tcPr>
            <w:tcW w:w="1304" w:type="dxa"/>
            <w:tcBorders>
              <w:top w:val="single" w:sz="6" w:space="0" w:color="auto"/>
              <w:left w:val="single" w:sz="6" w:space="0" w:color="auto"/>
              <w:bottom w:val="single" w:sz="6" w:space="0" w:color="auto"/>
            </w:tcBorders>
            <w:shd w:val="clear" w:color="auto" w:fill="auto"/>
            <w:noWrap/>
          </w:tcPr>
          <w:p w14:paraId="0C51B166" w14:textId="63F03872"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hAnsi="Times New Roman" w:cs="Times New Roman"/>
                <w:sz w:val="20"/>
                <w:szCs w:val="20"/>
                <w:lang w:val="es-ES"/>
              </w:rPr>
              <w:t>989</w:t>
            </w:r>
          </w:p>
        </w:tc>
        <w:tc>
          <w:tcPr>
            <w:tcW w:w="1304" w:type="dxa"/>
            <w:tcBorders>
              <w:top w:val="single" w:sz="6" w:space="0" w:color="auto"/>
              <w:bottom w:val="single" w:sz="6" w:space="0" w:color="auto"/>
            </w:tcBorders>
            <w:shd w:val="clear" w:color="auto" w:fill="auto"/>
            <w:noWrap/>
          </w:tcPr>
          <w:p w14:paraId="350F5346" w14:textId="01D13E5B"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hAnsi="Times New Roman" w:cs="Times New Roman"/>
                <w:sz w:val="20"/>
                <w:szCs w:val="20"/>
                <w:lang w:val="es-ES"/>
              </w:rPr>
              <w:t>984</w:t>
            </w:r>
          </w:p>
        </w:tc>
        <w:tc>
          <w:tcPr>
            <w:tcW w:w="1148" w:type="dxa"/>
            <w:tcBorders>
              <w:top w:val="single" w:sz="6" w:space="0" w:color="auto"/>
              <w:bottom w:val="single" w:sz="6" w:space="0" w:color="auto"/>
            </w:tcBorders>
          </w:tcPr>
          <w:p w14:paraId="27FA6744" w14:textId="054A13AC"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hAnsi="Times New Roman" w:cs="Times New Roman"/>
                <w:sz w:val="20"/>
                <w:szCs w:val="20"/>
                <w:lang w:val="es-ES"/>
              </w:rPr>
              <w:t>984</w:t>
            </w:r>
          </w:p>
        </w:tc>
        <w:tc>
          <w:tcPr>
            <w:tcW w:w="1148" w:type="dxa"/>
            <w:tcBorders>
              <w:top w:val="single" w:sz="6" w:space="0" w:color="auto"/>
              <w:bottom w:val="single" w:sz="6" w:space="0" w:color="auto"/>
            </w:tcBorders>
          </w:tcPr>
          <w:p w14:paraId="4C587671" w14:textId="34A49445"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hAnsi="Times New Roman" w:cs="Times New Roman"/>
                <w:sz w:val="20"/>
                <w:szCs w:val="20"/>
                <w:lang w:val="es-ES"/>
              </w:rPr>
              <w:t>984</w:t>
            </w:r>
          </w:p>
        </w:tc>
        <w:tc>
          <w:tcPr>
            <w:tcW w:w="1304" w:type="dxa"/>
            <w:tcBorders>
              <w:top w:val="single" w:sz="6" w:space="0" w:color="auto"/>
              <w:bottom w:val="single" w:sz="6" w:space="0" w:color="auto"/>
              <w:right w:val="nil"/>
            </w:tcBorders>
            <w:shd w:val="clear" w:color="auto" w:fill="auto"/>
            <w:noWrap/>
          </w:tcPr>
          <w:p w14:paraId="78C4A59D" w14:textId="24CB2A61" w:rsidR="002847F0" w:rsidRPr="002847F0" w:rsidRDefault="002847F0" w:rsidP="00113EF8">
            <w:pPr>
              <w:jc w:val="center"/>
              <w:rPr>
                <w:rFonts w:ascii="Times New Roman" w:eastAsia="Times New Roman" w:hAnsi="Times New Roman" w:cs="Times New Roman"/>
                <w:color w:val="000000"/>
                <w:sz w:val="20"/>
                <w:szCs w:val="20"/>
                <w:lang w:val="en-US" w:eastAsia="es-ES"/>
              </w:rPr>
            </w:pPr>
            <w:r w:rsidRPr="002847F0">
              <w:rPr>
                <w:rFonts w:ascii="Times New Roman" w:hAnsi="Times New Roman" w:cs="Times New Roman"/>
                <w:sz w:val="20"/>
                <w:szCs w:val="20"/>
                <w:lang w:val="es-ES"/>
              </w:rPr>
              <w:t>984</w:t>
            </w:r>
          </w:p>
        </w:tc>
      </w:tr>
    </w:tbl>
    <w:p w14:paraId="7CE0E1D2" w14:textId="77777777" w:rsidR="002D46F5" w:rsidRPr="00044CAE" w:rsidRDefault="002D46F5" w:rsidP="002D46F5">
      <w:pPr>
        <w:widowControl w:val="0"/>
        <w:autoSpaceDE w:val="0"/>
        <w:autoSpaceDN w:val="0"/>
        <w:adjustRightInd w:val="0"/>
        <w:rPr>
          <w:rFonts w:ascii="Times New Roman" w:hAnsi="Times New Roman" w:cs="Times New Roman"/>
          <w:sz w:val="22"/>
          <w:szCs w:val="22"/>
          <w:lang w:val="en-US"/>
        </w:rPr>
      </w:pPr>
      <w:r w:rsidRPr="00044CAE">
        <w:rPr>
          <w:rFonts w:ascii="Times New Roman" w:hAnsi="Times New Roman" w:cs="Times New Roman"/>
          <w:b/>
          <w:sz w:val="22"/>
          <w:szCs w:val="22"/>
          <w:lang w:val="en-US"/>
        </w:rPr>
        <w:t>Standard errors in parentheses *** p&lt;0.01, ** p&lt;0.05, * p&lt;0.1. Constant not shown</w:t>
      </w:r>
    </w:p>
    <w:p w14:paraId="5A442A7A" w14:textId="77777777" w:rsidR="002D46F5" w:rsidRDefault="002D46F5" w:rsidP="002D46F5">
      <w:pPr>
        <w:widowControl w:val="0"/>
        <w:autoSpaceDE w:val="0"/>
        <w:autoSpaceDN w:val="0"/>
        <w:adjustRightInd w:val="0"/>
        <w:rPr>
          <w:rFonts w:ascii="Times New Roman" w:hAnsi="Times New Roman" w:cs="Times New Roman"/>
          <w:lang w:val="en-US"/>
        </w:rPr>
      </w:pPr>
    </w:p>
    <w:p w14:paraId="6B16E6BD" w14:textId="77777777" w:rsidR="00A35E7D" w:rsidRPr="008F79E2" w:rsidRDefault="00A35E7D" w:rsidP="002D46F5">
      <w:pPr>
        <w:widowControl w:val="0"/>
        <w:autoSpaceDE w:val="0"/>
        <w:autoSpaceDN w:val="0"/>
        <w:adjustRightInd w:val="0"/>
        <w:rPr>
          <w:rFonts w:ascii="Times New Roman" w:hAnsi="Times New Roman" w:cs="Times New Roman"/>
          <w:lang w:val="en-US"/>
        </w:rPr>
      </w:pPr>
    </w:p>
    <w:p w14:paraId="76AE85AD" w14:textId="0E772AC3" w:rsidR="002D46F5" w:rsidRDefault="002D46F5" w:rsidP="002D46F5">
      <w:pPr>
        <w:pStyle w:val="Prrafodelista"/>
        <w:numPr>
          <w:ilvl w:val="0"/>
          <w:numId w:val="8"/>
        </w:numPr>
        <w:jc w:val="both"/>
        <w:rPr>
          <w:rFonts w:ascii="Times New Roman" w:hAnsi="Times New Roman" w:cs="Times New Roman"/>
          <w:b/>
          <w:szCs w:val="20"/>
          <w:lang w:val="en-US"/>
        </w:rPr>
      </w:pPr>
      <w:r w:rsidRPr="00C91291">
        <w:rPr>
          <w:rFonts w:ascii="Times New Roman" w:hAnsi="Times New Roman" w:cs="Times New Roman"/>
          <w:b/>
          <w:szCs w:val="20"/>
          <w:lang w:val="en-US"/>
        </w:rPr>
        <w:t xml:space="preserve">Effect of bank </w:t>
      </w:r>
      <w:r>
        <w:rPr>
          <w:rFonts w:ascii="Times New Roman" w:hAnsi="Times New Roman" w:cs="Times New Roman"/>
          <w:b/>
          <w:szCs w:val="20"/>
          <w:lang w:val="en-US"/>
        </w:rPr>
        <w:t xml:space="preserve">shutdown </w:t>
      </w:r>
      <w:r w:rsidRPr="00C91291">
        <w:rPr>
          <w:rFonts w:ascii="Times New Roman" w:hAnsi="Times New Roman" w:cs="Times New Roman"/>
          <w:b/>
          <w:szCs w:val="20"/>
          <w:lang w:val="en-US"/>
        </w:rPr>
        <w:t>on expectations</w:t>
      </w:r>
    </w:p>
    <w:p w14:paraId="0CB03C41" w14:textId="77777777" w:rsidR="002D46F5" w:rsidRPr="002D46F5" w:rsidRDefault="002D46F5" w:rsidP="002D46F5">
      <w:pPr>
        <w:pStyle w:val="Prrafodelista"/>
        <w:jc w:val="both"/>
        <w:rPr>
          <w:rFonts w:ascii="Times New Roman" w:hAnsi="Times New Roman" w:cs="Times New Roman"/>
          <w:b/>
          <w:szCs w:val="20"/>
          <w:lang w:val="en-US"/>
        </w:rPr>
      </w:pPr>
    </w:p>
    <w:p w14:paraId="041E6776" w14:textId="0F7E2DC5" w:rsidR="002D46F5" w:rsidRPr="00485E94" w:rsidRDefault="002D46F5" w:rsidP="002D46F5">
      <w:pPr>
        <w:jc w:val="both"/>
        <w:rPr>
          <w:rFonts w:ascii="Times New Roman" w:hAnsi="Times New Roman" w:cs="Times New Roman"/>
          <w:b/>
          <w:sz w:val="20"/>
          <w:szCs w:val="20"/>
          <w:lang w:val="en-US"/>
        </w:rPr>
      </w:pPr>
      <w:r w:rsidRPr="00D16900">
        <w:rPr>
          <w:rFonts w:ascii="Times New Roman" w:hAnsi="Times New Roman" w:cs="Times New Roman"/>
          <w:b/>
          <w:szCs w:val="20"/>
          <w:lang w:val="en-US"/>
        </w:rPr>
        <w:t>Table A.</w:t>
      </w:r>
      <w:r>
        <w:rPr>
          <w:rFonts w:ascii="Times New Roman" w:hAnsi="Times New Roman" w:cs="Times New Roman"/>
          <w:b/>
          <w:szCs w:val="20"/>
          <w:lang w:val="en-US"/>
        </w:rPr>
        <w:t>3</w:t>
      </w:r>
      <w:r w:rsidRPr="00D16900">
        <w:rPr>
          <w:rFonts w:ascii="Times New Roman" w:hAnsi="Times New Roman" w:cs="Times New Roman"/>
          <w:b/>
          <w:szCs w:val="20"/>
          <w:lang w:val="en-US"/>
        </w:rPr>
        <w:t xml:space="preserve">: Effect of bank </w:t>
      </w:r>
      <w:r>
        <w:rPr>
          <w:rFonts w:ascii="Times New Roman" w:hAnsi="Times New Roman" w:cs="Times New Roman"/>
          <w:b/>
          <w:szCs w:val="20"/>
          <w:lang w:val="en-US"/>
        </w:rPr>
        <w:t>shutdown</w:t>
      </w:r>
      <w:r w:rsidRPr="00D16900">
        <w:rPr>
          <w:rFonts w:ascii="Times New Roman" w:hAnsi="Times New Roman" w:cs="Times New Roman"/>
          <w:b/>
          <w:szCs w:val="20"/>
          <w:lang w:val="en-US"/>
        </w:rPr>
        <w:t xml:space="preserve"> on expectations. Multinomial Logit (Expectations Reference Category: DK/DA)</w:t>
      </w:r>
    </w:p>
    <w:tbl>
      <w:tblPr>
        <w:tblW w:w="11163" w:type="dxa"/>
        <w:jc w:val="center"/>
        <w:tblLayout w:type="fixed"/>
        <w:tblCellMar>
          <w:left w:w="75" w:type="dxa"/>
          <w:right w:w="75" w:type="dxa"/>
        </w:tblCellMar>
        <w:tblLook w:val="0000" w:firstRow="0" w:lastRow="0" w:firstColumn="0" w:lastColumn="0" w:noHBand="0" w:noVBand="0"/>
      </w:tblPr>
      <w:tblGrid>
        <w:gridCol w:w="2667"/>
        <w:gridCol w:w="1296"/>
        <w:gridCol w:w="1440"/>
        <w:gridCol w:w="1440"/>
        <w:gridCol w:w="1440"/>
        <w:gridCol w:w="1440"/>
        <w:gridCol w:w="1440"/>
      </w:tblGrid>
      <w:tr w:rsidR="002D46F5" w:rsidRPr="00485E94" w14:paraId="22E5B930" w14:textId="77777777" w:rsidTr="00113EF8">
        <w:trPr>
          <w:trHeight w:hRule="exact" w:val="227"/>
          <w:jc w:val="center"/>
        </w:trPr>
        <w:tc>
          <w:tcPr>
            <w:tcW w:w="2667" w:type="dxa"/>
            <w:tcBorders>
              <w:top w:val="single" w:sz="6" w:space="0" w:color="auto"/>
              <w:left w:val="nil"/>
              <w:bottom w:val="nil"/>
              <w:right w:val="nil"/>
            </w:tcBorders>
          </w:tcPr>
          <w:p w14:paraId="1D73C4E1" w14:textId="77777777" w:rsidR="002D46F5" w:rsidRPr="00485E94" w:rsidRDefault="002D46F5"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single" w:sz="6" w:space="0" w:color="auto"/>
              <w:left w:val="nil"/>
              <w:bottom w:val="nil"/>
              <w:right w:val="nil"/>
            </w:tcBorders>
          </w:tcPr>
          <w:p w14:paraId="7D54A940"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(1)</w:t>
            </w:r>
          </w:p>
        </w:tc>
        <w:tc>
          <w:tcPr>
            <w:tcW w:w="1440" w:type="dxa"/>
            <w:tcBorders>
              <w:top w:val="single" w:sz="6" w:space="0" w:color="auto"/>
              <w:left w:val="nil"/>
              <w:bottom w:val="nil"/>
              <w:right w:val="single" w:sz="6" w:space="0" w:color="auto"/>
            </w:tcBorders>
          </w:tcPr>
          <w:p w14:paraId="33EE0153"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(2)</w:t>
            </w:r>
          </w:p>
        </w:tc>
        <w:tc>
          <w:tcPr>
            <w:tcW w:w="1440" w:type="dxa"/>
            <w:tcBorders>
              <w:top w:val="single" w:sz="6" w:space="0" w:color="auto"/>
              <w:left w:val="single" w:sz="6" w:space="0" w:color="auto"/>
              <w:bottom w:val="nil"/>
              <w:right w:val="nil"/>
            </w:tcBorders>
          </w:tcPr>
          <w:p w14:paraId="4CB59768"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(3)</w:t>
            </w:r>
          </w:p>
        </w:tc>
        <w:tc>
          <w:tcPr>
            <w:tcW w:w="1440" w:type="dxa"/>
            <w:tcBorders>
              <w:top w:val="single" w:sz="6" w:space="0" w:color="auto"/>
              <w:left w:val="nil"/>
              <w:bottom w:val="nil"/>
              <w:right w:val="single" w:sz="6" w:space="0" w:color="auto"/>
            </w:tcBorders>
          </w:tcPr>
          <w:p w14:paraId="6D7E4AD8"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(4)</w:t>
            </w:r>
          </w:p>
        </w:tc>
        <w:tc>
          <w:tcPr>
            <w:tcW w:w="1440" w:type="dxa"/>
            <w:tcBorders>
              <w:top w:val="single" w:sz="6" w:space="0" w:color="auto"/>
              <w:left w:val="single" w:sz="6" w:space="0" w:color="auto"/>
              <w:bottom w:val="nil"/>
              <w:right w:val="nil"/>
            </w:tcBorders>
          </w:tcPr>
          <w:p w14:paraId="210A270C"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(5)</w:t>
            </w:r>
          </w:p>
        </w:tc>
        <w:tc>
          <w:tcPr>
            <w:tcW w:w="1440" w:type="dxa"/>
            <w:tcBorders>
              <w:top w:val="single" w:sz="6" w:space="0" w:color="auto"/>
              <w:left w:val="nil"/>
              <w:bottom w:val="nil"/>
              <w:right w:val="nil"/>
            </w:tcBorders>
          </w:tcPr>
          <w:p w14:paraId="1D88C477"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n-US"/>
              </w:rPr>
              <w:t>(6)</w:t>
            </w:r>
          </w:p>
        </w:tc>
      </w:tr>
      <w:tr w:rsidR="002D46F5" w:rsidRPr="00485E94" w14:paraId="4B3ED121" w14:textId="77777777" w:rsidTr="00113EF8">
        <w:trPr>
          <w:trHeight w:hRule="exact" w:val="454"/>
          <w:jc w:val="center"/>
        </w:trPr>
        <w:tc>
          <w:tcPr>
            <w:tcW w:w="2667" w:type="dxa"/>
            <w:tcBorders>
              <w:top w:val="nil"/>
              <w:left w:val="nil"/>
              <w:bottom w:val="single" w:sz="6" w:space="0" w:color="auto"/>
              <w:right w:val="nil"/>
            </w:tcBorders>
          </w:tcPr>
          <w:p w14:paraId="61FE2381" w14:textId="77777777" w:rsidR="002D46F5" w:rsidRPr="00485E94" w:rsidRDefault="002D46F5"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hAnsi="Times New Roman" w:cs="Times New Roman"/>
                <w:sz w:val="20"/>
                <w:szCs w:val="20"/>
                <w:lang w:val="en-US"/>
              </w:rPr>
              <w:t>VARIABLES</w:t>
            </w:r>
          </w:p>
        </w:tc>
        <w:tc>
          <w:tcPr>
            <w:tcW w:w="1296" w:type="dxa"/>
            <w:tcBorders>
              <w:top w:val="nil"/>
              <w:left w:val="nil"/>
              <w:bottom w:val="single" w:sz="6" w:space="0" w:color="auto"/>
              <w:right w:val="nil"/>
            </w:tcBorders>
            <w:vAlign w:val="bottom"/>
          </w:tcPr>
          <w:p w14:paraId="6DA4E720"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Grexit</w:t>
            </w:r>
          </w:p>
        </w:tc>
        <w:tc>
          <w:tcPr>
            <w:tcW w:w="1440" w:type="dxa"/>
            <w:tcBorders>
              <w:top w:val="nil"/>
              <w:left w:val="nil"/>
              <w:bottom w:val="single" w:sz="6" w:space="0" w:color="auto"/>
              <w:right w:val="single" w:sz="6" w:space="0" w:color="auto"/>
            </w:tcBorders>
            <w:vAlign w:val="bottom"/>
          </w:tcPr>
          <w:p w14:paraId="6A43999A"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Negotiations</w:t>
            </w:r>
          </w:p>
        </w:tc>
        <w:tc>
          <w:tcPr>
            <w:tcW w:w="1440" w:type="dxa"/>
            <w:tcBorders>
              <w:top w:val="nil"/>
              <w:left w:val="single" w:sz="6" w:space="0" w:color="auto"/>
              <w:bottom w:val="single" w:sz="6" w:space="0" w:color="auto"/>
              <w:right w:val="nil"/>
            </w:tcBorders>
            <w:vAlign w:val="bottom"/>
          </w:tcPr>
          <w:p w14:paraId="3E68A733"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Grexit</w:t>
            </w:r>
          </w:p>
        </w:tc>
        <w:tc>
          <w:tcPr>
            <w:tcW w:w="1440" w:type="dxa"/>
            <w:tcBorders>
              <w:top w:val="nil"/>
              <w:left w:val="nil"/>
              <w:bottom w:val="single" w:sz="6" w:space="0" w:color="auto"/>
              <w:right w:val="single" w:sz="6" w:space="0" w:color="auto"/>
            </w:tcBorders>
            <w:vAlign w:val="bottom"/>
          </w:tcPr>
          <w:p w14:paraId="4FE32BD7"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Negotiations</w:t>
            </w:r>
          </w:p>
        </w:tc>
        <w:tc>
          <w:tcPr>
            <w:tcW w:w="1440" w:type="dxa"/>
            <w:tcBorders>
              <w:top w:val="nil"/>
              <w:left w:val="single" w:sz="6" w:space="0" w:color="auto"/>
              <w:bottom w:val="single" w:sz="6" w:space="0" w:color="auto"/>
              <w:right w:val="nil"/>
            </w:tcBorders>
            <w:vAlign w:val="bottom"/>
          </w:tcPr>
          <w:p w14:paraId="5915A88D"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Grexit</w:t>
            </w:r>
          </w:p>
        </w:tc>
        <w:tc>
          <w:tcPr>
            <w:tcW w:w="1440" w:type="dxa"/>
            <w:tcBorders>
              <w:top w:val="nil"/>
              <w:left w:val="nil"/>
              <w:bottom w:val="single" w:sz="6" w:space="0" w:color="auto"/>
              <w:right w:val="nil"/>
            </w:tcBorders>
            <w:vAlign w:val="bottom"/>
          </w:tcPr>
          <w:p w14:paraId="2EF01412" w14:textId="77777777" w:rsidR="002D46F5" w:rsidRPr="00485E94" w:rsidRDefault="002D46F5"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color w:val="000000"/>
                <w:sz w:val="20"/>
                <w:szCs w:val="20"/>
                <w:lang w:val="en-US"/>
              </w:rPr>
              <w:t>Expectation: Negotiations</w:t>
            </w:r>
          </w:p>
        </w:tc>
      </w:tr>
      <w:tr w:rsidR="00485E94" w:rsidRPr="00485E94" w14:paraId="4E8625ED" w14:textId="77777777" w:rsidTr="00113EF8">
        <w:trPr>
          <w:trHeight w:hRule="exact" w:val="227"/>
          <w:jc w:val="center"/>
        </w:trPr>
        <w:tc>
          <w:tcPr>
            <w:tcW w:w="2667" w:type="dxa"/>
            <w:tcBorders>
              <w:top w:val="nil"/>
              <w:left w:val="nil"/>
              <w:bottom w:val="nil"/>
              <w:right w:val="nil"/>
            </w:tcBorders>
          </w:tcPr>
          <w:p w14:paraId="43E9A99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hAnsi="Times New Roman" w:cs="Times New Roman"/>
                <w:sz w:val="20"/>
                <w:szCs w:val="20"/>
                <w:lang w:val="en-US"/>
              </w:rPr>
              <w:t>Bank Shutdown</w:t>
            </w:r>
          </w:p>
        </w:tc>
        <w:tc>
          <w:tcPr>
            <w:tcW w:w="1296" w:type="dxa"/>
            <w:tcBorders>
              <w:top w:val="nil"/>
              <w:left w:val="nil"/>
              <w:bottom w:val="nil"/>
              <w:right w:val="nil"/>
            </w:tcBorders>
          </w:tcPr>
          <w:p w14:paraId="761CE8F0" w14:textId="424FA40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-0.312</w:t>
            </w:r>
          </w:p>
        </w:tc>
        <w:tc>
          <w:tcPr>
            <w:tcW w:w="1440" w:type="dxa"/>
            <w:tcBorders>
              <w:top w:val="nil"/>
              <w:left w:val="nil"/>
              <w:bottom w:val="nil"/>
              <w:right w:val="single" w:sz="6" w:space="0" w:color="auto"/>
            </w:tcBorders>
          </w:tcPr>
          <w:p w14:paraId="4E213786" w14:textId="3F903B1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-1.193***</w:t>
            </w:r>
          </w:p>
        </w:tc>
        <w:tc>
          <w:tcPr>
            <w:tcW w:w="1440" w:type="dxa"/>
            <w:tcBorders>
              <w:top w:val="nil"/>
              <w:left w:val="single" w:sz="6" w:space="0" w:color="auto"/>
              <w:bottom w:val="nil"/>
              <w:right w:val="nil"/>
            </w:tcBorders>
          </w:tcPr>
          <w:p w14:paraId="6B5BDEBA" w14:textId="2B83D9C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-0.142</w:t>
            </w:r>
          </w:p>
        </w:tc>
        <w:tc>
          <w:tcPr>
            <w:tcW w:w="1440" w:type="dxa"/>
            <w:tcBorders>
              <w:top w:val="nil"/>
              <w:left w:val="nil"/>
              <w:bottom w:val="nil"/>
              <w:right w:val="single" w:sz="6" w:space="0" w:color="auto"/>
            </w:tcBorders>
          </w:tcPr>
          <w:p w14:paraId="3E7C779D" w14:textId="5A7B77E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-1.049***</w:t>
            </w:r>
          </w:p>
        </w:tc>
        <w:tc>
          <w:tcPr>
            <w:tcW w:w="1440" w:type="dxa"/>
            <w:tcBorders>
              <w:top w:val="nil"/>
              <w:left w:val="single" w:sz="6" w:space="0" w:color="auto"/>
              <w:bottom w:val="nil"/>
              <w:right w:val="nil"/>
            </w:tcBorders>
          </w:tcPr>
          <w:p w14:paraId="48058732" w14:textId="2165230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-0.190</w:t>
            </w:r>
          </w:p>
        </w:tc>
        <w:tc>
          <w:tcPr>
            <w:tcW w:w="1440" w:type="dxa"/>
            <w:tcBorders>
              <w:top w:val="nil"/>
              <w:left w:val="nil"/>
              <w:bottom w:val="nil"/>
              <w:right w:val="nil"/>
            </w:tcBorders>
          </w:tcPr>
          <w:p w14:paraId="172055BE" w14:textId="594D02C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-1.066***</w:t>
            </w:r>
          </w:p>
        </w:tc>
      </w:tr>
      <w:tr w:rsidR="00485E94" w:rsidRPr="00485E94" w14:paraId="3417E2F5" w14:textId="77777777" w:rsidTr="00113EF8">
        <w:trPr>
          <w:trHeight w:hRule="exact" w:val="227"/>
          <w:jc w:val="center"/>
        </w:trPr>
        <w:tc>
          <w:tcPr>
            <w:tcW w:w="2667" w:type="dxa"/>
            <w:tcBorders>
              <w:top w:val="nil"/>
              <w:left w:val="nil"/>
              <w:bottom w:val="nil"/>
              <w:right w:val="nil"/>
            </w:tcBorders>
          </w:tcPr>
          <w:p w14:paraId="0B69CF04"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5377EBA" w14:textId="2788CBE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(0.234)</w:t>
            </w:r>
          </w:p>
        </w:tc>
        <w:tc>
          <w:tcPr>
            <w:tcW w:w="1440" w:type="dxa"/>
            <w:tcBorders>
              <w:top w:val="nil"/>
              <w:left w:val="nil"/>
              <w:bottom w:val="nil"/>
              <w:right w:val="single" w:sz="6" w:space="0" w:color="auto"/>
            </w:tcBorders>
          </w:tcPr>
          <w:p w14:paraId="6D05A133" w14:textId="74CE352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(0.222)</w:t>
            </w:r>
          </w:p>
        </w:tc>
        <w:tc>
          <w:tcPr>
            <w:tcW w:w="1440" w:type="dxa"/>
            <w:tcBorders>
              <w:top w:val="nil"/>
              <w:left w:val="single" w:sz="6" w:space="0" w:color="auto"/>
              <w:bottom w:val="nil"/>
              <w:right w:val="nil"/>
            </w:tcBorders>
          </w:tcPr>
          <w:p w14:paraId="0C0616A5" w14:textId="1C5944D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(0.260)</w:t>
            </w:r>
          </w:p>
        </w:tc>
        <w:tc>
          <w:tcPr>
            <w:tcW w:w="1440" w:type="dxa"/>
            <w:tcBorders>
              <w:top w:val="nil"/>
              <w:left w:val="nil"/>
              <w:bottom w:val="nil"/>
              <w:right w:val="single" w:sz="6" w:space="0" w:color="auto"/>
            </w:tcBorders>
          </w:tcPr>
          <w:p w14:paraId="609F67D2" w14:textId="09D4D1F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(0.247)</w:t>
            </w:r>
          </w:p>
        </w:tc>
        <w:tc>
          <w:tcPr>
            <w:tcW w:w="1440" w:type="dxa"/>
            <w:tcBorders>
              <w:top w:val="nil"/>
              <w:left w:val="single" w:sz="6" w:space="0" w:color="auto"/>
              <w:bottom w:val="nil"/>
              <w:right w:val="nil"/>
            </w:tcBorders>
          </w:tcPr>
          <w:p w14:paraId="5E5EBFC0" w14:textId="42FB831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(0.259)</w:t>
            </w:r>
          </w:p>
        </w:tc>
        <w:tc>
          <w:tcPr>
            <w:tcW w:w="1440" w:type="dxa"/>
            <w:tcBorders>
              <w:top w:val="nil"/>
              <w:left w:val="nil"/>
              <w:bottom w:val="nil"/>
              <w:right w:val="nil"/>
            </w:tcBorders>
          </w:tcPr>
          <w:p w14:paraId="73EF0822" w14:textId="02D48F9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(0.249)</w:t>
            </w:r>
          </w:p>
        </w:tc>
      </w:tr>
      <w:tr w:rsidR="00485E94" w:rsidRPr="00485E94" w14:paraId="67F1FE32" w14:textId="77777777" w:rsidTr="008A4D1B">
        <w:trPr>
          <w:trHeight w:hRule="exact" w:val="227"/>
          <w:jc w:val="center"/>
        </w:trPr>
        <w:tc>
          <w:tcPr>
            <w:tcW w:w="2667" w:type="dxa"/>
            <w:tcBorders>
              <w:top w:val="nil"/>
              <w:left w:val="nil"/>
              <w:bottom w:val="nil"/>
              <w:right w:val="nil"/>
            </w:tcBorders>
            <w:vAlign w:val="bottom"/>
          </w:tcPr>
          <w:p w14:paraId="6CC7B720" w14:textId="1606FEC3"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r w:rsidRPr="002847F0">
              <w:rPr>
                <w:rFonts w:ascii="Times New Roman" w:eastAsia="Times New Roman" w:hAnsi="Times New Roman" w:cs="Times New Roman"/>
                <w:color w:val="000000"/>
                <w:sz w:val="20"/>
                <w:szCs w:val="20"/>
                <w:lang w:val="en-US" w:eastAsia="es-ES"/>
              </w:rPr>
              <w:t>25-34 years</w:t>
            </w:r>
          </w:p>
        </w:tc>
        <w:tc>
          <w:tcPr>
            <w:tcW w:w="1296" w:type="dxa"/>
            <w:tcBorders>
              <w:top w:val="nil"/>
              <w:left w:val="nil"/>
              <w:bottom w:val="nil"/>
              <w:right w:val="nil"/>
            </w:tcBorders>
          </w:tcPr>
          <w:p w14:paraId="44C94AE0"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94A3DC7"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030E34B" w14:textId="10FD4A18"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-0.0823</w:t>
            </w:r>
          </w:p>
        </w:tc>
        <w:tc>
          <w:tcPr>
            <w:tcW w:w="1440" w:type="dxa"/>
            <w:tcBorders>
              <w:top w:val="nil"/>
              <w:left w:val="nil"/>
              <w:bottom w:val="nil"/>
              <w:right w:val="single" w:sz="6" w:space="0" w:color="auto"/>
            </w:tcBorders>
          </w:tcPr>
          <w:p w14:paraId="5E8C9294" w14:textId="68BA7AF8"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-0.210</w:t>
            </w:r>
          </w:p>
        </w:tc>
        <w:tc>
          <w:tcPr>
            <w:tcW w:w="1440" w:type="dxa"/>
            <w:tcBorders>
              <w:top w:val="nil"/>
              <w:left w:val="single" w:sz="6" w:space="0" w:color="auto"/>
              <w:bottom w:val="nil"/>
              <w:right w:val="nil"/>
            </w:tcBorders>
          </w:tcPr>
          <w:p w14:paraId="51E02BE7" w14:textId="5AD5839C"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-0.162</w:t>
            </w:r>
          </w:p>
        </w:tc>
        <w:tc>
          <w:tcPr>
            <w:tcW w:w="1440" w:type="dxa"/>
            <w:tcBorders>
              <w:top w:val="nil"/>
              <w:left w:val="nil"/>
              <w:bottom w:val="nil"/>
              <w:right w:val="nil"/>
            </w:tcBorders>
          </w:tcPr>
          <w:p w14:paraId="20012B97" w14:textId="07CD6570"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-0.273</w:t>
            </w:r>
          </w:p>
        </w:tc>
      </w:tr>
      <w:tr w:rsidR="00485E94" w:rsidRPr="00485E94" w14:paraId="22AFAD92" w14:textId="77777777" w:rsidTr="008A4D1B">
        <w:trPr>
          <w:trHeight w:hRule="exact" w:val="227"/>
          <w:jc w:val="center"/>
        </w:trPr>
        <w:tc>
          <w:tcPr>
            <w:tcW w:w="2667" w:type="dxa"/>
            <w:tcBorders>
              <w:top w:val="nil"/>
              <w:left w:val="nil"/>
              <w:bottom w:val="nil"/>
              <w:right w:val="nil"/>
            </w:tcBorders>
            <w:vAlign w:val="bottom"/>
          </w:tcPr>
          <w:p w14:paraId="49B1A2CC" w14:textId="77777777"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3EBF55C2"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D49D1A9"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3FD2699" w14:textId="75AA230C"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(0.746)</w:t>
            </w:r>
          </w:p>
        </w:tc>
        <w:tc>
          <w:tcPr>
            <w:tcW w:w="1440" w:type="dxa"/>
            <w:tcBorders>
              <w:top w:val="nil"/>
              <w:left w:val="nil"/>
              <w:bottom w:val="nil"/>
              <w:right w:val="single" w:sz="6" w:space="0" w:color="auto"/>
            </w:tcBorders>
          </w:tcPr>
          <w:p w14:paraId="41BE8C21" w14:textId="3937AB1A"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(0.641)</w:t>
            </w:r>
          </w:p>
        </w:tc>
        <w:tc>
          <w:tcPr>
            <w:tcW w:w="1440" w:type="dxa"/>
            <w:tcBorders>
              <w:top w:val="nil"/>
              <w:left w:val="single" w:sz="6" w:space="0" w:color="auto"/>
              <w:bottom w:val="nil"/>
              <w:right w:val="nil"/>
            </w:tcBorders>
          </w:tcPr>
          <w:p w14:paraId="4612B1F1" w14:textId="041A2F1F"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(0.763)</w:t>
            </w:r>
          </w:p>
        </w:tc>
        <w:tc>
          <w:tcPr>
            <w:tcW w:w="1440" w:type="dxa"/>
            <w:tcBorders>
              <w:top w:val="nil"/>
              <w:left w:val="nil"/>
              <w:bottom w:val="nil"/>
              <w:right w:val="nil"/>
            </w:tcBorders>
          </w:tcPr>
          <w:p w14:paraId="5641503A" w14:textId="23A24DFF"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(0.637)</w:t>
            </w:r>
          </w:p>
        </w:tc>
      </w:tr>
      <w:tr w:rsidR="00485E94" w:rsidRPr="00485E94" w14:paraId="2D8C4C9F" w14:textId="77777777" w:rsidTr="008A4D1B">
        <w:trPr>
          <w:trHeight w:hRule="exact" w:val="227"/>
          <w:jc w:val="center"/>
        </w:trPr>
        <w:tc>
          <w:tcPr>
            <w:tcW w:w="2667" w:type="dxa"/>
            <w:tcBorders>
              <w:top w:val="nil"/>
              <w:left w:val="nil"/>
              <w:bottom w:val="nil"/>
              <w:right w:val="nil"/>
            </w:tcBorders>
            <w:vAlign w:val="bottom"/>
          </w:tcPr>
          <w:p w14:paraId="48A26E1D" w14:textId="2CA67956"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r w:rsidRPr="002847F0">
              <w:rPr>
                <w:rFonts w:ascii="Times New Roman" w:eastAsia="Times New Roman" w:hAnsi="Times New Roman" w:cs="Times New Roman"/>
                <w:color w:val="000000"/>
                <w:sz w:val="20"/>
                <w:szCs w:val="20"/>
                <w:lang w:val="en-US" w:eastAsia="es-ES"/>
              </w:rPr>
              <w:t>35-44 years</w:t>
            </w:r>
          </w:p>
        </w:tc>
        <w:tc>
          <w:tcPr>
            <w:tcW w:w="1296" w:type="dxa"/>
            <w:tcBorders>
              <w:top w:val="nil"/>
              <w:left w:val="nil"/>
              <w:bottom w:val="nil"/>
              <w:right w:val="nil"/>
            </w:tcBorders>
          </w:tcPr>
          <w:p w14:paraId="1A673198"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3E64CA5"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51700CD" w14:textId="4D1A8F9E"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-0.230</w:t>
            </w:r>
          </w:p>
        </w:tc>
        <w:tc>
          <w:tcPr>
            <w:tcW w:w="1440" w:type="dxa"/>
            <w:tcBorders>
              <w:top w:val="nil"/>
              <w:left w:val="nil"/>
              <w:bottom w:val="nil"/>
              <w:right w:val="single" w:sz="6" w:space="0" w:color="auto"/>
            </w:tcBorders>
          </w:tcPr>
          <w:p w14:paraId="4E868E6A" w14:textId="3BFFEEBE"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-0.575</w:t>
            </w:r>
          </w:p>
        </w:tc>
        <w:tc>
          <w:tcPr>
            <w:tcW w:w="1440" w:type="dxa"/>
            <w:tcBorders>
              <w:top w:val="nil"/>
              <w:left w:val="single" w:sz="6" w:space="0" w:color="auto"/>
              <w:bottom w:val="nil"/>
              <w:right w:val="nil"/>
            </w:tcBorders>
          </w:tcPr>
          <w:p w14:paraId="1B125F76" w14:textId="3CDF0E21"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-0.324</w:t>
            </w:r>
          </w:p>
        </w:tc>
        <w:tc>
          <w:tcPr>
            <w:tcW w:w="1440" w:type="dxa"/>
            <w:tcBorders>
              <w:top w:val="nil"/>
              <w:left w:val="nil"/>
              <w:bottom w:val="nil"/>
              <w:right w:val="nil"/>
            </w:tcBorders>
          </w:tcPr>
          <w:p w14:paraId="2AE4FB60" w14:textId="7E3A9F53"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-0.654</w:t>
            </w:r>
          </w:p>
        </w:tc>
      </w:tr>
      <w:tr w:rsidR="00485E94" w:rsidRPr="00485E94" w14:paraId="45FD11E0" w14:textId="77777777" w:rsidTr="008A4D1B">
        <w:trPr>
          <w:trHeight w:hRule="exact" w:val="227"/>
          <w:jc w:val="center"/>
        </w:trPr>
        <w:tc>
          <w:tcPr>
            <w:tcW w:w="2667" w:type="dxa"/>
            <w:tcBorders>
              <w:top w:val="nil"/>
              <w:left w:val="nil"/>
              <w:bottom w:val="nil"/>
              <w:right w:val="nil"/>
            </w:tcBorders>
            <w:vAlign w:val="bottom"/>
          </w:tcPr>
          <w:p w14:paraId="7A6432D2" w14:textId="77777777"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0FE91EE"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1314A2C"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AF77DC9" w14:textId="3C681291"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(0.667)</w:t>
            </w:r>
          </w:p>
        </w:tc>
        <w:tc>
          <w:tcPr>
            <w:tcW w:w="1440" w:type="dxa"/>
            <w:tcBorders>
              <w:top w:val="nil"/>
              <w:left w:val="nil"/>
              <w:bottom w:val="nil"/>
              <w:right w:val="single" w:sz="6" w:space="0" w:color="auto"/>
            </w:tcBorders>
          </w:tcPr>
          <w:p w14:paraId="53A14EFA" w14:textId="4A189A95"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(0.562)</w:t>
            </w:r>
          </w:p>
        </w:tc>
        <w:tc>
          <w:tcPr>
            <w:tcW w:w="1440" w:type="dxa"/>
            <w:tcBorders>
              <w:top w:val="nil"/>
              <w:left w:val="single" w:sz="6" w:space="0" w:color="auto"/>
              <w:bottom w:val="nil"/>
              <w:right w:val="nil"/>
            </w:tcBorders>
          </w:tcPr>
          <w:p w14:paraId="6E5FA72E" w14:textId="6B850BF4"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(0.691)</w:t>
            </w:r>
          </w:p>
        </w:tc>
        <w:tc>
          <w:tcPr>
            <w:tcW w:w="1440" w:type="dxa"/>
            <w:tcBorders>
              <w:top w:val="nil"/>
              <w:left w:val="nil"/>
              <w:bottom w:val="nil"/>
              <w:right w:val="nil"/>
            </w:tcBorders>
          </w:tcPr>
          <w:p w14:paraId="669D9229" w14:textId="30D2A6D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(0.557)</w:t>
            </w:r>
          </w:p>
        </w:tc>
      </w:tr>
      <w:tr w:rsidR="00485E94" w:rsidRPr="00485E94" w14:paraId="5E79B632" w14:textId="77777777" w:rsidTr="008A4D1B">
        <w:trPr>
          <w:trHeight w:hRule="exact" w:val="227"/>
          <w:jc w:val="center"/>
        </w:trPr>
        <w:tc>
          <w:tcPr>
            <w:tcW w:w="2667" w:type="dxa"/>
            <w:tcBorders>
              <w:top w:val="nil"/>
              <w:left w:val="nil"/>
              <w:bottom w:val="nil"/>
              <w:right w:val="nil"/>
            </w:tcBorders>
            <w:vAlign w:val="bottom"/>
          </w:tcPr>
          <w:p w14:paraId="18A39632" w14:textId="0053FA65"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r w:rsidRPr="002847F0">
              <w:rPr>
                <w:rFonts w:ascii="Times New Roman" w:eastAsia="Times New Roman" w:hAnsi="Times New Roman" w:cs="Times New Roman"/>
                <w:color w:val="000000"/>
                <w:sz w:val="20"/>
                <w:szCs w:val="20"/>
                <w:lang w:val="en-US" w:eastAsia="es-ES"/>
              </w:rPr>
              <w:t>45-54 years</w:t>
            </w:r>
          </w:p>
        </w:tc>
        <w:tc>
          <w:tcPr>
            <w:tcW w:w="1296" w:type="dxa"/>
            <w:tcBorders>
              <w:top w:val="nil"/>
              <w:left w:val="nil"/>
              <w:bottom w:val="nil"/>
              <w:right w:val="nil"/>
            </w:tcBorders>
          </w:tcPr>
          <w:p w14:paraId="56C5AB25"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8438002"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092B733" w14:textId="5A4E6F08"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-0.0160</w:t>
            </w:r>
          </w:p>
        </w:tc>
        <w:tc>
          <w:tcPr>
            <w:tcW w:w="1440" w:type="dxa"/>
            <w:tcBorders>
              <w:top w:val="nil"/>
              <w:left w:val="nil"/>
              <w:bottom w:val="nil"/>
              <w:right w:val="single" w:sz="6" w:space="0" w:color="auto"/>
            </w:tcBorders>
          </w:tcPr>
          <w:p w14:paraId="278AFDB7" w14:textId="26CD45F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-0.403</w:t>
            </w:r>
          </w:p>
        </w:tc>
        <w:tc>
          <w:tcPr>
            <w:tcW w:w="1440" w:type="dxa"/>
            <w:tcBorders>
              <w:top w:val="nil"/>
              <w:left w:val="single" w:sz="6" w:space="0" w:color="auto"/>
              <w:bottom w:val="nil"/>
              <w:right w:val="nil"/>
            </w:tcBorders>
          </w:tcPr>
          <w:p w14:paraId="1A341552" w14:textId="5D05786E"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-0.139</w:t>
            </w:r>
          </w:p>
        </w:tc>
        <w:tc>
          <w:tcPr>
            <w:tcW w:w="1440" w:type="dxa"/>
            <w:tcBorders>
              <w:top w:val="nil"/>
              <w:left w:val="nil"/>
              <w:bottom w:val="nil"/>
              <w:right w:val="nil"/>
            </w:tcBorders>
          </w:tcPr>
          <w:p w14:paraId="5B22BB56" w14:textId="6DEF59A1"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-0.470</w:t>
            </w:r>
          </w:p>
        </w:tc>
      </w:tr>
      <w:tr w:rsidR="00485E94" w:rsidRPr="00485E94" w14:paraId="390BE457" w14:textId="77777777" w:rsidTr="008A4D1B">
        <w:trPr>
          <w:trHeight w:hRule="exact" w:val="227"/>
          <w:jc w:val="center"/>
        </w:trPr>
        <w:tc>
          <w:tcPr>
            <w:tcW w:w="2667" w:type="dxa"/>
            <w:tcBorders>
              <w:top w:val="nil"/>
              <w:left w:val="nil"/>
              <w:bottom w:val="nil"/>
              <w:right w:val="nil"/>
            </w:tcBorders>
            <w:vAlign w:val="bottom"/>
          </w:tcPr>
          <w:p w14:paraId="7E4F81D7" w14:textId="77777777"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4B35019A"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B8B4B62"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9D7D1A8" w14:textId="642E99D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(0.670)</w:t>
            </w:r>
          </w:p>
        </w:tc>
        <w:tc>
          <w:tcPr>
            <w:tcW w:w="1440" w:type="dxa"/>
            <w:tcBorders>
              <w:top w:val="nil"/>
              <w:left w:val="nil"/>
              <w:bottom w:val="nil"/>
              <w:right w:val="single" w:sz="6" w:space="0" w:color="auto"/>
            </w:tcBorders>
          </w:tcPr>
          <w:p w14:paraId="2792F8D1" w14:textId="64AC6089"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(0.571)</w:t>
            </w:r>
          </w:p>
        </w:tc>
        <w:tc>
          <w:tcPr>
            <w:tcW w:w="1440" w:type="dxa"/>
            <w:tcBorders>
              <w:top w:val="nil"/>
              <w:left w:val="single" w:sz="6" w:space="0" w:color="auto"/>
              <w:bottom w:val="nil"/>
              <w:right w:val="nil"/>
            </w:tcBorders>
          </w:tcPr>
          <w:p w14:paraId="4C603B26" w14:textId="5DEF5525"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(0.689)</w:t>
            </w:r>
          </w:p>
        </w:tc>
        <w:tc>
          <w:tcPr>
            <w:tcW w:w="1440" w:type="dxa"/>
            <w:tcBorders>
              <w:top w:val="nil"/>
              <w:left w:val="nil"/>
              <w:bottom w:val="nil"/>
              <w:right w:val="nil"/>
            </w:tcBorders>
          </w:tcPr>
          <w:p w14:paraId="22C9F6C0" w14:textId="0D295EE5"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(0.566)</w:t>
            </w:r>
          </w:p>
        </w:tc>
      </w:tr>
      <w:tr w:rsidR="00485E94" w:rsidRPr="00485E94" w14:paraId="2FEED1D3" w14:textId="77777777" w:rsidTr="008A4D1B">
        <w:trPr>
          <w:trHeight w:hRule="exact" w:val="227"/>
          <w:jc w:val="center"/>
        </w:trPr>
        <w:tc>
          <w:tcPr>
            <w:tcW w:w="2667" w:type="dxa"/>
            <w:tcBorders>
              <w:top w:val="nil"/>
              <w:left w:val="nil"/>
              <w:bottom w:val="nil"/>
              <w:right w:val="nil"/>
            </w:tcBorders>
            <w:vAlign w:val="bottom"/>
          </w:tcPr>
          <w:p w14:paraId="1843A71D" w14:textId="5C7856AC"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r w:rsidRPr="002847F0">
              <w:rPr>
                <w:rFonts w:ascii="Times New Roman" w:eastAsia="Times New Roman" w:hAnsi="Times New Roman" w:cs="Times New Roman"/>
                <w:color w:val="000000"/>
                <w:sz w:val="20"/>
                <w:szCs w:val="20"/>
                <w:lang w:val="en-US" w:eastAsia="es-ES"/>
              </w:rPr>
              <w:t>55-64 years</w:t>
            </w:r>
          </w:p>
        </w:tc>
        <w:tc>
          <w:tcPr>
            <w:tcW w:w="1296" w:type="dxa"/>
            <w:tcBorders>
              <w:top w:val="nil"/>
              <w:left w:val="nil"/>
              <w:bottom w:val="nil"/>
              <w:right w:val="nil"/>
            </w:tcBorders>
          </w:tcPr>
          <w:p w14:paraId="766EBE47"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1869338"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72CA94B2" w14:textId="7990DE52"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-0.623</w:t>
            </w:r>
          </w:p>
        </w:tc>
        <w:tc>
          <w:tcPr>
            <w:tcW w:w="1440" w:type="dxa"/>
            <w:tcBorders>
              <w:top w:val="nil"/>
              <w:left w:val="nil"/>
              <w:bottom w:val="nil"/>
              <w:right w:val="single" w:sz="6" w:space="0" w:color="auto"/>
            </w:tcBorders>
          </w:tcPr>
          <w:p w14:paraId="60B76A32" w14:textId="3DC2AAAD"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-0.899</w:t>
            </w:r>
          </w:p>
        </w:tc>
        <w:tc>
          <w:tcPr>
            <w:tcW w:w="1440" w:type="dxa"/>
            <w:tcBorders>
              <w:top w:val="nil"/>
              <w:left w:val="single" w:sz="6" w:space="0" w:color="auto"/>
              <w:bottom w:val="nil"/>
              <w:right w:val="nil"/>
            </w:tcBorders>
          </w:tcPr>
          <w:p w14:paraId="7771F1FA" w14:textId="428AD5AC"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-0.772</w:t>
            </w:r>
          </w:p>
        </w:tc>
        <w:tc>
          <w:tcPr>
            <w:tcW w:w="1440" w:type="dxa"/>
            <w:tcBorders>
              <w:top w:val="nil"/>
              <w:left w:val="nil"/>
              <w:bottom w:val="nil"/>
              <w:right w:val="nil"/>
            </w:tcBorders>
          </w:tcPr>
          <w:p w14:paraId="695D00A6" w14:textId="5EDE4AE8"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-0.982*</w:t>
            </w:r>
          </w:p>
        </w:tc>
      </w:tr>
      <w:tr w:rsidR="00485E94" w:rsidRPr="00485E94" w14:paraId="523DCC84" w14:textId="77777777" w:rsidTr="008A4D1B">
        <w:trPr>
          <w:trHeight w:hRule="exact" w:val="227"/>
          <w:jc w:val="center"/>
        </w:trPr>
        <w:tc>
          <w:tcPr>
            <w:tcW w:w="2667" w:type="dxa"/>
            <w:tcBorders>
              <w:top w:val="nil"/>
              <w:left w:val="nil"/>
              <w:bottom w:val="nil"/>
              <w:right w:val="nil"/>
            </w:tcBorders>
            <w:vAlign w:val="bottom"/>
          </w:tcPr>
          <w:p w14:paraId="77F4463E" w14:textId="77777777" w:rsidR="00485E94" w:rsidRPr="00485E94" w:rsidRDefault="00485E94" w:rsidP="008A4D1B">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137BA5F"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1F5C67A" w14:textId="77777777"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CCBE274" w14:textId="5E8B5972"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(0.673)</w:t>
            </w:r>
          </w:p>
        </w:tc>
        <w:tc>
          <w:tcPr>
            <w:tcW w:w="1440" w:type="dxa"/>
            <w:tcBorders>
              <w:top w:val="nil"/>
              <w:left w:val="nil"/>
              <w:bottom w:val="nil"/>
              <w:right w:val="single" w:sz="6" w:space="0" w:color="auto"/>
            </w:tcBorders>
          </w:tcPr>
          <w:p w14:paraId="44BB5575" w14:textId="6C68626F"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(0.567)</w:t>
            </w:r>
          </w:p>
        </w:tc>
        <w:tc>
          <w:tcPr>
            <w:tcW w:w="1440" w:type="dxa"/>
            <w:tcBorders>
              <w:top w:val="nil"/>
              <w:left w:val="single" w:sz="6" w:space="0" w:color="auto"/>
              <w:bottom w:val="nil"/>
              <w:right w:val="nil"/>
            </w:tcBorders>
          </w:tcPr>
          <w:p w14:paraId="61CA47C3" w14:textId="258AEC73"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(0.691)</w:t>
            </w:r>
          </w:p>
        </w:tc>
        <w:tc>
          <w:tcPr>
            <w:tcW w:w="1440" w:type="dxa"/>
            <w:tcBorders>
              <w:top w:val="nil"/>
              <w:left w:val="nil"/>
              <w:bottom w:val="nil"/>
              <w:right w:val="nil"/>
            </w:tcBorders>
          </w:tcPr>
          <w:p w14:paraId="282FF103" w14:textId="079F8D2E" w:rsidR="00485E94" w:rsidRPr="00485E94" w:rsidRDefault="00485E94" w:rsidP="008A4D1B">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(0.564)</w:t>
            </w:r>
          </w:p>
        </w:tc>
      </w:tr>
      <w:tr w:rsidR="00485E94" w:rsidRPr="00485E94" w14:paraId="444612D4" w14:textId="77777777" w:rsidTr="00113EF8">
        <w:trPr>
          <w:trHeight w:hRule="exact" w:val="227"/>
          <w:jc w:val="center"/>
        </w:trPr>
        <w:tc>
          <w:tcPr>
            <w:tcW w:w="2667" w:type="dxa"/>
            <w:tcBorders>
              <w:top w:val="nil"/>
              <w:left w:val="nil"/>
              <w:bottom w:val="nil"/>
              <w:right w:val="nil"/>
            </w:tcBorders>
            <w:vAlign w:val="bottom"/>
          </w:tcPr>
          <w:p w14:paraId="136AAC58" w14:textId="548C71C4"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2847F0">
              <w:rPr>
                <w:rFonts w:ascii="Times New Roman" w:eastAsia="Times New Roman" w:hAnsi="Times New Roman" w:cs="Times New Roman"/>
                <w:color w:val="000000"/>
                <w:sz w:val="20"/>
                <w:szCs w:val="20"/>
                <w:lang w:val="en-US" w:eastAsia="es-ES"/>
              </w:rPr>
              <w:t>+65 years</w:t>
            </w:r>
          </w:p>
        </w:tc>
        <w:tc>
          <w:tcPr>
            <w:tcW w:w="1296" w:type="dxa"/>
            <w:tcBorders>
              <w:top w:val="nil"/>
              <w:left w:val="nil"/>
              <w:bottom w:val="nil"/>
              <w:right w:val="nil"/>
            </w:tcBorders>
          </w:tcPr>
          <w:p w14:paraId="7E626F8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215E6E4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EB995F3" w14:textId="56EF8FC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-1.105</w:t>
            </w:r>
          </w:p>
        </w:tc>
        <w:tc>
          <w:tcPr>
            <w:tcW w:w="1440" w:type="dxa"/>
            <w:tcBorders>
              <w:top w:val="nil"/>
              <w:left w:val="nil"/>
              <w:bottom w:val="nil"/>
              <w:right w:val="single" w:sz="6" w:space="0" w:color="auto"/>
            </w:tcBorders>
          </w:tcPr>
          <w:p w14:paraId="70BA644A" w14:textId="1F88243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-1.318**</w:t>
            </w:r>
          </w:p>
        </w:tc>
        <w:tc>
          <w:tcPr>
            <w:tcW w:w="1440" w:type="dxa"/>
            <w:tcBorders>
              <w:top w:val="nil"/>
              <w:left w:val="single" w:sz="6" w:space="0" w:color="auto"/>
              <w:bottom w:val="nil"/>
              <w:right w:val="nil"/>
            </w:tcBorders>
          </w:tcPr>
          <w:p w14:paraId="39A662FE" w14:textId="48E5350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-1.264*</w:t>
            </w:r>
          </w:p>
        </w:tc>
        <w:tc>
          <w:tcPr>
            <w:tcW w:w="1440" w:type="dxa"/>
            <w:tcBorders>
              <w:top w:val="nil"/>
              <w:left w:val="nil"/>
              <w:bottom w:val="nil"/>
              <w:right w:val="nil"/>
            </w:tcBorders>
          </w:tcPr>
          <w:p w14:paraId="3F308AB5" w14:textId="2321051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-1.401**</w:t>
            </w:r>
          </w:p>
        </w:tc>
      </w:tr>
      <w:tr w:rsidR="00485E94" w:rsidRPr="00485E94" w14:paraId="62CD58AC" w14:textId="77777777" w:rsidTr="00113EF8">
        <w:trPr>
          <w:trHeight w:hRule="exact" w:val="227"/>
          <w:jc w:val="center"/>
        </w:trPr>
        <w:tc>
          <w:tcPr>
            <w:tcW w:w="2667" w:type="dxa"/>
            <w:tcBorders>
              <w:top w:val="nil"/>
              <w:left w:val="nil"/>
              <w:bottom w:val="nil"/>
              <w:right w:val="nil"/>
            </w:tcBorders>
            <w:vAlign w:val="bottom"/>
          </w:tcPr>
          <w:p w14:paraId="4F4D1705"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B790A02"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D81DDD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A288F9F" w14:textId="3709A7F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(0.682)</w:t>
            </w:r>
          </w:p>
        </w:tc>
        <w:tc>
          <w:tcPr>
            <w:tcW w:w="1440" w:type="dxa"/>
            <w:tcBorders>
              <w:top w:val="nil"/>
              <w:left w:val="nil"/>
              <w:bottom w:val="nil"/>
              <w:right w:val="single" w:sz="6" w:space="0" w:color="auto"/>
            </w:tcBorders>
          </w:tcPr>
          <w:p w14:paraId="511A8CAB" w14:textId="547F889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(0.582)</w:t>
            </w:r>
          </w:p>
        </w:tc>
        <w:tc>
          <w:tcPr>
            <w:tcW w:w="1440" w:type="dxa"/>
            <w:tcBorders>
              <w:top w:val="nil"/>
              <w:left w:val="single" w:sz="6" w:space="0" w:color="auto"/>
              <w:bottom w:val="nil"/>
              <w:right w:val="nil"/>
            </w:tcBorders>
          </w:tcPr>
          <w:p w14:paraId="02936806" w14:textId="4964D2D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(0.697)</w:t>
            </w:r>
          </w:p>
        </w:tc>
        <w:tc>
          <w:tcPr>
            <w:tcW w:w="1440" w:type="dxa"/>
            <w:tcBorders>
              <w:top w:val="nil"/>
              <w:left w:val="nil"/>
              <w:bottom w:val="nil"/>
              <w:right w:val="nil"/>
            </w:tcBorders>
          </w:tcPr>
          <w:p w14:paraId="6C0A50DE" w14:textId="6707331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(0.573)</w:t>
            </w:r>
          </w:p>
        </w:tc>
      </w:tr>
      <w:tr w:rsidR="00485E94" w:rsidRPr="00485E94" w14:paraId="5FECE588" w14:textId="77777777" w:rsidTr="00113EF8">
        <w:trPr>
          <w:trHeight w:hRule="exact" w:val="227"/>
          <w:jc w:val="center"/>
        </w:trPr>
        <w:tc>
          <w:tcPr>
            <w:tcW w:w="2667" w:type="dxa"/>
            <w:tcBorders>
              <w:top w:val="nil"/>
              <w:left w:val="nil"/>
              <w:bottom w:val="nil"/>
              <w:right w:val="nil"/>
            </w:tcBorders>
            <w:vAlign w:val="bottom"/>
          </w:tcPr>
          <w:p w14:paraId="7ACFB159"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 xml:space="preserve">Unemployed </w:t>
            </w:r>
          </w:p>
        </w:tc>
        <w:tc>
          <w:tcPr>
            <w:tcW w:w="1296" w:type="dxa"/>
            <w:tcBorders>
              <w:top w:val="nil"/>
              <w:left w:val="nil"/>
              <w:bottom w:val="nil"/>
              <w:right w:val="nil"/>
            </w:tcBorders>
          </w:tcPr>
          <w:p w14:paraId="0CD38EA2"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2B139486"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935B0F2" w14:textId="00F4009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-0.234</w:t>
            </w:r>
          </w:p>
        </w:tc>
        <w:tc>
          <w:tcPr>
            <w:tcW w:w="1440" w:type="dxa"/>
            <w:tcBorders>
              <w:top w:val="nil"/>
              <w:left w:val="nil"/>
              <w:bottom w:val="nil"/>
              <w:right w:val="single" w:sz="6" w:space="0" w:color="auto"/>
            </w:tcBorders>
          </w:tcPr>
          <w:p w14:paraId="0BD20CB5" w14:textId="467A868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0.0945</w:t>
            </w:r>
          </w:p>
        </w:tc>
        <w:tc>
          <w:tcPr>
            <w:tcW w:w="1440" w:type="dxa"/>
            <w:tcBorders>
              <w:top w:val="nil"/>
              <w:left w:val="single" w:sz="6" w:space="0" w:color="auto"/>
              <w:bottom w:val="nil"/>
              <w:right w:val="nil"/>
            </w:tcBorders>
          </w:tcPr>
          <w:p w14:paraId="143E3899" w14:textId="1EA1FB0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-0.183</w:t>
            </w:r>
          </w:p>
        </w:tc>
        <w:tc>
          <w:tcPr>
            <w:tcW w:w="1440" w:type="dxa"/>
            <w:tcBorders>
              <w:top w:val="nil"/>
              <w:left w:val="nil"/>
              <w:bottom w:val="nil"/>
              <w:right w:val="nil"/>
            </w:tcBorders>
          </w:tcPr>
          <w:p w14:paraId="320E0BF1" w14:textId="1199C0A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0.0764</w:t>
            </w:r>
          </w:p>
        </w:tc>
      </w:tr>
      <w:tr w:rsidR="00485E94" w:rsidRPr="00485E94" w14:paraId="13B7D80C" w14:textId="77777777" w:rsidTr="00113EF8">
        <w:trPr>
          <w:trHeight w:hRule="exact" w:val="227"/>
          <w:jc w:val="center"/>
        </w:trPr>
        <w:tc>
          <w:tcPr>
            <w:tcW w:w="2667" w:type="dxa"/>
            <w:tcBorders>
              <w:top w:val="nil"/>
              <w:left w:val="nil"/>
              <w:bottom w:val="nil"/>
              <w:right w:val="nil"/>
            </w:tcBorders>
            <w:vAlign w:val="bottom"/>
          </w:tcPr>
          <w:p w14:paraId="1E2E691A"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582C3F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4A5ADEF"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30E6863" w14:textId="3C8EE99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(0.498)</w:t>
            </w:r>
          </w:p>
        </w:tc>
        <w:tc>
          <w:tcPr>
            <w:tcW w:w="1440" w:type="dxa"/>
            <w:tcBorders>
              <w:top w:val="nil"/>
              <w:left w:val="nil"/>
              <w:bottom w:val="nil"/>
              <w:right w:val="single" w:sz="6" w:space="0" w:color="auto"/>
            </w:tcBorders>
          </w:tcPr>
          <w:p w14:paraId="6AC79181" w14:textId="475D005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(0.442)</w:t>
            </w:r>
          </w:p>
        </w:tc>
        <w:tc>
          <w:tcPr>
            <w:tcW w:w="1440" w:type="dxa"/>
            <w:tcBorders>
              <w:top w:val="nil"/>
              <w:left w:val="single" w:sz="6" w:space="0" w:color="auto"/>
              <w:bottom w:val="nil"/>
              <w:right w:val="nil"/>
            </w:tcBorders>
          </w:tcPr>
          <w:p w14:paraId="0525DF27" w14:textId="59DAAA1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(0.499)</w:t>
            </w:r>
          </w:p>
        </w:tc>
        <w:tc>
          <w:tcPr>
            <w:tcW w:w="1440" w:type="dxa"/>
            <w:tcBorders>
              <w:top w:val="nil"/>
              <w:left w:val="nil"/>
              <w:bottom w:val="nil"/>
              <w:right w:val="nil"/>
            </w:tcBorders>
          </w:tcPr>
          <w:p w14:paraId="18EE9431" w14:textId="217B6FF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(0.445)</w:t>
            </w:r>
          </w:p>
        </w:tc>
      </w:tr>
      <w:tr w:rsidR="00485E94" w:rsidRPr="00485E94" w14:paraId="235C2DE5" w14:textId="77777777" w:rsidTr="00113EF8">
        <w:trPr>
          <w:trHeight w:hRule="exact" w:val="227"/>
          <w:jc w:val="center"/>
        </w:trPr>
        <w:tc>
          <w:tcPr>
            <w:tcW w:w="2667" w:type="dxa"/>
            <w:tcBorders>
              <w:top w:val="nil"/>
              <w:left w:val="nil"/>
              <w:bottom w:val="nil"/>
              <w:right w:val="nil"/>
            </w:tcBorders>
            <w:vAlign w:val="bottom"/>
          </w:tcPr>
          <w:p w14:paraId="0EE7F956"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 xml:space="preserve">Public Sector Employee </w:t>
            </w:r>
          </w:p>
        </w:tc>
        <w:tc>
          <w:tcPr>
            <w:tcW w:w="1296" w:type="dxa"/>
            <w:tcBorders>
              <w:top w:val="nil"/>
              <w:left w:val="nil"/>
              <w:bottom w:val="nil"/>
              <w:right w:val="nil"/>
            </w:tcBorders>
          </w:tcPr>
          <w:p w14:paraId="74551BD3"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01967B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69AC86E8" w14:textId="11C7FA0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-1.179**</w:t>
            </w:r>
          </w:p>
        </w:tc>
        <w:tc>
          <w:tcPr>
            <w:tcW w:w="1440" w:type="dxa"/>
            <w:tcBorders>
              <w:top w:val="nil"/>
              <w:left w:val="nil"/>
              <w:bottom w:val="nil"/>
              <w:right w:val="single" w:sz="6" w:space="0" w:color="auto"/>
            </w:tcBorders>
          </w:tcPr>
          <w:p w14:paraId="1AC071AA" w14:textId="173EB13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-0.357</w:t>
            </w:r>
          </w:p>
        </w:tc>
        <w:tc>
          <w:tcPr>
            <w:tcW w:w="1440" w:type="dxa"/>
            <w:tcBorders>
              <w:top w:val="nil"/>
              <w:left w:val="single" w:sz="6" w:space="0" w:color="auto"/>
              <w:bottom w:val="nil"/>
              <w:right w:val="nil"/>
            </w:tcBorders>
          </w:tcPr>
          <w:p w14:paraId="63D53FC7" w14:textId="2B595BA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-1.187**</w:t>
            </w:r>
          </w:p>
        </w:tc>
        <w:tc>
          <w:tcPr>
            <w:tcW w:w="1440" w:type="dxa"/>
            <w:tcBorders>
              <w:top w:val="nil"/>
              <w:left w:val="nil"/>
              <w:bottom w:val="nil"/>
              <w:right w:val="nil"/>
            </w:tcBorders>
          </w:tcPr>
          <w:p w14:paraId="06FC97E7" w14:textId="610BE75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-0.377</w:t>
            </w:r>
          </w:p>
        </w:tc>
      </w:tr>
      <w:tr w:rsidR="00485E94" w:rsidRPr="00485E94" w14:paraId="01D6DBE8" w14:textId="77777777" w:rsidTr="00113EF8">
        <w:trPr>
          <w:trHeight w:hRule="exact" w:val="227"/>
          <w:jc w:val="center"/>
        </w:trPr>
        <w:tc>
          <w:tcPr>
            <w:tcW w:w="2667" w:type="dxa"/>
            <w:tcBorders>
              <w:top w:val="nil"/>
              <w:left w:val="nil"/>
              <w:bottom w:val="nil"/>
              <w:right w:val="nil"/>
            </w:tcBorders>
            <w:vAlign w:val="bottom"/>
          </w:tcPr>
          <w:p w14:paraId="22596DC7"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BD53EF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EDE45A1"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0220389" w14:textId="313D37B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(0.483)</w:t>
            </w:r>
          </w:p>
        </w:tc>
        <w:tc>
          <w:tcPr>
            <w:tcW w:w="1440" w:type="dxa"/>
            <w:tcBorders>
              <w:top w:val="nil"/>
              <w:left w:val="nil"/>
              <w:bottom w:val="nil"/>
              <w:right w:val="single" w:sz="6" w:space="0" w:color="auto"/>
            </w:tcBorders>
          </w:tcPr>
          <w:p w14:paraId="43EE74A3" w14:textId="73E4693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(0.412)</w:t>
            </w:r>
          </w:p>
        </w:tc>
        <w:tc>
          <w:tcPr>
            <w:tcW w:w="1440" w:type="dxa"/>
            <w:tcBorders>
              <w:top w:val="nil"/>
              <w:left w:val="single" w:sz="6" w:space="0" w:color="auto"/>
              <w:bottom w:val="nil"/>
              <w:right w:val="nil"/>
            </w:tcBorders>
          </w:tcPr>
          <w:p w14:paraId="2DFD7133" w14:textId="3B439FD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(0.479)</w:t>
            </w:r>
          </w:p>
        </w:tc>
        <w:tc>
          <w:tcPr>
            <w:tcW w:w="1440" w:type="dxa"/>
            <w:tcBorders>
              <w:top w:val="nil"/>
              <w:left w:val="nil"/>
              <w:bottom w:val="nil"/>
              <w:right w:val="nil"/>
            </w:tcBorders>
          </w:tcPr>
          <w:p w14:paraId="6EEC7F27" w14:textId="4B5B7D4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(0.412)</w:t>
            </w:r>
          </w:p>
        </w:tc>
      </w:tr>
      <w:tr w:rsidR="00485E94" w:rsidRPr="00485E94" w14:paraId="07F3397D" w14:textId="77777777" w:rsidTr="00113EF8">
        <w:trPr>
          <w:trHeight w:hRule="exact" w:val="227"/>
          <w:jc w:val="center"/>
        </w:trPr>
        <w:tc>
          <w:tcPr>
            <w:tcW w:w="2667" w:type="dxa"/>
            <w:tcBorders>
              <w:top w:val="nil"/>
              <w:left w:val="nil"/>
              <w:bottom w:val="nil"/>
              <w:right w:val="nil"/>
            </w:tcBorders>
            <w:vAlign w:val="bottom"/>
          </w:tcPr>
          <w:p w14:paraId="2ABEF394"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 xml:space="preserve">Private Sector Employee </w:t>
            </w:r>
          </w:p>
        </w:tc>
        <w:tc>
          <w:tcPr>
            <w:tcW w:w="1296" w:type="dxa"/>
            <w:tcBorders>
              <w:top w:val="nil"/>
              <w:left w:val="nil"/>
              <w:bottom w:val="nil"/>
              <w:right w:val="nil"/>
            </w:tcBorders>
          </w:tcPr>
          <w:p w14:paraId="7A933341"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C22482F"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A3831C7" w14:textId="0F30873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-0.506</w:t>
            </w:r>
          </w:p>
        </w:tc>
        <w:tc>
          <w:tcPr>
            <w:tcW w:w="1440" w:type="dxa"/>
            <w:tcBorders>
              <w:top w:val="nil"/>
              <w:left w:val="nil"/>
              <w:bottom w:val="nil"/>
              <w:right w:val="single" w:sz="6" w:space="0" w:color="auto"/>
            </w:tcBorders>
          </w:tcPr>
          <w:p w14:paraId="68DA7F20" w14:textId="616AFA2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-0.210</w:t>
            </w:r>
          </w:p>
        </w:tc>
        <w:tc>
          <w:tcPr>
            <w:tcW w:w="1440" w:type="dxa"/>
            <w:tcBorders>
              <w:top w:val="nil"/>
              <w:left w:val="single" w:sz="6" w:space="0" w:color="auto"/>
              <w:bottom w:val="nil"/>
              <w:right w:val="nil"/>
            </w:tcBorders>
          </w:tcPr>
          <w:p w14:paraId="214BD4AE" w14:textId="18B3765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-0.528</w:t>
            </w:r>
          </w:p>
        </w:tc>
        <w:tc>
          <w:tcPr>
            <w:tcW w:w="1440" w:type="dxa"/>
            <w:tcBorders>
              <w:top w:val="nil"/>
              <w:left w:val="nil"/>
              <w:bottom w:val="nil"/>
              <w:right w:val="nil"/>
            </w:tcBorders>
          </w:tcPr>
          <w:p w14:paraId="752AD9D2" w14:textId="557193B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-0.216</w:t>
            </w:r>
          </w:p>
        </w:tc>
      </w:tr>
      <w:tr w:rsidR="00485E94" w:rsidRPr="00485E94" w14:paraId="07FBFC05" w14:textId="77777777" w:rsidTr="00113EF8">
        <w:trPr>
          <w:trHeight w:hRule="exact" w:val="227"/>
          <w:jc w:val="center"/>
        </w:trPr>
        <w:tc>
          <w:tcPr>
            <w:tcW w:w="2667" w:type="dxa"/>
            <w:tcBorders>
              <w:top w:val="nil"/>
              <w:left w:val="nil"/>
              <w:bottom w:val="nil"/>
              <w:right w:val="nil"/>
            </w:tcBorders>
            <w:vAlign w:val="bottom"/>
          </w:tcPr>
          <w:p w14:paraId="18F12EFA"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7A3F9FE"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68BA88EC"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723A51E" w14:textId="07ADF23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(0.431)</w:t>
            </w:r>
          </w:p>
        </w:tc>
        <w:tc>
          <w:tcPr>
            <w:tcW w:w="1440" w:type="dxa"/>
            <w:tcBorders>
              <w:top w:val="nil"/>
              <w:left w:val="nil"/>
              <w:bottom w:val="nil"/>
              <w:right w:val="single" w:sz="6" w:space="0" w:color="auto"/>
            </w:tcBorders>
          </w:tcPr>
          <w:p w14:paraId="0D825282" w14:textId="1F3B96B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(0.379)</w:t>
            </w:r>
          </w:p>
        </w:tc>
        <w:tc>
          <w:tcPr>
            <w:tcW w:w="1440" w:type="dxa"/>
            <w:tcBorders>
              <w:top w:val="nil"/>
              <w:left w:val="single" w:sz="6" w:space="0" w:color="auto"/>
              <w:bottom w:val="nil"/>
              <w:right w:val="nil"/>
            </w:tcBorders>
          </w:tcPr>
          <w:p w14:paraId="5BA3FA33" w14:textId="472B14E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(0.434)</w:t>
            </w:r>
          </w:p>
        </w:tc>
        <w:tc>
          <w:tcPr>
            <w:tcW w:w="1440" w:type="dxa"/>
            <w:tcBorders>
              <w:top w:val="nil"/>
              <w:left w:val="nil"/>
              <w:bottom w:val="nil"/>
              <w:right w:val="nil"/>
            </w:tcBorders>
          </w:tcPr>
          <w:p w14:paraId="3CC2607A" w14:textId="2019452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(0.381)</w:t>
            </w:r>
          </w:p>
        </w:tc>
      </w:tr>
      <w:tr w:rsidR="00485E94" w:rsidRPr="00485E94" w14:paraId="7EDA1CC9" w14:textId="77777777" w:rsidTr="00113EF8">
        <w:trPr>
          <w:trHeight w:hRule="exact" w:val="227"/>
          <w:jc w:val="center"/>
        </w:trPr>
        <w:tc>
          <w:tcPr>
            <w:tcW w:w="2667" w:type="dxa"/>
            <w:tcBorders>
              <w:top w:val="nil"/>
              <w:left w:val="nil"/>
              <w:bottom w:val="nil"/>
              <w:right w:val="nil"/>
            </w:tcBorders>
            <w:vAlign w:val="bottom"/>
          </w:tcPr>
          <w:p w14:paraId="68FFFB2B"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Entrepreneur</w:t>
            </w:r>
          </w:p>
        </w:tc>
        <w:tc>
          <w:tcPr>
            <w:tcW w:w="1296" w:type="dxa"/>
            <w:tcBorders>
              <w:top w:val="nil"/>
              <w:left w:val="nil"/>
              <w:bottom w:val="nil"/>
              <w:right w:val="nil"/>
            </w:tcBorders>
          </w:tcPr>
          <w:p w14:paraId="3F53990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5229DC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C0B94EA" w14:textId="6557EA3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-0.854*</w:t>
            </w:r>
          </w:p>
        </w:tc>
        <w:tc>
          <w:tcPr>
            <w:tcW w:w="1440" w:type="dxa"/>
            <w:tcBorders>
              <w:top w:val="nil"/>
              <w:left w:val="nil"/>
              <w:bottom w:val="nil"/>
              <w:right w:val="single" w:sz="6" w:space="0" w:color="auto"/>
            </w:tcBorders>
          </w:tcPr>
          <w:p w14:paraId="035CA2A3" w14:textId="140AEB9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-0.275</w:t>
            </w:r>
          </w:p>
        </w:tc>
        <w:tc>
          <w:tcPr>
            <w:tcW w:w="1440" w:type="dxa"/>
            <w:tcBorders>
              <w:top w:val="nil"/>
              <w:left w:val="single" w:sz="6" w:space="0" w:color="auto"/>
              <w:bottom w:val="nil"/>
              <w:right w:val="nil"/>
            </w:tcBorders>
          </w:tcPr>
          <w:p w14:paraId="13D80196" w14:textId="7B416DE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-0.875*</w:t>
            </w:r>
          </w:p>
        </w:tc>
        <w:tc>
          <w:tcPr>
            <w:tcW w:w="1440" w:type="dxa"/>
            <w:tcBorders>
              <w:top w:val="nil"/>
              <w:left w:val="nil"/>
              <w:bottom w:val="nil"/>
              <w:right w:val="nil"/>
            </w:tcBorders>
          </w:tcPr>
          <w:p w14:paraId="60C19E13" w14:textId="4BD8938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-0.290</w:t>
            </w:r>
          </w:p>
        </w:tc>
      </w:tr>
      <w:tr w:rsidR="00485E94" w:rsidRPr="00485E94" w14:paraId="79BB1D25" w14:textId="77777777" w:rsidTr="00113EF8">
        <w:trPr>
          <w:trHeight w:hRule="exact" w:val="227"/>
          <w:jc w:val="center"/>
        </w:trPr>
        <w:tc>
          <w:tcPr>
            <w:tcW w:w="2667" w:type="dxa"/>
            <w:tcBorders>
              <w:top w:val="nil"/>
              <w:left w:val="nil"/>
              <w:bottom w:val="nil"/>
              <w:right w:val="nil"/>
            </w:tcBorders>
            <w:vAlign w:val="bottom"/>
          </w:tcPr>
          <w:p w14:paraId="108F3BB7"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61F29626"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2771243"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D0461BE" w14:textId="7BD794A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(0.445)</w:t>
            </w:r>
          </w:p>
        </w:tc>
        <w:tc>
          <w:tcPr>
            <w:tcW w:w="1440" w:type="dxa"/>
            <w:tcBorders>
              <w:top w:val="nil"/>
              <w:left w:val="nil"/>
              <w:bottom w:val="nil"/>
              <w:right w:val="single" w:sz="6" w:space="0" w:color="auto"/>
            </w:tcBorders>
          </w:tcPr>
          <w:p w14:paraId="4C2681DA" w14:textId="45FD44B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(0.382)</w:t>
            </w:r>
          </w:p>
        </w:tc>
        <w:tc>
          <w:tcPr>
            <w:tcW w:w="1440" w:type="dxa"/>
            <w:tcBorders>
              <w:top w:val="nil"/>
              <w:left w:val="single" w:sz="6" w:space="0" w:color="auto"/>
              <w:bottom w:val="nil"/>
              <w:right w:val="nil"/>
            </w:tcBorders>
          </w:tcPr>
          <w:p w14:paraId="7C505B23" w14:textId="4D02720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(0.449)</w:t>
            </w:r>
          </w:p>
        </w:tc>
        <w:tc>
          <w:tcPr>
            <w:tcW w:w="1440" w:type="dxa"/>
            <w:tcBorders>
              <w:top w:val="nil"/>
              <w:left w:val="nil"/>
              <w:bottom w:val="nil"/>
              <w:right w:val="nil"/>
            </w:tcBorders>
          </w:tcPr>
          <w:p w14:paraId="31C550D7" w14:textId="68FBECF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(0.381)</w:t>
            </w:r>
          </w:p>
        </w:tc>
      </w:tr>
      <w:tr w:rsidR="00485E94" w:rsidRPr="00485E94" w14:paraId="5B743ABD" w14:textId="77777777" w:rsidTr="00113EF8">
        <w:trPr>
          <w:trHeight w:hRule="exact" w:val="227"/>
          <w:jc w:val="center"/>
        </w:trPr>
        <w:tc>
          <w:tcPr>
            <w:tcW w:w="2667" w:type="dxa"/>
            <w:tcBorders>
              <w:top w:val="nil"/>
              <w:left w:val="nil"/>
              <w:bottom w:val="nil"/>
              <w:right w:val="nil"/>
            </w:tcBorders>
            <w:vAlign w:val="bottom"/>
          </w:tcPr>
          <w:p w14:paraId="1A5A1AD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Farmer</w:t>
            </w:r>
          </w:p>
        </w:tc>
        <w:tc>
          <w:tcPr>
            <w:tcW w:w="1296" w:type="dxa"/>
            <w:tcBorders>
              <w:top w:val="nil"/>
              <w:left w:val="nil"/>
              <w:bottom w:val="nil"/>
              <w:right w:val="nil"/>
            </w:tcBorders>
          </w:tcPr>
          <w:p w14:paraId="0DC5650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68C1A81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685A5F6E" w14:textId="3E27E58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-0.999*</w:t>
            </w:r>
          </w:p>
        </w:tc>
        <w:tc>
          <w:tcPr>
            <w:tcW w:w="1440" w:type="dxa"/>
            <w:tcBorders>
              <w:top w:val="nil"/>
              <w:left w:val="nil"/>
              <w:bottom w:val="nil"/>
              <w:right w:val="single" w:sz="6" w:space="0" w:color="auto"/>
            </w:tcBorders>
          </w:tcPr>
          <w:p w14:paraId="6E0C006F" w14:textId="224BC29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-0.814*</w:t>
            </w:r>
          </w:p>
        </w:tc>
        <w:tc>
          <w:tcPr>
            <w:tcW w:w="1440" w:type="dxa"/>
            <w:tcBorders>
              <w:top w:val="nil"/>
              <w:left w:val="single" w:sz="6" w:space="0" w:color="auto"/>
              <w:bottom w:val="nil"/>
              <w:right w:val="nil"/>
            </w:tcBorders>
          </w:tcPr>
          <w:p w14:paraId="5D799DBB" w14:textId="628F048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-0.919*</w:t>
            </w:r>
          </w:p>
        </w:tc>
        <w:tc>
          <w:tcPr>
            <w:tcW w:w="1440" w:type="dxa"/>
            <w:tcBorders>
              <w:top w:val="nil"/>
              <w:left w:val="nil"/>
              <w:bottom w:val="nil"/>
              <w:right w:val="nil"/>
            </w:tcBorders>
          </w:tcPr>
          <w:p w14:paraId="1DA4EF12" w14:textId="01054A7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-0.876*</w:t>
            </w:r>
          </w:p>
        </w:tc>
      </w:tr>
      <w:tr w:rsidR="00485E94" w:rsidRPr="00485E94" w14:paraId="079B7CAA" w14:textId="77777777" w:rsidTr="00113EF8">
        <w:trPr>
          <w:trHeight w:hRule="exact" w:val="227"/>
          <w:jc w:val="center"/>
        </w:trPr>
        <w:tc>
          <w:tcPr>
            <w:tcW w:w="2667" w:type="dxa"/>
            <w:tcBorders>
              <w:top w:val="nil"/>
              <w:left w:val="nil"/>
              <w:bottom w:val="nil"/>
              <w:right w:val="nil"/>
            </w:tcBorders>
            <w:vAlign w:val="bottom"/>
          </w:tcPr>
          <w:p w14:paraId="14FE3D27"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87CC87F"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6624AD5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81AD087" w14:textId="5AA80FA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(0.539)</w:t>
            </w:r>
          </w:p>
        </w:tc>
        <w:tc>
          <w:tcPr>
            <w:tcW w:w="1440" w:type="dxa"/>
            <w:tcBorders>
              <w:top w:val="nil"/>
              <w:left w:val="nil"/>
              <w:bottom w:val="nil"/>
              <w:right w:val="single" w:sz="6" w:space="0" w:color="auto"/>
            </w:tcBorders>
          </w:tcPr>
          <w:p w14:paraId="27BE906E" w14:textId="0977106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(0.462)</w:t>
            </w:r>
          </w:p>
        </w:tc>
        <w:tc>
          <w:tcPr>
            <w:tcW w:w="1440" w:type="dxa"/>
            <w:tcBorders>
              <w:top w:val="nil"/>
              <w:left w:val="single" w:sz="6" w:space="0" w:color="auto"/>
              <w:bottom w:val="nil"/>
              <w:right w:val="nil"/>
            </w:tcBorders>
          </w:tcPr>
          <w:p w14:paraId="54B78714" w14:textId="72C2C27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(0.532)</w:t>
            </w:r>
          </w:p>
        </w:tc>
        <w:tc>
          <w:tcPr>
            <w:tcW w:w="1440" w:type="dxa"/>
            <w:tcBorders>
              <w:top w:val="nil"/>
              <w:left w:val="nil"/>
              <w:bottom w:val="nil"/>
              <w:right w:val="nil"/>
            </w:tcBorders>
          </w:tcPr>
          <w:p w14:paraId="1FC5F02C" w14:textId="42571B1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(0.461)</w:t>
            </w:r>
          </w:p>
        </w:tc>
      </w:tr>
      <w:tr w:rsidR="00485E94" w:rsidRPr="00485E94" w14:paraId="6B3F590C" w14:textId="77777777" w:rsidTr="00113EF8">
        <w:trPr>
          <w:trHeight w:hRule="exact" w:val="227"/>
          <w:jc w:val="center"/>
        </w:trPr>
        <w:tc>
          <w:tcPr>
            <w:tcW w:w="2667" w:type="dxa"/>
            <w:tcBorders>
              <w:top w:val="nil"/>
              <w:left w:val="nil"/>
              <w:bottom w:val="nil"/>
              <w:right w:val="nil"/>
            </w:tcBorders>
            <w:vAlign w:val="bottom"/>
          </w:tcPr>
          <w:p w14:paraId="730A2D78"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Other Occupation</w:t>
            </w:r>
          </w:p>
        </w:tc>
        <w:tc>
          <w:tcPr>
            <w:tcW w:w="1296" w:type="dxa"/>
            <w:tcBorders>
              <w:top w:val="nil"/>
              <w:left w:val="nil"/>
              <w:bottom w:val="nil"/>
              <w:right w:val="nil"/>
            </w:tcBorders>
          </w:tcPr>
          <w:p w14:paraId="687F38C5"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3B1D83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8C0E9D0" w14:textId="00010EC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-0.915**</w:t>
            </w:r>
          </w:p>
        </w:tc>
        <w:tc>
          <w:tcPr>
            <w:tcW w:w="1440" w:type="dxa"/>
            <w:tcBorders>
              <w:top w:val="nil"/>
              <w:left w:val="nil"/>
              <w:bottom w:val="nil"/>
              <w:right w:val="single" w:sz="6" w:space="0" w:color="auto"/>
            </w:tcBorders>
          </w:tcPr>
          <w:p w14:paraId="6BD681A3" w14:textId="1D0A604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-0.803**</w:t>
            </w:r>
          </w:p>
        </w:tc>
        <w:tc>
          <w:tcPr>
            <w:tcW w:w="1440" w:type="dxa"/>
            <w:tcBorders>
              <w:top w:val="nil"/>
              <w:left w:val="single" w:sz="6" w:space="0" w:color="auto"/>
              <w:bottom w:val="nil"/>
              <w:right w:val="nil"/>
            </w:tcBorders>
          </w:tcPr>
          <w:p w14:paraId="1F384972" w14:textId="0C09136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-0.923**</w:t>
            </w:r>
          </w:p>
        </w:tc>
        <w:tc>
          <w:tcPr>
            <w:tcW w:w="1440" w:type="dxa"/>
            <w:tcBorders>
              <w:top w:val="nil"/>
              <w:left w:val="nil"/>
              <w:bottom w:val="nil"/>
              <w:right w:val="nil"/>
            </w:tcBorders>
          </w:tcPr>
          <w:p w14:paraId="4D665E60" w14:textId="0674DA3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-0.816**</w:t>
            </w:r>
          </w:p>
        </w:tc>
      </w:tr>
      <w:tr w:rsidR="00485E94" w:rsidRPr="00485E94" w14:paraId="5A1D5006" w14:textId="77777777" w:rsidTr="00113EF8">
        <w:trPr>
          <w:trHeight w:hRule="exact" w:val="227"/>
          <w:jc w:val="center"/>
        </w:trPr>
        <w:tc>
          <w:tcPr>
            <w:tcW w:w="2667" w:type="dxa"/>
            <w:tcBorders>
              <w:top w:val="nil"/>
              <w:left w:val="nil"/>
              <w:bottom w:val="nil"/>
              <w:right w:val="nil"/>
            </w:tcBorders>
            <w:vAlign w:val="bottom"/>
          </w:tcPr>
          <w:p w14:paraId="784808D5"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7E87CDBC"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AEC96F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1684A57" w14:textId="2DC3777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(0.406)</w:t>
            </w:r>
          </w:p>
        </w:tc>
        <w:tc>
          <w:tcPr>
            <w:tcW w:w="1440" w:type="dxa"/>
            <w:tcBorders>
              <w:top w:val="nil"/>
              <w:left w:val="nil"/>
              <w:bottom w:val="nil"/>
              <w:right w:val="single" w:sz="6" w:space="0" w:color="auto"/>
            </w:tcBorders>
          </w:tcPr>
          <w:p w14:paraId="38F89F75" w14:textId="1324D74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(0.348)</w:t>
            </w:r>
          </w:p>
        </w:tc>
        <w:tc>
          <w:tcPr>
            <w:tcW w:w="1440" w:type="dxa"/>
            <w:tcBorders>
              <w:top w:val="nil"/>
              <w:left w:val="single" w:sz="6" w:space="0" w:color="auto"/>
              <w:bottom w:val="nil"/>
              <w:right w:val="nil"/>
            </w:tcBorders>
          </w:tcPr>
          <w:p w14:paraId="350A19A8" w14:textId="699CABE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(0.408)</w:t>
            </w:r>
          </w:p>
        </w:tc>
        <w:tc>
          <w:tcPr>
            <w:tcW w:w="1440" w:type="dxa"/>
            <w:tcBorders>
              <w:top w:val="nil"/>
              <w:left w:val="nil"/>
              <w:bottom w:val="nil"/>
              <w:right w:val="nil"/>
            </w:tcBorders>
          </w:tcPr>
          <w:p w14:paraId="5F8706D0" w14:textId="54141D6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(0.351)</w:t>
            </w:r>
          </w:p>
        </w:tc>
      </w:tr>
      <w:tr w:rsidR="00485E94" w:rsidRPr="00485E94" w14:paraId="7034E6F8" w14:textId="77777777" w:rsidTr="00113EF8">
        <w:trPr>
          <w:trHeight w:hRule="exact" w:val="227"/>
          <w:jc w:val="center"/>
        </w:trPr>
        <w:tc>
          <w:tcPr>
            <w:tcW w:w="2667" w:type="dxa"/>
            <w:tcBorders>
              <w:top w:val="nil"/>
              <w:left w:val="nil"/>
              <w:bottom w:val="nil"/>
              <w:right w:val="nil"/>
            </w:tcBorders>
            <w:vAlign w:val="bottom"/>
          </w:tcPr>
          <w:p w14:paraId="3193D6B0"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Education Level</w:t>
            </w:r>
          </w:p>
        </w:tc>
        <w:tc>
          <w:tcPr>
            <w:tcW w:w="1296" w:type="dxa"/>
            <w:tcBorders>
              <w:top w:val="nil"/>
              <w:left w:val="nil"/>
              <w:bottom w:val="nil"/>
              <w:right w:val="nil"/>
            </w:tcBorders>
          </w:tcPr>
          <w:p w14:paraId="0F9FF5F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6AC6213"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E3B15BF" w14:textId="1C5A7EE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0.408***</w:t>
            </w:r>
          </w:p>
        </w:tc>
        <w:tc>
          <w:tcPr>
            <w:tcW w:w="1440" w:type="dxa"/>
            <w:tcBorders>
              <w:top w:val="nil"/>
              <w:left w:val="nil"/>
              <w:bottom w:val="nil"/>
              <w:right w:val="single" w:sz="6" w:space="0" w:color="auto"/>
            </w:tcBorders>
          </w:tcPr>
          <w:p w14:paraId="5BBE059E" w14:textId="1F1E9F5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0.0903</w:t>
            </w:r>
          </w:p>
        </w:tc>
        <w:tc>
          <w:tcPr>
            <w:tcW w:w="1440" w:type="dxa"/>
            <w:tcBorders>
              <w:top w:val="nil"/>
              <w:left w:val="single" w:sz="6" w:space="0" w:color="auto"/>
              <w:bottom w:val="nil"/>
              <w:right w:val="nil"/>
            </w:tcBorders>
          </w:tcPr>
          <w:p w14:paraId="23EA784F" w14:textId="1EA9E82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0.393***</w:t>
            </w:r>
          </w:p>
        </w:tc>
        <w:tc>
          <w:tcPr>
            <w:tcW w:w="1440" w:type="dxa"/>
            <w:tcBorders>
              <w:top w:val="nil"/>
              <w:left w:val="nil"/>
              <w:bottom w:val="nil"/>
              <w:right w:val="nil"/>
            </w:tcBorders>
          </w:tcPr>
          <w:p w14:paraId="7516367A" w14:textId="6AC0DE3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0.0866</w:t>
            </w:r>
          </w:p>
        </w:tc>
      </w:tr>
      <w:tr w:rsidR="00485E94" w:rsidRPr="00485E94" w14:paraId="58B89E90" w14:textId="77777777" w:rsidTr="00113EF8">
        <w:trPr>
          <w:trHeight w:hRule="exact" w:val="227"/>
          <w:jc w:val="center"/>
        </w:trPr>
        <w:tc>
          <w:tcPr>
            <w:tcW w:w="2667" w:type="dxa"/>
            <w:tcBorders>
              <w:top w:val="nil"/>
              <w:left w:val="nil"/>
              <w:bottom w:val="nil"/>
              <w:right w:val="nil"/>
            </w:tcBorders>
            <w:vAlign w:val="bottom"/>
          </w:tcPr>
          <w:p w14:paraId="388DB3A7"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2F31D560"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25D39732"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15C3267" w14:textId="7D4E9B3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(0.110)</w:t>
            </w:r>
          </w:p>
        </w:tc>
        <w:tc>
          <w:tcPr>
            <w:tcW w:w="1440" w:type="dxa"/>
            <w:tcBorders>
              <w:top w:val="nil"/>
              <w:left w:val="nil"/>
              <w:bottom w:val="nil"/>
              <w:right w:val="single" w:sz="6" w:space="0" w:color="auto"/>
            </w:tcBorders>
          </w:tcPr>
          <w:p w14:paraId="09068013" w14:textId="504A92F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(0.102)</w:t>
            </w:r>
          </w:p>
        </w:tc>
        <w:tc>
          <w:tcPr>
            <w:tcW w:w="1440" w:type="dxa"/>
            <w:tcBorders>
              <w:top w:val="nil"/>
              <w:left w:val="single" w:sz="6" w:space="0" w:color="auto"/>
              <w:bottom w:val="nil"/>
              <w:right w:val="nil"/>
            </w:tcBorders>
          </w:tcPr>
          <w:p w14:paraId="596C0688" w14:textId="0FE5424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(0.111)</w:t>
            </w:r>
          </w:p>
        </w:tc>
        <w:tc>
          <w:tcPr>
            <w:tcW w:w="1440" w:type="dxa"/>
            <w:tcBorders>
              <w:top w:val="nil"/>
              <w:left w:val="nil"/>
              <w:bottom w:val="nil"/>
              <w:right w:val="nil"/>
            </w:tcBorders>
          </w:tcPr>
          <w:p w14:paraId="20438100" w14:textId="456418B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(0.103)</w:t>
            </w:r>
          </w:p>
        </w:tc>
      </w:tr>
      <w:tr w:rsidR="00485E94" w:rsidRPr="00485E94" w14:paraId="4A3A0D63" w14:textId="77777777" w:rsidTr="00113EF8">
        <w:trPr>
          <w:trHeight w:hRule="exact" w:val="227"/>
          <w:jc w:val="center"/>
        </w:trPr>
        <w:tc>
          <w:tcPr>
            <w:tcW w:w="2667" w:type="dxa"/>
            <w:tcBorders>
              <w:top w:val="nil"/>
              <w:left w:val="nil"/>
              <w:bottom w:val="nil"/>
              <w:right w:val="nil"/>
            </w:tcBorders>
            <w:vAlign w:val="bottom"/>
          </w:tcPr>
          <w:p w14:paraId="3DA7D1A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Female</w:t>
            </w:r>
          </w:p>
        </w:tc>
        <w:tc>
          <w:tcPr>
            <w:tcW w:w="1296" w:type="dxa"/>
            <w:tcBorders>
              <w:top w:val="nil"/>
              <w:left w:val="nil"/>
              <w:bottom w:val="nil"/>
              <w:right w:val="nil"/>
            </w:tcBorders>
          </w:tcPr>
          <w:p w14:paraId="6A23D21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B40441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6B8181AB" w14:textId="5E1FBD5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-0.0259</w:t>
            </w:r>
          </w:p>
        </w:tc>
        <w:tc>
          <w:tcPr>
            <w:tcW w:w="1440" w:type="dxa"/>
            <w:tcBorders>
              <w:top w:val="nil"/>
              <w:left w:val="nil"/>
              <w:bottom w:val="nil"/>
              <w:right w:val="single" w:sz="6" w:space="0" w:color="auto"/>
            </w:tcBorders>
          </w:tcPr>
          <w:p w14:paraId="6258706F" w14:textId="387473B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-0.204</w:t>
            </w:r>
          </w:p>
        </w:tc>
        <w:tc>
          <w:tcPr>
            <w:tcW w:w="1440" w:type="dxa"/>
            <w:tcBorders>
              <w:top w:val="nil"/>
              <w:left w:val="single" w:sz="6" w:space="0" w:color="auto"/>
              <w:bottom w:val="nil"/>
              <w:right w:val="nil"/>
            </w:tcBorders>
          </w:tcPr>
          <w:p w14:paraId="75DE4124" w14:textId="7C12082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-0.0369</w:t>
            </w:r>
          </w:p>
        </w:tc>
        <w:tc>
          <w:tcPr>
            <w:tcW w:w="1440" w:type="dxa"/>
            <w:tcBorders>
              <w:top w:val="nil"/>
              <w:left w:val="nil"/>
              <w:bottom w:val="nil"/>
              <w:right w:val="nil"/>
            </w:tcBorders>
          </w:tcPr>
          <w:p w14:paraId="6A75F4B7" w14:textId="665772D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-0.218</w:t>
            </w:r>
          </w:p>
        </w:tc>
      </w:tr>
      <w:tr w:rsidR="00485E94" w:rsidRPr="00485E94" w14:paraId="68826B60" w14:textId="77777777" w:rsidTr="00113EF8">
        <w:trPr>
          <w:trHeight w:hRule="exact" w:val="227"/>
          <w:jc w:val="center"/>
        </w:trPr>
        <w:tc>
          <w:tcPr>
            <w:tcW w:w="2667" w:type="dxa"/>
            <w:tcBorders>
              <w:top w:val="nil"/>
              <w:left w:val="nil"/>
              <w:bottom w:val="nil"/>
              <w:right w:val="nil"/>
            </w:tcBorders>
            <w:vAlign w:val="bottom"/>
          </w:tcPr>
          <w:p w14:paraId="302060F0"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6533A616"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9777E1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82D5255" w14:textId="552DE19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(0.245)</w:t>
            </w:r>
          </w:p>
        </w:tc>
        <w:tc>
          <w:tcPr>
            <w:tcW w:w="1440" w:type="dxa"/>
            <w:tcBorders>
              <w:top w:val="nil"/>
              <w:left w:val="nil"/>
              <w:bottom w:val="nil"/>
              <w:right w:val="single" w:sz="6" w:space="0" w:color="auto"/>
            </w:tcBorders>
          </w:tcPr>
          <w:p w14:paraId="0DBC6B23" w14:textId="6062531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(0.215)</w:t>
            </w:r>
          </w:p>
        </w:tc>
        <w:tc>
          <w:tcPr>
            <w:tcW w:w="1440" w:type="dxa"/>
            <w:tcBorders>
              <w:top w:val="nil"/>
              <w:left w:val="single" w:sz="6" w:space="0" w:color="auto"/>
              <w:bottom w:val="nil"/>
              <w:right w:val="nil"/>
            </w:tcBorders>
          </w:tcPr>
          <w:p w14:paraId="1066D28B" w14:textId="2D49802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(0.244)</w:t>
            </w:r>
          </w:p>
        </w:tc>
        <w:tc>
          <w:tcPr>
            <w:tcW w:w="1440" w:type="dxa"/>
            <w:tcBorders>
              <w:top w:val="nil"/>
              <w:left w:val="nil"/>
              <w:bottom w:val="nil"/>
              <w:right w:val="nil"/>
            </w:tcBorders>
          </w:tcPr>
          <w:p w14:paraId="53A7D425" w14:textId="307E26F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(0.213)</w:t>
            </w:r>
          </w:p>
        </w:tc>
      </w:tr>
      <w:tr w:rsidR="00485E94" w:rsidRPr="00485E94" w14:paraId="757B1FF3" w14:textId="77777777" w:rsidTr="00113EF8">
        <w:trPr>
          <w:trHeight w:hRule="exact" w:val="227"/>
          <w:jc w:val="center"/>
        </w:trPr>
        <w:tc>
          <w:tcPr>
            <w:tcW w:w="2667" w:type="dxa"/>
            <w:tcBorders>
              <w:top w:val="nil"/>
              <w:left w:val="nil"/>
              <w:bottom w:val="nil"/>
              <w:right w:val="nil"/>
            </w:tcBorders>
            <w:vAlign w:val="bottom"/>
          </w:tcPr>
          <w:p w14:paraId="6E5E3D34"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 xml:space="preserve">Rural </w:t>
            </w:r>
          </w:p>
        </w:tc>
        <w:tc>
          <w:tcPr>
            <w:tcW w:w="1296" w:type="dxa"/>
            <w:tcBorders>
              <w:top w:val="nil"/>
              <w:left w:val="nil"/>
              <w:bottom w:val="nil"/>
              <w:right w:val="nil"/>
            </w:tcBorders>
          </w:tcPr>
          <w:p w14:paraId="305EF35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5AA4FC2"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1C2A8AF" w14:textId="18AB562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0.418</w:t>
            </w:r>
          </w:p>
        </w:tc>
        <w:tc>
          <w:tcPr>
            <w:tcW w:w="1440" w:type="dxa"/>
            <w:tcBorders>
              <w:top w:val="nil"/>
              <w:left w:val="nil"/>
              <w:bottom w:val="nil"/>
              <w:right w:val="single" w:sz="6" w:space="0" w:color="auto"/>
            </w:tcBorders>
          </w:tcPr>
          <w:p w14:paraId="13CE07EF" w14:textId="13583CF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0.390</w:t>
            </w:r>
          </w:p>
        </w:tc>
        <w:tc>
          <w:tcPr>
            <w:tcW w:w="1440" w:type="dxa"/>
            <w:tcBorders>
              <w:top w:val="nil"/>
              <w:left w:val="single" w:sz="6" w:space="0" w:color="auto"/>
              <w:bottom w:val="nil"/>
              <w:right w:val="nil"/>
            </w:tcBorders>
          </w:tcPr>
          <w:p w14:paraId="621324CD" w14:textId="57CF81E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0.425</w:t>
            </w:r>
          </w:p>
        </w:tc>
        <w:tc>
          <w:tcPr>
            <w:tcW w:w="1440" w:type="dxa"/>
            <w:tcBorders>
              <w:top w:val="nil"/>
              <w:left w:val="nil"/>
              <w:bottom w:val="nil"/>
              <w:right w:val="nil"/>
            </w:tcBorders>
          </w:tcPr>
          <w:p w14:paraId="1377C988" w14:textId="7E745F3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0.383</w:t>
            </w:r>
          </w:p>
        </w:tc>
      </w:tr>
      <w:tr w:rsidR="00485E94" w:rsidRPr="00485E94" w14:paraId="3C5B1135" w14:textId="77777777" w:rsidTr="00113EF8">
        <w:trPr>
          <w:trHeight w:hRule="exact" w:val="227"/>
          <w:jc w:val="center"/>
        </w:trPr>
        <w:tc>
          <w:tcPr>
            <w:tcW w:w="2667" w:type="dxa"/>
            <w:tcBorders>
              <w:top w:val="nil"/>
              <w:left w:val="nil"/>
              <w:bottom w:val="nil"/>
              <w:right w:val="nil"/>
            </w:tcBorders>
            <w:vAlign w:val="bottom"/>
          </w:tcPr>
          <w:p w14:paraId="0F859A4D"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137D3A8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63B8D4F"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75A8ECFB" w14:textId="41BFB0B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(0.259)</w:t>
            </w:r>
          </w:p>
        </w:tc>
        <w:tc>
          <w:tcPr>
            <w:tcW w:w="1440" w:type="dxa"/>
            <w:tcBorders>
              <w:top w:val="nil"/>
              <w:left w:val="nil"/>
              <w:bottom w:val="nil"/>
              <w:right w:val="single" w:sz="6" w:space="0" w:color="auto"/>
            </w:tcBorders>
          </w:tcPr>
          <w:p w14:paraId="6C985EDA" w14:textId="71296AE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(0.238)</w:t>
            </w:r>
          </w:p>
        </w:tc>
        <w:tc>
          <w:tcPr>
            <w:tcW w:w="1440" w:type="dxa"/>
            <w:tcBorders>
              <w:top w:val="nil"/>
              <w:left w:val="single" w:sz="6" w:space="0" w:color="auto"/>
              <w:bottom w:val="nil"/>
              <w:right w:val="nil"/>
            </w:tcBorders>
          </w:tcPr>
          <w:p w14:paraId="2C7BD333" w14:textId="73AE188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(0.260)</w:t>
            </w:r>
          </w:p>
        </w:tc>
        <w:tc>
          <w:tcPr>
            <w:tcW w:w="1440" w:type="dxa"/>
            <w:tcBorders>
              <w:top w:val="nil"/>
              <w:left w:val="nil"/>
              <w:bottom w:val="nil"/>
              <w:right w:val="nil"/>
            </w:tcBorders>
          </w:tcPr>
          <w:p w14:paraId="256204B3" w14:textId="0CD9A60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(0.241)</w:t>
            </w:r>
          </w:p>
        </w:tc>
      </w:tr>
      <w:tr w:rsidR="00485E94" w:rsidRPr="00485E94" w14:paraId="69F83022" w14:textId="77777777" w:rsidTr="00113EF8">
        <w:trPr>
          <w:trHeight w:hRule="exact" w:val="227"/>
          <w:jc w:val="center"/>
        </w:trPr>
        <w:tc>
          <w:tcPr>
            <w:tcW w:w="2667" w:type="dxa"/>
            <w:tcBorders>
              <w:top w:val="nil"/>
              <w:left w:val="nil"/>
              <w:bottom w:val="nil"/>
              <w:right w:val="nil"/>
            </w:tcBorders>
            <w:vAlign w:val="bottom"/>
          </w:tcPr>
          <w:p w14:paraId="0CAFF15A"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SYRIZA</w:t>
            </w:r>
          </w:p>
        </w:tc>
        <w:tc>
          <w:tcPr>
            <w:tcW w:w="1296" w:type="dxa"/>
            <w:tcBorders>
              <w:top w:val="nil"/>
              <w:left w:val="nil"/>
              <w:bottom w:val="nil"/>
              <w:right w:val="nil"/>
            </w:tcBorders>
          </w:tcPr>
          <w:p w14:paraId="54CACE0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34ED590"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263A1D3" w14:textId="1363738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-0.817**</w:t>
            </w:r>
          </w:p>
        </w:tc>
        <w:tc>
          <w:tcPr>
            <w:tcW w:w="1440" w:type="dxa"/>
            <w:tcBorders>
              <w:top w:val="nil"/>
              <w:left w:val="nil"/>
              <w:bottom w:val="nil"/>
              <w:right w:val="single" w:sz="6" w:space="0" w:color="auto"/>
            </w:tcBorders>
          </w:tcPr>
          <w:p w14:paraId="4343CB16" w14:textId="57C7327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1.435***</w:t>
            </w:r>
          </w:p>
        </w:tc>
        <w:tc>
          <w:tcPr>
            <w:tcW w:w="1440" w:type="dxa"/>
            <w:tcBorders>
              <w:top w:val="nil"/>
              <w:left w:val="single" w:sz="6" w:space="0" w:color="auto"/>
              <w:bottom w:val="nil"/>
              <w:right w:val="nil"/>
            </w:tcBorders>
          </w:tcPr>
          <w:p w14:paraId="1AD2D4A5" w14:textId="55BFEEA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-0.704**</w:t>
            </w:r>
          </w:p>
        </w:tc>
        <w:tc>
          <w:tcPr>
            <w:tcW w:w="1440" w:type="dxa"/>
            <w:tcBorders>
              <w:top w:val="nil"/>
              <w:left w:val="nil"/>
              <w:bottom w:val="nil"/>
              <w:right w:val="nil"/>
            </w:tcBorders>
          </w:tcPr>
          <w:p w14:paraId="25347EFB" w14:textId="26C2B00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1.461***</w:t>
            </w:r>
          </w:p>
        </w:tc>
      </w:tr>
      <w:tr w:rsidR="00485E94" w:rsidRPr="00485E94" w14:paraId="61B812E0" w14:textId="77777777" w:rsidTr="00113EF8">
        <w:trPr>
          <w:trHeight w:hRule="exact" w:val="227"/>
          <w:jc w:val="center"/>
        </w:trPr>
        <w:tc>
          <w:tcPr>
            <w:tcW w:w="2667" w:type="dxa"/>
            <w:tcBorders>
              <w:top w:val="nil"/>
              <w:left w:val="nil"/>
              <w:bottom w:val="nil"/>
              <w:right w:val="nil"/>
            </w:tcBorders>
            <w:vAlign w:val="bottom"/>
          </w:tcPr>
          <w:p w14:paraId="715B7718"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CF4BF64"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45F39E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43DB700" w14:textId="7FCC7D9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(0.349)</w:t>
            </w:r>
          </w:p>
        </w:tc>
        <w:tc>
          <w:tcPr>
            <w:tcW w:w="1440" w:type="dxa"/>
            <w:tcBorders>
              <w:top w:val="nil"/>
              <w:left w:val="nil"/>
              <w:bottom w:val="nil"/>
              <w:right w:val="single" w:sz="6" w:space="0" w:color="auto"/>
            </w:tcBorders>
          </w:tcPr>
          <w:p w14:paraId="0EA2518C" w14:textId="3966229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(0.323)</w:t>
            </w:r>
          </w:p>
        </w:tc>
        <w:tc>
          <w:tcPr>
            <w:tcW w:w="1440" w:type="dxa"/>
            <w:tcBorders>
              <w:top w:val="nil"/>
              <w:left w:val="single" w:sz="6" w:space="0" w:color="auto"/>
              <w:bottom w:val="nil"/>
              <w:right w:val="nil"/>
            </w:tcBorders>
          </w:tcPr>
          <w:p w14:paraId="041F1379" w14:textId="183C941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(0.348)</w:t>
            </w:r>
          </w:p>
        </w:tc>
        <w:tc>
          <w:tcPr>
            <w:tcW w:w="1440" w:type="dxa"/>
            <w:tcBorders>
              <w:top w:val="nil"/>
              <w:left w:val="nil"/>
              <w:bottom w:val="nil"/>
              <w:right w:val="nil"/>
            </w:tcBorders>
          </w:tcPr>
          <w:p w14:paraId="373AB17E" w14:textId="0DD8FDC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(0.325)</w:t>
            </w:r>
          </w:p>
        </w:tc>
      </w:tr>
      <w:tr w:rsidR="00485E94" w:rsidRPr="00485E94" w14:paraId="4CC5FEA6" w14:textId="77777777" w:rsidTr="00113EF8">
        <w:trPr>
          <w:trHeight w:hRule="exact" w:val="227"/>
          <w:jc w:val="center"/>
        </w:trPr>
        <w:tc>
          <w:tcPr>
            <w:tcW w:w="2667" w:type="dxa"/>
            <w:tcBorders>
              <w:top w:val="nil"/>
              <w:left w:val="nil"/>
              <w:bottom w:val="nil"/>
              <w:right w:val="nil"/>
            </w:tcBorders>
            <w:vAlign w:val="bottom"/>
          </w:tcPr>
          <w:p w14:paraId="6DB90EFD"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ANEL</w:t>
            </w:r>
          </w:p>
        </w:tc>
        <w:tc>
          <w:tcPr>
            <w:tcW w:w="1296" w:type="dxa"/>
            <w:tcBorders>
              <w:top w:val="nil"/>
              <w:left w:val="nil"/>
              <w:bottom w:val="nil"/>
              <w:right w:val="nil"/>
            </w:tcBorders>
          </w:tcPr>
          <w:p w14:paraId="6F80E42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EBDFA9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943833F" w14:textId="7C90B43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-2.006**</w:t>
            </w:r>
          </w:p>
        </w:tc>
        <w:tc>
          <w:tcPr>
            <w:tcW w:w="1440" w:type="dxa"/>
            <w:tcBorders>
              <w:top w:val="nil"/>
              <w:left w:val="nil"/>
              <w:bottom w:val="nil"/>
              <w:right w:val="single" w:sz="6" w:space="0" w:color="auto"/>
            </w:tcBorders>
          </w:tcPr>
          <w:p w14:paraId="4E0EBC30" w14:textId="5DAD38A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0.623</w:t>
            </w:r>
          </w:p>
        </w:tc>
        <w:tc>
          <w:tcPr>
            <w:tcW w:w="1440" w:type="dxa"/>
            <w:tcBorders>
              <w:top w:val="nil"/>
              <w:left w:val="single" w:sz="6" w:space="0" w:color="auto"/>
              <w:bottom w:val="nil"/>
              <w:right w:val="nil"/>
            </w:tcBorders>
          </w:tcPr>
          <w:p w14:paraId="26564F09" w14:textId="3499EEF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-1.864*</w:t>
            </w:r>
          </w:p>
        </w:tc>
        <w:tc>
          <w:tcPr>
            <w:tcW w:w="1440" w:type="dxa"/>
            <w:tcBorders>
              <w:top w:val="nil"/>
              <w:left w:val="nil"/>
              <w:bottom w:val="nil"/>
              <w:right w:val="nil"/>
            </w:tcBorders>
          </w:tcPr>
          <w:p w14:paraId="5822DEB1" w14:textId="124AC2C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0.692</w:t>
            </w:r>
          </w:p>
        </w:tc>
      </w:tr>
      <w:tr w:rsidR="00485E94" w:rsidRPr="00485E94" w14:paraId="65372B6F" w14:textId="77777777" w:rsidTr="00113EF8">
        <w:trPr>
          <w:trHeight w:hRule="exact" w:val="227"/>
          <w:jc w:val="center"/>
        </w:trPr>
        <w:tc>
          <w:tcPr>
            <w:tcW w:w="2667" w:type="dxa"/>
            <w:tcBorders>
              <w:top w:val="nil"/>
              <w:left w:val="nil"/>
              <w:bottom w:val="nil"/>
              <w:right w:val="nil"/>
            </w:tcBorders>
            <w:vAlign w:val="bottom"/>
          </w:tcPr>
          <w:p w14:paraId="62C6F1A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05329614"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0B4260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A23AD31" w14:textId="0552520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(0.951)</w:t>
            </w:r>
          </w:p>
        </w:tc>
        <w:tc>
          <w:tcPr>
            <w:tcW w:w="1440" w:type="dxa"/>
            <w:tcBorders>
              <w:top w:val="nil"/>
              <w:left w:val="nil"/>
              <w:bottom w:val="nil"/>
              <w:right w:val="single" w:sz="6" w:space="0" w:color="auto"/>
            </w:tcBorders>
          </w:tcPr>
          <w:p w14:paraId="65B7F1B0" w14:textId="085FF25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(0.544)</w:t>
            </w:r>
          </w:p>
        </w:tc>
        <w:tc>
          <w:tcPr>
            <w:tcW w:w="1440" w:type="dxa"/>
            <w:tcBorders>
              <w:top w:val="nil"/>
              <w:left w:val="single" w:sz="6" w:space="0" w:color="auto"/>
              <w:bottom w:val="nil"/>
              <w:right w:val="nil"/>
            </w:tcBorders>
          </w:tcPr>
          <w:p w14:paraId="5CBFDDD1" w14:textId="2028085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(0.958)</w:t>
            </w:r>
          </w:p>
        </w:tc>
        <w:tc>
          <w:tcPr>
            <w:tcW w:w="1440" w:type="dxa"/>
            <w:tcBorders>
              <w:top w:val="nil"/>
              <w:left w:val="nil"/>
              <w:bottom w:val="nil"/>
              <w:right w:val="nil"/>
            </w:tcBorders>
          </w:tcPr>
          <w:p w14:paraId="47AD7A3C" w14:textId="03E617D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(0.564)</w:t>
            </w:r>
          </w:p>
        </w:tc>
      </w:tr>
      <w:tr w:rsidR="00485E94" w:rsidRPr="00485E94" w14:paraId="203E0716" w14:textId="77777777" w:rsidTr="00113EF8">
        <w:trPr>
          <w:trHeight w:hRule="exact" w:val="227"/>
          <w:jc w:val="center"/>
        </w:trPr>
        <w:tc>
          <w:tcPr>
            <w:tcW w:w="2667" w:type="dxa"/>
            <w:tcBorders>
              <w:top w:val="nil"/>
              <w:left w:val="nil"/>
              <w:bottom w:val="nil"/>
              <w:right w:val="nil"/>
            </w:tcBorders>
            <w:vAlign w:val="bottom"/>
          </w:tcPr>
          <w:p w14:paraId="108A20C9"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PASOK</w:t>
            </w:r>
          </w:p>
        </w:tc>
        <w:tc>
          <w:tcPr>
            <w:tcW w:w="1296" w:type="dxa"/>
            <w:tcBorders>
              <w:top w:val="nil"/>
              <w:left w:val="nil"/>
              <w:bottom w:val="nil"/>
              <w:right w:val="nil"/>
            </w:tcBorders>
          </w:tcPr>
          <w:p w14:paraId="1E18823C"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2D48E8A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611212A0" w14:textId="3D47304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0.305</w:t>
            </w:r>
          </w:p>
        </w:tc>
        <w:tc>
          <w:tcPr>
            <w:tcW w:w="1440" w:type="dxa"/>
            <w:tcBorders>
              <w:top w:val="nil"/>
              <w:left w:val="nil"/>
              <w:bottom w:val="nil"/>
              <w:right w:val="single" w:sz="6" w:space="0" w:color="auto"/>
            </w:tcBorders>
          </w:tcPr>
          <w:p w14:paraId="0D617AAA" w14:textId="190F79F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0.0177</w:t>
            </w:r>
          </w:p>
        </w:tc>
        <w:tc>
          <w:tcPr>
            <w:tcW w:w="1440" w:type="dxa"/>
            <w:tcBorders>
              <w:top w:val="nil"/>
              <w:left w:val="single" w:sz="6" w:space="0" w:color="auto"/>
              <w:bottom w:val="nil"/>
              <w:right w:val="nil"/>
            </w:tcBorders>
          </w:tcPr>
          <w:p w14:paraId="6FAB8CDE" w14:textId="612DA74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0.290</w:t>
            </w:r>
          </w:p>
        </w:tc>
        <w:tc>
          <w:tcPr>
            <w:tcW w:w="1440" w:type="dxa"/>
            <w:tcBorders>
              <w:top w:val="nil"/>
              <w:left w:val="nil"/>
              <w:bottom w:val="nil"/>
              <w:right w:val="nil"/>
            </w:tcBorders>
          </w:tcPr>
          <w:p w14:paraId="23481AEF" w14:textId="1CE296C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0.0285</w:t>
            </w:r>
          </w:p>
        </w:tc>
      </w:tr>
      <w:tr w:rsidR="00485E94" w:rsidRPr="00485E94" w14:paraId="41E1B590" w14:textId="77777777" w:rsidTr="00113EF8">
        <w:trPr>
          <w:trHeight w:hRule="exact" w:val="227"/>
          <w:jc w:val="center"/>
        </w:trPr>
        <w:tc>
          <w:tcPr>
            <w:tcW w:w="2667" w:type="dxa"/>
            <w:tcBorders>
              <w:top w:val="nil"/>
              <w:left w:val="nil"/>
              <w:bottom w:val="nil"/>
              <w:right w:val="nil"/>
            </w:tcBorders>
            <w:vAlign w:val="bottom"/>
          </w:tcPr>
          <w:p w14:paraId="06A29CA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27616FD7"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600C6086"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5DFD137" w14:textId="134F139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(0.495)</w:t>
            </w:r>
          </w:p>
        </w:tc>
        <w:tc>
          <w:tcPr>
            <w:tcW w:w="1440" w:type="dxa"/>
            <w:tcBorders>
              <w:top w:val="nil"/>
              <w:left w:val="nil"/>
              <w:bottom w:val="nil"/>
              <w:right w:val="single" w:sz="6" w:space="0" w:color="auto"/>
            </w:tcBorders>
          </w:tcPr>
          <w:p w14:paraId="066A1156" w14:textId="09C40CA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(0.527)</w:t>
            </w:r>
          </w:p>
        </w:tc>
        <w:tc>
          <w:tcPr>
            <w:tcW w:w="1440" w:type="dxa"/>
            <w:tcBorders>
              <w:top w:val="nil"/>
              <w:left w:val="single" w:sz="6" w:space="0" w:color="auto"/>
              <w:bottom w:val="nil"/>
              <w:right w:val="nil"/>
            </w:tcBorders>
          </w:tcPr>
          <w:p w14:paraId="2E27C85D" w14:textId="798EEC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(0.495)</w:t>
            </w:r>
          </w:p>
        </w:tc>
        <w:tc>
          <w:tcPr>
            <w:tcW w:w="1440" w:type="dxa"/>
            <w:tcBorders>
              <w:top w:val="nil"/>
              <w:left w:val="nil"/>
              <w:bottom w:val="nil"/>
              <w:right w:val="nil"/>
            </w:tcBorders>
          </w:tcPr>
          <w:p w14:paraId="473E737F" w14:textId="0F8521F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(0.527)</w:t>
            </w:r>
          </w:p>
        </w:tc>
      </w:tr>
      <w:tr w:rsidR="00485E94" w:rsidRPr="00485E94" w14:paraId="4569C7B0" w14:textId="77777777" w:rsidTr="00113EF8">
        <w:trPr>
          <w:trHeight w:hRule="exact" w:val="227"/>
          <w:jc w:val="center"/>
        </w:trPr>
        <w:tc>
          <w:tcPr>
            <w:tcW w:w="2667" w:type="dxa"/>
            <w:tcBorders>
              <w:top w:val="nil"/>
              <w:left w:val="nil"/>
              <w:bottom w:val="nil"/>
              <w:right w:val="nil"/>
            </w:tcBorders>
            <w:vAlign w:val="bottom"/>
          </w:tcPr>
          <w:p w14:paraId="0AFF3AC5"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To Potami</w:t>
            </w:r>
          </w:p>
        </w:tc>
        <w:tc>
          <w:tcPr>
            <w:tcW w:w="1296" w:type="dxa"/>
            <w:tcBorders>
              <w:top w:val="nil"/>
              <w:left w:val="nil"/>
              <w:bottom w:val="nil"/>
              <w:right w:val="nil"/>
            </w:tcBorders>
          </w:tcPr>
          <w:p w14:paraId="7C7E48C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3BB7A8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1A592ECB" w14:textId="08A4C6F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-0.170</w:t>
            </w:r>
          </w:p>
        </w:tc>
        <w:tc>
          <w:tcPr>
            <w:tcW w:w="1440" w:type="dxa"/>
            <w:tcBorders>
              <w:top w:val="nil"/>
              <w:left w:val="nil"/>
              <w:bottom w:val="nil"/>
              <w:right w:val="single" w:sz="6" w:space="0" w:color="auto"/>
            </w:tcBorders>
          </w:tcPr>
          <w:p w14:paraId="6A64E4BB" w14:textId="5E3BD35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-0.189</w:t>
            </w:r>
          </w:p>
        </w:tc>
        <w:tc>
          <w:tcPr>
            <w:tcW w:w="1440" w:type="dxa"/>
            <w:tcBorders>
              <w:top w:val="nil"/>
              <w:left w:val="single" w:sz="6" w:space="0" w:color="auto"/>
              <w:bottom w:val="nil"/>
              <w:right w:val="nil"/>
            </w:tcBorders>
          </w:tcPr>
          <w:p w14:paraId="3BA7C29C" w14:textId="4ED8DE4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-0.199</w:t>
            </w:r>
          </w:p>
        </w:tc>
        <w:tc>
          <w:tcPr>
            <w:tcW w:w="1440" w:type="dxa"/>
            <w:tcBorders>
              <w:top w:val="nil"/>
              <w:left w:val="nil"/>
              <w:bottom w:val="nil"/>
              <w:right w:val="nil"/>
            </w:tcBorders>
          </w:tcPr>
          <w:p w14:paraId="2DE1AAFF" w14:textId="1A4197A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-0.180</w:t>
            </w:r>
          </w:p>
        </w:tc>
      </w:tr>
      <w:tr w:rsidR="00485E94" w:rsidRPr="00485E94" w14:paraId="1D57D044" w14:textId="77777777" w:rsidTr="00113EF8">
        <w:trPr>
          <w:trHeight w:hRule="exact" w:val="227"/>
          <w:jc w:val="center"/>
        </w:trPr>
        <w:tc>
          <w:tcPr>
            <w:tcW w:w="2667" w:type="dxa"/>
            <w:tcBorders>
              <w:top w:val="nil"/>
              <w:left w:val="nil"/>
              <w:bottom w:val="nil"/>
              <w:right w:val="nil"/>
            </w:tcBorders>
            <w:vAlign w:val="bottom"/>
          </w:tcPr>
          <w:p w14:paraId="061E769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9B9506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354E8AC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12F152B" w14:textId="4D7B951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(0.450)</w:t>
            </w:r>
          </w:p>
        </w:tc>
        <w:tc>
          <w:tcPr>
            <w:tcW w:w="1440" w:type="dxa"/>
            <w:tcBorders>
              <w:top w:val="nil"/>
              <w:left w:val="nil"/>
              <w:bottom w:val="nil"/>
              <w:right w:val="single" w:sz="6" w:space="0" w:color="auto"/>
            </w:tcBorders>
          </w:tcPr>
          <w:p w14:paraId="264BC56D" w14:textId="293171F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(0.495)</w:t>
            </w:r>
          </w:p>
        </w:tc>
        <w:tc>
          <w:tcPr>
            <w:tcW w:w="1440" w:type="dxa"/>
            <w:tcBorders>
              <w:top w:val="nil"/>
              <w:left w:val="single" w:sz="6" w:space="0" w:color="auto"/>
              <w:bottom w:val="nil"/>
              <w:right w:val="nil"/>
            </w:tcBorders>
          </w:tcPr>
          <w:p w14:paraId="43E19FEB" w14:textId="10966C4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(0.451)</w:t>
            </w:r>
          </w:p>
        </w:tc>
        <w:tc>
          <w:tcPr>
            <w:tcW w:w="1440" w:type="dxa"/>
            <w:tcBorders>
              <w:top w:val="nil"/>
              <w:left w:val="nil"/>
              <w:bottom w:val="nil"/>
              <w:right w:val="nil"/>
            </w:tcBorders>
          </w:tcPr>
          <w:p w14:paraId="41C0D27D" w14:textId="275A5201"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(0.496)</w:t>
            </w:r>
          </w:p>
        </w:tc>
      </w:tr>
      <w:tr w:rsidR="00485E94" w:rsidRPr="00485E94" w14:paraId="5EAAB40D" w14:textId="77777777" w:rsidTr="00113EF8">
        <w:trPr>
          <w:trHeight w:hRule="exact" w:val="227"/>
          <w:jc w:val="center"/>
        </w:trPr>
        <w:tc>
          <w:tcPr>
            <w:tcW w:w="2667" w:type="dxa"/>
            <w:tcBorders>
              <w:top w:val="nil"/>
              <w:left w:val="nil"/>
              <w:bottom w:val="nil"/>
              <w:right w:val="nil"/>
            </w:tcBorders>
            <w:vAlign w:val="bottom"/>
          </w:tcPr>
          <w:p w14:paraId="4CDD85C9"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Golden Dawn</w:t>
            </w:r>
          </w:p>
        </w:tc>
        <w:tc>
          <w:tcPr>
            <w:tcW w:w="1296" w:type="dxa"/>
            <w:tcBorders>
              <w:top w:val="nil"/>
              <w:left w:val="nil"/>
              <w:bottom w:val="nil"/>
              <w:right w:val="nil"/>
            </w:tcBorders>
          </w:tcPr>
          <w:p w14:paraId="69625BF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D6FEF4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A3C1026" w14:textId="1ACFB1C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-0.754</w:t>
            </w:r>
          </w:p>
        </w:tc>
        <w:tc>
          <w:tcPr>
            <w:tcW w:w="1440" w:type="dxa"/>
            <w:tcBorders>
              <w:top w:val="nil"/>
              <w:left w:val="nil"/>
              <w:bottom w:val="nil"/>
              <w:right w:val="single" w:sz="6" w:space="0" w:color="auto"/>
            </w:tcBorders>
          </w:tcPr>
          <w:p w14:paraId="7D445E0A" w14:textId="3E21BE5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0.450</w:t>
            </w:r>
          </w:p>
        </w:tc>
        <w:tc>
          <w:tcPr>
            <w:tcW w:w="1440" w:type="dxa"/>
            <w:tcBorders>
              <w:top w:val="nil"/>
              <w:left w:val="single" w:sz="6" w:space="0" w:color="auto"/>
              <w:bottom w:val="nil"/>
              <w:right w:val="nil"/>
            </w:tcBorders>
          </w:tcPr>
          <w:p w14:paraId="42D8967A" w14:textId="2225D83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-0.703</w:t>
            </w:r>
          </w:p>
        </w:tc>
        <w:tc>
          <w:tcPr>
            <w:tcW w:w="1440" w:type="dxa"/>
            <w:tcBorders>
              <w:top w:val="nil"/>
              <w:left w:val="nil"/>
              <w:bottom w:val="nil"/>
              <w:right w:val="nil"/>
            </w:tcBorders>
          </w:tcPr>
          <w:p w14:paraId="0A118F14" w14:textId="5DCF521F"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0.503</w:t>
            </w:r>
          </w:p>
        </w:tc>
      </w:tr>
      <w:tr w:rsidR="00485E94" w:rsidRPr="00485E94" w14:paraId="3671CE99" w14:textId="77777777" w:rsidTr="00113EF8">
        <w:trPr>
          <w:trHeight w:hRule="exact" w:val="227"/>
          <w:jc w:val="center"/>
        </w:trPr>
        <w:tc>
          <w:tcPr>
            <w:tcW w:w="2667" w:type="dxa"/>
            <w:tcBorders>
              <w:top w:val="nil"/>
              <w:left w:val="nil"/>
              <w:bottom w:val="nil"/>
              <w:right w:val="nil"/>
            </w:tcBorders>
            <w:vAlign w:val="bottom"/>
          </w:tcPr>
          <w:p w14:paraId="55CA42FE"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4B78F62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7A88BF0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6B15C04A" w14:textId="70B3A3CD"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(0.731)</w:t>
            </w:r>
          </w:p>
        </w:tc>
        <w:tc>
          <w:tcPr>
            <w:tcW w:w="1440" w:type="dxa"/>
            <w:tcBorders>
              <w:top w:val="nil"/>
              <w:left w:val="nil"/>
              <w:bottom w:val="nil"/>
              <w:right w:val="single" w:sz="6" w:space="0" w:color="auto"/>
            </w:tcBorders>
          </w:tcPr>
          <w:p w14:paraId="3C7ED92F" w14:textId="2F8F9F0C"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(0.673)</w:t>
            </w:r>
          </w:p>
        </w:tc>
        <w:tc>
          <w:tcPr>
            <w:tcW w:w="1440" w:type="dxa"/>
            <w:tcBorders>
              <w:top w:val="nil"/>
              <w:left w:val="single" w:sz="6" w:space="0" w:color="auto"/>
              <w:bottom w:val="nil"/>
              <w:right w:val="nil"/>
            </w:tcBorders>
          </w:tcPr>
          <w:p w14:paraId="695EB51E" w14:textId="1968E6C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(0.717)</w:t>
            </w:r>
          </w:p>
        </w:tc>
        <w:tc>
          <w:tcPr>
            <w:tcW w:w="1440" w:type="dxa"/>
            <w:tcBorders>
              <w:top w:val="nil"/>
              <w:left w:val="nil"/>
              <w:bottom w:val="nil"/>
              <w:right w:val="nil"/>
            </w:tcBorders>
          </w:tcPr>
          <w:p w14:paraId="71571FF4" w14:textId="551B8D4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(0.650)</w:t>
            </w:r>
          </w:p>
        </w:tc>
      </w:tr>
      <w:tr w:rsidR="00485E94" w:rsidRPr="00485E94" w14:paraId="26201658" w14:textId="77777777" w:rsidTr="00113EF8">
        <w:trPr>
          <w:trHeight w:hRule="exact" w:val="227"/>
          <w:jc w:val="center"/>
        </w:trPr>
        <w:tc>
          <w:tcPr>
            <w:tcW w:w="2667" w:type="dxa"/>
            <w:tcBorders>
              <w:top w:val="nil"/>
              <w:left w:val="nil"/>
              <w:bottom w:val="nil"/>
              <w:right w:val="nil"/>
            </w:tcBorders>
            <w:vAlign w:val="bottom"/>
          </w:tcPr>
          <w:p w14:paraId="470FA045"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Abstention</w:t>
            </w:r>
          </w:p>
        </w:tc>
        <w:tc>
          <w:tcPr>
            <w:tcW w:w="1296" w:type="dxa"/>
            <w:tcBorders>
              <w:top w:val="nil"/>
              <w:left w:val="nil"/>
              <w:bottom w:val="nil"/>
              <w:right w:val="nil"/>
            </w:tcBorders>
          </w:tcPr>
          <w:p w14:paraId="3D8444FE"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6579A85"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9CF966A" w14:textId="383BB9C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-0.706*</w:t>
            </w:r>
          </w:p>
        </w:tc>
        <w:tc>
          <w:tcPr>
            <w:tcW w:w="1440" w:type="dxa"/>
            <w:tcBorders>
              <w:top w:val="nil"/>
              <w:left w:val="nil"/>
              <w:bottom w:val="nil"/>
              <w:right w:val="single" w:sz="6" w:space="0" w:color="auto"/>
            </w:tcBorders>
          </w:tcPr>
          <w:p w14:paraId="6BCA3FE4" w14:textId="6AC5E88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0.598</w:t>
            </w:r>
          </w:p>
        </w:tc>
        <w:tc>
          <w:tcPr>
            <w:tcW w:w="1440" w:type="dxa"/>
            <w:tcBorders>
              <w:top w:val="nil"/>
              <w:left w:val="single" w:sz="6" w:space="0" w:color="auto"/>
              <w:bottom w:val="nil"/>
              <w:right w:val="nil"/>
            </w:tcBorders>
          </w:tcPr>
          <w:p w14:paraId="4901F06F" w14:textId="45E1CE8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-0.596</w:t>
            </w:r>
          </w:p>
        </w:tc>
        <w:tc>
          <w:tcPr>
            <w:tcW w:w="1440" w:type="dxa"/>
            <w:tcBorders>
              <w:top w:val="nil"/>
              <w:left w:val="nil"/>
              <w:bottom w:val="nil"/>
              <w:right w:val="nil"/>
            </w:tcBorders>
          </w:tcPr>
          <w:p w14:paraId="6A71ADA9" w14:textId="11E5289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0.589</w:t>
            </w:r>
          </w:p>
        </w:tc>
      </w:tr>
      <w:tr w:rsidR="00485E94" w:rsidRPr="00485E94" w14:paraId="52524EB1" w14:textId="77777777" w:rsidTr="00113EF8">
        <w:trPr>
          <w:trHeight w:hRule="exact" w:val="227"/>
          <w:jc w:val="center"/>
        </w:trPr>
        <w:tc>
          <w:tcPr>
            <w:tcW w:w="2667" w:type="dxa"/>
            <w:tcBorders>
              <w:top w:val="nil"/>
              <w:left w:val="nil"/>
              <w:bottom w:val="nil"/>
              <w:right w:val="nil"/>
            </w:tcBorders>
            <w:vAlign w:val="bottom"/>
          </w:tcPr>
          <w:p w14:paraId="380601AA"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97AAC7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5237965E"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9906A04" w14:textId="4580183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(0.423)</w:t>
            </w:r>
          </w:p>
        </w:tc>
        <w:tc>
          <w:tcPr>
            <w:tcW w:w="1440" w:type="dxa"/>
            <w:tcBorders>
              <w:top w:val="nil"/>
              <w:left w:val="nil"/>
              <w:bottom w:val="nil"/>
              <w:right w:val="single" w:sz="6" w:space="0" w:color="auto"/>
            </w:tcBorders>
          </w:tcPr>
          <w:p w14:paraId="743FFB6F" w14:textId="294C411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(0.401)</w:t>
            </w:r>
          </w:p>
        </w:tc>
        <w:tc>
          <w:tcPr>
            <w:tcW w:w="1440" w:type="dxa"/>
            <w:tcBorders>
              <w:top w:val="nil"/>
              <w:left w:val="single" w:sz="6" w:space="0" w:color="auto"/>
              <w:bottom w:val="nil"/>
              <w:right w:val="nil"/>
            </w:tcBorders>
          </w:tcPr>
          <w:p w14:paraId="559DC550" w14:textId="71187CF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(0.435)</w:t>
            </w:r>
          </w:p>
        </w:tc>
        <w:tc>
          <w:tcPr>
            <w:tcW w:w="1440" w:type="dxa"/>
            <w:tcBorders>
              <w:top w:val="nil"/>
              <w:left w:val="nil"/>
              <w:bottom w:val="nil"/>
              <w:right w:val="nil"/>
            </w:tcBorders>
          </w:tcPr>
          <w:p w14:paraId="20A76ECC" w14:textId="33D3B29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(0.410)</w:t>
            </w:r>
          </w:p>
        </w:tc>
      </w:tr>
      <w:tr w:rsidR="00485E94" w:rsidRPr="00485E94" w14:paraId="3BB7B435" w14:textId="77777777" w:rsidTr="00113EF8">
        <w:trPr>
          <w:trHeight w:hRule="exact" w:val="227"/>
          <w:jc w:val="center"/>
        </w:trPr>
        <w:tc>
          <w:tcPr>
            <w:tcW w:w="2667" w:type="dxa"/>
            <w:tcBorders>
              <w:top w:val="nil"/>
              <w:left w:val="nil"/>
              <w:bottom w:val="nil"/>
              <w:right w:val="nil"/>
            </w:tcBorders>
            <w:vAlign w:val="bottom"/>
          </w:tcPr>
          <w:p w14:paraId="3AA1BA30"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Other Party</w:t>
            </w:r>
          </w:p>
        </w:tc>
        <w:tc>
          <w:tcPr>
            <w:tcW w:w="1296" w:type="dxa"/>
            <w:tcBorders>
              <w:top w:val="nil"/>
              <w:left w:val="nil"/>
              <w:bottom w:val="nil"/>
              <w:right w:val="nil"/>
            </w:tcBorders>
          </w:tcPr>
          <w:p w14:paraId="69708DC4"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DFB793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5366D540" w14:textId="1B5C2E4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-1.158***</w:t>
            </w:r>
          </w:p>
        </w:tc>
        <w:tc>
          <w:tcPr>
            <w:tcW w:w="1440" w:type="dxa"/>
            <w:tcBorders>
              <w:top w:val="nil"/>
              <w:left w:val="nil"/>
              <w:bottom w:val="nil"/>
              <w:right w:val="single" w:sz="6" w:space="0" w:color="auto"/>
            </w:tcBorders>
          </w:tcPr>
          <w:p w14:paraId="2B0FEC04" w14:textId="335C0AD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0.458</w:t>
            </w:r>
          </w:p>
        </w:tc>
        <w:tc>
          <w:tcPr>
            <w:tcW w:w="1440" w:type="dxa"/>
            <w:tcBorders>
              <w:top w:val="nil"/>
              <w:left w:val="single" w:sz="6" w:space="0" w:color="auto"/>
              <w:bottom w:val="nil"/>
              <w:right w:val="nil"/>
            </w:tcBorders>
          </w:tcPr>
          <w:p w14:paraId="1CDE2148" w14:textId="67E73AA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-0.999***</w:t>
            </w:r>
          </w:p>
        </w:tc>
        <w:tc>
          <w:tcPr>
            <w:tcW w:w="1440" w:type="dxa"/>
            <w:tcBorders>
              <w:top w:val="nil"/>
              <w:left w:val="nil"/>
              <w:bottom w:val="nil"/>
              <w:right w:val="nil"/>
            </w:tcBorders>
          </w:tcPr>
          <w:p w14:paraId="10AF9A1B" w14:textId="1E2F623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0.442</w:t>
            </w:r>
          </w:p>
        </w:tc>
      </w:tr>
      <w:tr w:rsidR="00485E94" w:rsidRPr="00485E94" w14:paraId="17F54758" w14:textId="77777777" w:rsidTr="00113EF8">
        <w:trPr>
          <w:trHeight w:hRule="exact" w:val="227"/>
          <w:jc w:val="center"/>
        </w:trPr>
        <w:tc>
          <w:tcPr>
            <w:tcW w:w="2667" w:type="dxa"/>
            <w:tcBorders>
              <w:top w:val="nil"/>
              <w:left w:val="nil"/>
              <w:bottom w:val="nil"/>
              <w:right w:val="nil"/>
            </w:tcBorders>
            <w:vAlign w:val="bottom"/>
          </w:tcPr>
          <w:p w14:paraId="11892A27"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5622C5ED"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F0FF1F0"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71C139AF" w14:textId="03267FD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(0.352)</w:t>
            </w:r>
          </w:p>
        </w:tc>
        <w:tc>
          <w:tcPr>
            <w:tcW w:w="1440" w:type="dxa"/>
            <w:tcBorders>
              <w:top w:val="nil"/>
              <w:left w:val="nil"/>
              <w:bottom w:val="nil"/>
              <w:right w:val="single" w:sz="6" w:space="0" w:color="auto"/>
            </w:tcBorders>
          </w:tcPr>
          <w:p w14:paraId="1CCEE2F1" w14:textId="55D0030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(0.329)</w:t>
            </w:r>
          </w:p>
        </w:tc>
        <w:tc>
          <w:tcPr>
            <w:tcW w:w="1440" w:type="dxa"/>
            <w:tcBorders>
              <w:top w:val="nil"/>
              <w:left w:val="single" w:sz="6" w:space="0" w:color="auto"/>
              <w:bottom w:val="nil"/>
              <w:right w:val="nil"/>
            </w:tcBorders>
          </w:tcPr>
          <w:p w14:paraId="47E4EE79" w14:textId="1951E21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(0.350)</w:t>
            </w:r>
          </w:p>
        </w:tc>
        <w:tc>
          <w:tcPr>
            <w:tcW w:w="1440" w:type="dxa"/>
            <w:tcBorders>
              <w:top w:val="nil"/>
              <w:left w:val="nil"/>
              <w:bottom w:val="nil"/>
              <w:right w:val="nil"/>
            </w:tcBorders>
          </w:tcPr>
          <w:p w14:paraId="349D7744" w14:textId="25147A0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(0.331)</w:t>
            </w:r>
          </w:p>
        </w:tc>
      </w:tr>
      <w:tr w:rsidR="00485E94" w:rsidRPr="00485E94" w14:paraId="198E27C6" w14:textId="77777777" w:rsidTr="00113EF8">
        <w:trPr>
          <w:trHeight w:hRule="exact" w:val="227"/>
          <w:jc w:val="center"/>
        </w:trPr>
        <w:tc>
          <w:tcPr>
            <w:tcW w:w="2667" w:type="dxa"/>
            <w:tcBorders>
              <w:top w:val="nil"/>
              <w:left w:val="nil"/>
              <w:bottom w:val="nil"/>
              <w:right w:val="nil"/>
            </w:tcBorders>
            <w:vAlign w:val="bottom"/>
          </w:tcPr>
          <w:p w14:paraId="37BEB411"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Preference: leave euro</w:t>
            </w:r>
          </w:p>
        </w:tc>
        <w:tc>
          <w:tcPr>
            <w:tcW w:w="1296" w:type="dxa"/>
            <w:tcBorders>
              <w:top w:val="nil"/>
              <w:left w:val="nil"/>
              <w:bottom w:val="nil"/>
              <w:right w:val="nil"/>
            </w:tcBorders>
          </w:tcPr>
          <w:p w14:paraId="2A0EB363"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1104B42F"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7C813308"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38FB072"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A70C6AD" w14:textId="2C69BFF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0.788</w:t>
            </w:r>
          </w:p>
        </w:tc>
        <w:tc>
          <w:tcPr>
            <w:tcW w:w="1440" w:type="dxa"/>
            <w:tcBorders>
              <w:top w:val="nil"/>
              <w:left w:val="nil"/>
              <w:bottom w:val="nil"/>
              <w:right w:val="nil"/>
            </w:tcBorders>
          </w:tcPr>
          <w:p w14:paraId="1382BCB5" w14:textId="7B33FBC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-0.219</w:t>
            </w:r>
          </w:p>
        </w:tc>
      </w:tr>
      <w:tr w:rsidR="00485E94" w:rsidRPr="00485E94" w14:paraId="0D0DC864" w14:textId="77777777" w:rsidTr="00113EF8">
        <w:trPr>
          <w:trHeight w:hRule="exact" w:val="227"/>
          <w:jc w:val="center"/>
        </w:trPr>
        <w:tc>
          <w:tcPr>
            <w:tcW w:w="2667" w:type="dxa"/>
            <w:tcBorders>
              <w:top w:val="nil"/>
              <w:left w:val="nil"/>
              <w:bottom w:val="nil"/>
              <w:right w:val="nil"/>
            </w:tcBorders>
            <w:vAlign w:val="bottom"/>
          </w:tcPr>
          <w:p w14:paraId="7D989D5C"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62D9C8BB"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57F6A6F1"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2C6F52CE"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5C867D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444E6D2" w14:textId="3283DEB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(0.502)</w:t>
            </w:r>
          </w:p>
        </w:tc>
        <w:tc>
          <w:tcPr>
            <w:tcW w:w="1440" w:type="dxa"/>
            <w:tcBorders>
              <w:top w:val="nil"/>
              <w:left w:val="nil"/>
              <w:bottom w:val="nil"/>
              <w:right w:val="nil"/>
            </w:tcBorders>
          </w:tcPr>
          <w:p w14:paraId="5257CAD9" w14:textId="1B066686"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(0.350)</w:t>
            </w:r>
          </w:p>
        </w:tc>
      </w:tr>
      <w:tr w:rsidR="00485E94" w:rsidRPr="00485E94" w14:paraId="5B6E85C5" w14:textId="77777777" w:rsidTr="00113EF8">
        <w:trPr>
          <w:trHeight w:hRule="exact" w:val="227"/>
          <w:jc w:val="center"/>
        </w:trPr>
        <w:tc>
          <w:tcPr>
            <w:tcW w:w="2667" w:type="dxa"/>
            <w:tcBorders>
              <w:top w:val="nil"/>
              <w:left w:val="nil"/>
              <w:bottom w:val="nil"/>
              <w:right w:val="nil"/>
            </w:tcBorders>
            <w:vAlign w:val="bottom"/>
          </w:tcPr>
          <w:p w14:paraId="64CD6AD5"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eastAsia="Times New Roman" w:hAnsi="Times New Roman" w:cs="Times New Roman"/>
                <w:color w:val="000000"/>
                <w:sz w:val="20"/>
                <w:szCs w:val="20"/>
                <w:lang w:val="en-US" w:eastAsia="es-ES"/>
              </w:rPr>
              <w:t>Preference: stay euro</w:t>
            </w:r>
          </w:p>
        </w:tc>
        <w:tc>
          <w:tcPr>
            <w:tcW w:w="1296" w:type="dxa"/>
            <w:tcBorders>
              <w:top w:val="nil"/>
              <w:left w:val="nil"/>
              <w:bottom w:val="nil"/>
              <w:right w:val="nil"/>
            </w:tcBorders>
          </w:tcPr>
          <w:p w14:paraId="37886AA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770A3D9"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74A7621"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4EA28F9A"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4D6BE8F3" w14:textId="5E83F3C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0.169</w:t>
            </w:r>
          </w:p>
        </w:tc>
        <w:tc>
          <w:tcPr>
            <w:tcW w:w="1440" w:type="dxa"/>
            <w:tcBorders>
              <w:top w:val="nil"/>
              <w:left w:val="nil"/>
              <w:bottom w:val="nil"/>
              <w:right w:val="nil"/>
            </w:tcBorders>
          </w:tcPr>
          <w:p w14:paraId="3FD4A298" w14:textId="289A31AA"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-0.483</w:t>
            </w:r>
          </w:p>
        </w:tc>
      </w:tr>
      <w:tr w:rsidR="00485E94" w:rsidRPr="00485E94" w14:paraId="5B762DF2" w14:textId="77777777" w:rsidTr="00113EF8">
        <w:trPr>
          <w:trHeight w:hRule="exact" w:val="227"/>
          <w:jc w:val="center"/>
        </w:trPr>
        <w:tc>
          <w:tcPr>
            <w:tcW w:w="2667" w:type="dxa"/>
            <w:tcBorders>
              <w:top w:val="nil"/>
              <w:left w:val="nil"/>
              <w:bottom w:val="nil"/>
              <w:right w:val="nil"/>
            </w:tcBorders>
            <w:vAlign w:val="bottom"/>
          </w:tcPr>
          <w:p w14:paraId="3A0ECDA1"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nil"/>
              <w:right w:val="nil"/>
            </w:tcBorders>
          </w:tcPr>
          <w:p w14:paraId="64F36504"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687727E3"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3E421CB6"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nil"/>
              <w:right w:val="single" w:sz="6" w:space="0" w:color="auto"/>
            </w:tcBorders>
          </w:tcPr>
          <w:p w14:paraId="09544584" w14:textId="77777777"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nil"/>
              <w:right w:val="nil"/>
            </w:tcBorders>
          </w:tcPr>
          <w:p w14:paraId="00FB92CD" w14:textId="6C355B0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(0.641)</w:t>
            </w:r>
          </w:p>
        </w:tc>
        <w:tc>
          <w:tcPr>
            <w:tcW w:w="1440" w:type="dxa"/>
            <w:tcBorders>
              <w:top w:val="nil"/>
              <w:left w:val="nil"/>
              <w:bottom w:val="nil"/>
              <w:right w:val="nil"/>
            </w:tcBorders>
          </w:tcPr>
          <w:p w14:paraId="4E3B7EA4" w14:textId="6CD90B2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(0.458)</w:t>
            </w:r>
          </w:p>
        </w:tc>
      </w:tr>
      <w:tr w:rsidR="00485E94" w:rsidRPr="00485E94" w14:paraId="6DD734B5" w14:textId="77777777" w:rsidTr="00113EF8">
        <w:tblPrEx>
          <w:tblBorders>
            <w:bottom w:val="single" w:sz="6" w:space="0" w:color="auto"/>
          </w:tblBorders>
        </w:tblPrEx>
        <w:trPr>
          <w:trHeight w:hRule="exact" w:val="227"/>
          <w:jc w:val="center"/>
        </w:trPr>
        <w:tc>
          <w:tcPr>
            <w:tcW w:w="2667" w:type="dxa"/>
            <w:tcBorders>
              <w:top w:val="nil"/>
              <w:left w:val="nil"/>
              <w:bottom w:val="single" w:sz="6" w:space="0" w:color="auto"/>
              <w:right w:val="nil"/>
            </w:tcBorders>
          </w:tcPr>
          <w:p w14:paraId="5FCD9672"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r w:rsidRPr="00485E94">
              <w:rPr>
                <w:rFonts w:ascii="Times New Roman" w:hAnsi="Times New Roman" w:cs="Times New Roman"/>
                <w:sz w:val="20"/>
                <w:szCs w:val="20"/>
                <w:lang w:val="en-US"/>
              </w:rPr>
              <w:t>Observations</w:t>
            </w:r>
          </w:p>
        </w:tc>
        <w:tc>
          <w:tcPr>
            <w:tcW w:w="1296" w:type="dxa"/>
            <w:tcBorders>
              <w:top w:val="nil"/>
              <w:left w:val="nil"/>
              <w:bottom w:val="single" w:sz="6" w:space="0" w:color="auto"/>
              <w:right w:val="nil"/>
            </w:tcBorders>
          </w:tcPr>
          <w:p w14:paraId="6D118514" w14:textId="5D8D5A0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single" w:sz="6" w:space="0" w:color="auto"/>
              <w:right w:val="single" w:sz="6" w:space="0" w:color="auto"/>
            </w:tcBorders>
          </w:tcPr>
          <w:p w14:paraId="542B3F29" w14:textId="12C321B3"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single" w:sz="6" w:space="0" w:color="auto"/>
              <w:right w:val="nil"/>
            </w:tcBorders>
          </w:tcPr>
          <w:p w14:paraId="1A22DB24" w14:textId="62F08620"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single" w:sz="6" w:space="0" w:color="auto"/>
              <w:right w:val="single" w:sz="6" w:space="0" w:color="auto"/>
            </w:tcBorders>
          </w:tcPr>
          <w:p w14:paraId="463DC659" w14:textId="40565902"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single" w:sz="6" w:space="0" w:color="auto"/>
              <w:bottom w:val="single" w:sz="6" w:space="0" w:color="auto"/>
              <w:right w:val="nil"/>
            </w:tcBorders>
          </w:tcPr>
          <w:p w14:paraId="4AEF2F1B" w14:textId="4BA1845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c>
          <w:tcPr>
            <w:tcW w:w="1440" w:type="dxa"/>
            <w:tcBorders>
              <w:top w:val="nil"/>
              <w:left w:val="nil"/>
              <w:bottom w:val="single" w:sz="6" w:space="0" w:color="auto"/>
              <w:right w:val="nil"/>
            </w:tcBorders>
          </w:tcPr>
          <w:p w14:paraId="54EEF26D" w14:textId="0E5E8C38"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p>
        </w:tc>
      </w:tr>
      <w:tr w:rsidR="00485E94" w:rsidRPr="00485E94" w14:paraId="5DD08CAD" w14:textId="77777777" w:rsidTr="00113EF8">
        <w:tblPrEx>
          <w:tblBorders>
            <w:bottom w:val="single" w:sz="6" w:space="0" w:color="auto"/>
          </w:tblBorders>
        </w:tblPrEx>
        <w:trPr>
          <w:trHeight w:hRule="exact" w:val="227"/>
          <w:jc w:val="center"/>
        </w:trPr>
        <w:tc>
          <w:tcPr>
            <w:tcW w:w="2667" w:type="dxa"/>
            <w:tcBorders>
              <w:top w:val="nil"/>
              <w:left w:val="nil"/>
              <w:bottom w:val="single" w:sz="6" w:space="0" w:color="auto"/>
              <w:right w:val="nil"/>
            </w:tcBorders>
          </w:tcPr>
          <w:p w14:paraId="25C5361A" w14:textId="77777777" w:rsidR="00485E94" w:rsidRPr="00485E94" w:rsidRDefault="00485E94" w:rsidP="00113EF8">
            <w:pPr>
              <w:widowControl w:val="0"/>
              <w:autoSpaceDE w:val="0"/>
              <w:autoSpaceDN w:val="0"/>
              <w:adjustRightInd w:val="0"/>
              <w:rPr>
                <w:rFonts w:ascii="Times New Roman" w:hAnsi="Times New Roman" w:cs="Times New Roman"/>
                <w:sz w:val="20"/>
                <w:szCs w:val="20"/>
                <w:lang w:val="en-US"/>
              </w:rPr>
            </w:pPr>
          </w:p>
        </w:tc>
        <w:tc>
          <w:tcPr>
            <w:tcW w:w="1296" w:type="dxa"/>
            <w:tcBorders>
              <w:top w:val="nil"/>
              <w:left w:val="nil"/>
              <w:bottom w:val="single" w:sz="6" w:space="0" w:color="auto"/>
              <w:right w:val="nil"/>
            </w:tcBorders>
          </w:tcPr>
          <w:p w14:paraId="19B94A08" w14:textId="24B1C229"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989</w:t>
            </w:r>
          </w:p>
        </w:tc>
        <w:tc>
          <w:tcPr>
            <w:tcW w:w="1440" w:type="dxa"/>
            <w:tcBorders>
              <w:top w:val="nil"/>
              <w:left w:val="nil"/>
              <w:bottom w:val="single" w:sz="6" w:space="0" w:color="auto"/>
              <w:right w:val="single" w:sz="6" w:space="0" w:color="auto"/>
            </w:tcBorders>
          </w:tcPr>
          <w:p w14:paraId="7459CC6D" w14:textId="5272554B"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989</w:t>
            </w:r>
          </w:p>
        </w:tc>
        <w:tc>
          <w:tcPr>
            <w:tcW w:w="1440" w:type="dxa"/>
            <w:tcBorders>
              <w:top w:val="nil"/>
              <w:left w:val="single" w:sz="6" w:space="0" w:color="auto"/>
              <w:bottom w:val="single" w:sz="6" w:space="0" w:color="auto"/>
              <w:right w:val="nil"/>
            </w:tcBorders>
          </w:tcPr>
          <w:p w14:paraId="3404624A" w14:textId="073EF32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984</w:t>
            </w:r>
          </w:p>
        </w:tc>
        <w:tc>
          <w:tcPr>
            <w:tcW w:w="1440" w:type="dxa"/>
            <w:tcBorders>
              <w:top w:val="nil"/>
              <w:left w:val="nil"/>
              <w:bottom w:val="single" w:sz="6" w:space="0" w:color="auto"/>
              <w:right w:val="single" w:sz="6" w:space="0" w:color="auto"/>
            </w:tcBorders>
          </w:tcPr>
          <w:p w14:paraId="273B91EB" w14:textId="15027E34"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984</w:t>
            </w:r>
          </w:p>
        </w:tc>
        <w:tc>
          <w:tcPr>
            <w:tcW w:w="1440" w:type="dxa"/>
            <w:tcBorders>
              <w:top w:val="nil"/>
              <w:left w:val="single" w:sz="6" w:space="0" w:color="auto"/>
              <w:bottom w:val="single" w:sz="6" w:space="0" w:color="auto"/>
              <w:right w:val="nil"/>
            </w:tcBorders>
          </w:tcPr>
          <w:p w14:paraId="3359A077" w14:textId="1BB0475E"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984</w:t>
            </w:r>
          </w:p>
        </w:tc>
        <w:tc>
          <w:tcPr>
            <w:tcW w:w="1440" w:type="dxa"/>
            <w:tcBorders>
              <w:top w:val="nil"/>
              <w:left w:val="nil"/>
              <w:bottom w:val="single" w:sz="6" w:space="0" w:color="auto"/>
              <w:right w:val="nil"/>
            </w:tcBorders>
          </w:tcPr>
          <w:p w14:paraId="106DC2A2" w14:textId="54AE96A5" w:rsidR="00485E94" w:rsidRPr="00485E94" w:rsidRDefault="00485E94" w:rsidP="00113EF8">
            <w:pPr>
              <w:widowControl w:val="0"/>
              <w:autoSpaceDE w:val="0"/>
              <w:autoSpaceDN w:val="0"/>
              <w:adjustRightInd w:val="0"/>
              <w:jc w:val="center"/>
              <w:rPr>
                <w:rFonts w:ascii="Times New Roman" w:hAnsi="Times New Roman" w:cs="Times New Roman"/>
                <w:sz w:val="20"/>
                <w:szCs w:val="20"/>
                <w:lang w:val="en-US"/>
              </w:rPr>
            </w:pPr>
            <w:r w:rsidRPr="00485E94">
              <w:rPr>
                <w:rFonts w:ascii="Times New Roman" w:hAnsi="Times New Roman" w:cs="Times New Roman"/>
                <w:sz w:val="20"/>
                <w:szCs w:val="20"/>
                <w:lang w:val="es-ES"/>
              </w:rPr>
              <w:t>984</w:t>
            </w:r>
          </w:p>
        </w:tc>
      </w:tr>
    </w:tbl>
    <w:p w14:paraId="740E0048" w14:textId="77777777" w:rsidR="002D46F5" w:rsidRPr="00833B44" w:rsidRDefault="002D46F5" w:rsidP="002D46F5">
      <w:pPr>
        <w:widowControl w:val="0"/>
        <w:autoSpaceDE w:val="0"/>
        <w:autoSpaceDN w:val="0"/>
        <w:adjustRightInd w:val="0"/>
        <w:rPr>
          <w:rFonts w:ascii="Times New Roman" w:hAnsi="Times New Roman" w:cs="Times New Roman"/>
          <w:b/>
          <w:sz w:val="22"/>
          <w:szCs w:val="22"/>
          <w:lang w:val="en-US"/>
        </w:rPr>
      </w:pPr>
      <w:r w:rsidRPr="00833B44">
        <w:rPr>
          <w:rFonts w:ascii="Times New Roman" w:hAnsi="Times New Roman" w:cs="Times New Roman"/>
          <w:b/>
          <w:sz w:val="22"/>
          <w:szCs w:val="22"/>
          <w:lang w:val="en-US"/>
        </w:rPr>
        <w:t>Constant not shown. Standard errors in parentheses *** p&lt;0.01, ** p&lt;0.05, * p&lt;0.1</w:t>
      </w:r>
    </w:p>
    <w:p w14:paraId="582DC629" w14:textId="77777777" w:rsidR="002D46F5" w:rsidRPr="00F75D70" w:rsidRDefault="002D46F5" w:rsidP="002D46F5">
      <w:pPr>
        <w:rPr>
          <w:rFonts w:ascii="Times New Roman" w:hAnsi="Times New Roman" w:cs="Times New Roman"/>
          <w:sz w:val="20"/>
          <w:szCs w:val="20"/>
          <w:lang w:val="en-US"/>
        </w:rPr>
      </w:pPr>
      <w:r w:rsidRPr="00F75D70">
        <w:rPr>
          <w:rFonts w:ascii="Times New Roman" w:hAnsi="Times New Roman" w:cs="Times New Roman"/>
          <w:sz w:val="20"/>
          <w:szCs w:val="20"/>
          <w:lang w:val="en-US"/>
        </w:rPr>
        <w:br w:type="page"/>
      </w:r>
    </w:p>
    <w:p w14:paraId="458BB9B8" w14:textId="3FD1DA2B" w:rsidR="00404E17" w:rsidRPr="00404E17" w:rsidRDefault="00404E17" w:rsidP="002D46F5">
      <w:pPr>
        <w:pStyle w:val="Prrafodelista"/>
        <w:numPr>
          <w:ilvl w:val="0"/>
          <w:numId w:val="8"/>
        </w:numPr>
        <w:spacing w:line="360" w:lineRule="auto"/>
        <w:rPr>
          <w:rFonts w:ascii="Times New Roman" w:hAnsi="Times New Roman" w:cs="Times New Roman"/>
          <w:b/>
          <w:szCs w:val="20"/>
          <w:lang w:val="en-US"/>
        </w:rPr>
      </w:pPr>
      <w:r w:rsidRPr="00404E17">
        <w:rPr>
          <w:rFonts w:ascii="Times New Roman" w:hAnsi="Times New Roman" w:cs="Times New Roman"/>
          <w:b/>
          <w:lang w:val="en-US"/>
        </w:rPr>
        <w:lastRenderedPageBreak/>
        <w:t>Polls conducted in Greece before and after the bank shutdown</w:t>
      </w:r>
    </w:p>
    <w:p w14:paraId="7FCA87F7" w14:textId="77777777" w:rsidR="00DF40BE" w:rsidRPr="00F75D70" w:rsidRDefault="00DF40BE" w:rsidP="00404E17">
      <w:pPr>
        <w:widowControl w:val="0"/>
        <w:autoSpaceDE w:val="0"/>
        <w:autoSpaceDN w:val="0"/>
        <w:adjustRightInd w:val="0"/>
        <w:rPr>
          <w:rFonts w:ascii="Times New Roman" w:hAnsi="Times New Roman" w:cs="Times New Roman"/>
          <w:sz w:val="20"/>
          <w:szCs w:val="20"/>
          <w:lang w:val="en-US"/>
        </w:rPr>
      </w:pPr>
    </w:p>
    <w:p w14:paraId="1B4AE018" w14:textId="77777777" w:rsidR="00AE01F1" w:rsidRPr="004C6BCA" w:rsidRDefault="00AE01F1">
      <w:pPr>
        <w:rPr>
          <w:rFonts w:ascii="Times New Roman" w:hAnsi="Times New Roman" w:cs="Times New Roman"/>
          <w:b/>
          <w:lang w:val="en-US"/>
        </w:rPr>
      </w:pPr>
      <w:r w:rsidRPr="004C6BCA">
        <w:rPr>
          <w:rFonts w:ascii="Times New Roman" w:hAnsi="Times New Roman" w:cs="Times New Roman"/>
          <w:b/>
          <w:lang w:val="en-US"/>
        </w:rPr>
        <w:t>Table A.4: Polls conducted in Greece before and after the bank shutdown</w:t>
      </w:r>
    </w:p>
    <w:p w14:paraId="30972A28" w14:textId="77777777" w:rsidR="00AE01F1" w:rsidRDefault="00AE01F1">
      <w:pPr>
        <w:rPr>
          <w:rFonts w:ascii="Times New Roman" w:hAnsi="Times New Roman" w:cs="Times New Roman"/>
          <w:b/>
          <w:u w:val="single"/>
          <w:lang w:val="en-US"/>
        </w:rPr>
      </w:pPr>
    </w:p>
    <w:p w14:paraId="5BEB2259" w14:textId="0F3FE952" w:rsidR="00AE01F1" w:rsidRDefault="00293BAB">
      <w:pPr>
        <w:rPr>
          <w:rFonts w:ascii="Times New Roman" w:hAnsi="Times New Roman" w:cs="Times New Roman"/>
          <w:b/>
          <w:u w:val="single"/>
          <w:lang w:val="en-US"/>
        </w:rPr>
      </w:pPr>
      <w:r>
        <w:rPr>
          <w:rFonts w:ascii="Times New Roman" w:hAnsi="Times New Roman" w:cs="Times New Roman"/>
          <w:b/>
          <w:noProof/>
          <w:u w:val="single"/>
          <w:lang w:val="es-ES" w:eastAsia="es-ES"/>
        </w:rPr>
        <w:drawing>
          <wp:inline distT="0" distB="0" distL="0" distR="0" wp14:anchorId="6D649CE7" wp14:editId="3DEFA833">
            <wp:extent cx="5756910" cy="6560375"/>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6560375"/>
                    </a:xfrm>
                    <a:prstGeom prst="rect">
                      <a:avLst/>
                    </a:prstGeom>
                    <a:noFill/>
                    <a:ln>
                      <a:noFill/>
                    </a:ln>
                  </pic:spPr>
                </pic:pic>
              </a:graphicData>
            </a:graphic>
          </wp:inline>
        </w:drawing>
      </w:r>
    </w:p>
    <w:p w14:paraId="09037007" w14:textId="2FE1CDEF" w:rsidR="00C30063" w:rsidRPr="004C6BCA" w:rsidRDefault="00AE01F1" w:rsidP="00C30063">
      <w:pPr>
        <w:rPr>
          <w:rFonts w:ascii="Times New Roman" w:hAnsi="Times New Roman" w:cs="Times New Roman"/>
          <w:b/>
          <w:lang w:val="en-US"/>
        </w:rPr>
      </w:pPr>
      <w:r w:rsidRPr="004C6BCA">
        <w:rPr>
          <w:rFonts w:ascii="Times New Roman" w:hAnsi="Times New Roman" w:cs="Times New Roman"/>
          <w:lang w:val="en-US"/>
        </w:rPr>
        <w:t xml:space="preserve">Note: </w:t>
      </w:r>
      <w:r w:rsidR="00C8693D" w:rsidRPr="004C6BCA">
        <w:rPr>
          <w:rFonts w:ascii="Times New Roman" w:hAnsi="Times New Roman" w:cs="Times New Roman"/>
          <w:lang w:val="en-US"/>
        </w:rPr>
        <w:t xml:space="preserve">(a) </w:t>
      </w:r>
      <w:r w:rsidRPr="004C6BCA">
        <w:rPr>
          <w:rFonts w:ascii="Times New Roman" w:hAnsi="Times New Roman" w:cs="Times New Roman"/>
          <w:lang w:val="en-US"/>
        </w:rPr>
        <w:t>We include the percentage of Yes and No voters, excluding the DK/DA</w:t>
      </w:r>
      <w:r w:rsidR="00C8693D" w:rsidRPr="004C6BCA">
        <w:rPr>
          <w:rFonts w:ascii="Times New Roman" w:hAnsi="Times New Roman" w:cs="Times New Roman"/>
          <w:lang w:val="en-US"/>
        </w:rPr>
        <w:t>. (b) The referendum was announced by Prime Minister Alexis Tsipras in the early morning of June</w:t>
      </w:r>
      <w:r w:rsidR="00A007B5" w:rsidRPr="004C6BCA">
        <w:rPr>
          <w:rFonts w:ascii="Times New Roman" w:hAnsi="Times New Roman" w:cs="Times New Roman"/>
          <w:lang w:val="en-US"/>
        </w:rPr>
        <w:t xml:space="preserve"> 27,</w:t>
      </w:r>
      <w:r w:rsidR="00C8693D" w:rsidRPr="004C6BCA">
        <w:rPr>
          <w:rFonts w:ascii="Times New Roman" w:hAnsi="Times New Roman" w:cs="Times New Roman"/>
          <w:lang w:val="en-US"/>
        </w:rPr>
        <w:t xml:space="preserve"> 2015. (c) Given that the ECB’s announcement that is would cap its emergency liquidity assistance (ELA) to Greece at the existing level but no further came in the afternoon of Saturday, June 28</w:t>
      </w:r>
      <w:r w:rsidR="00A007B5" w:rsidRPr="004C6BCA">
        <w:rPr>
          <w:rFonts w:ascii="Times New Roman" w:hAnsi="Times New Roman" w:cs="Times New Roman"/>
          <w:lang w:val="en-US"/>
        </w:rPr>
        <w:t>,</w:t>
      </w:r>
      <w:r w:rsidR="00C8693D" w:rsidRPr="004C6BCA">
        <w:rPr>
          <w:rFonts w:ascii="Times New Roman" w:hAnsi="Times New Roman" w:cs="Times New Roman"/>
          <w:lang w:val="en-US"/>
        </w:rPr>
        <w:t xml:space="preserve"> 2015, and Tsipras’ announcement of capital controls and bank holidays came later in the evening of the same day, we assume that polling fieldwork that took place on June 28 was before the bank shutdown. Hence, we choose June 29</w:t>
      </w:r>
      <w:r w:rsidR="00A007B5" w:rsidRPr="004C6BCA">
        <w:rPr>
          <w:rFonts w:ascii="Times New Roman" w:hAnsi="Times New Roman" w:cs="Times New Roman"/>
          <w:lang w:val="en-US"/>
        </w:rPr>
        <w:t>, 2015,</w:t>
      </w:r>
      <w:r w:rsidR="00C8693D" w:rsidRPr="004C6BCA">
        <w:rPr>
          <w:rFonts w:ascii="Times New Roman" w:hAnsi="Times New Roman" w:cs="Times New Roman"/>
          <w:lang w:val="en-US"/>
        </w:rPr>
        <w:t xml:space="preserve"> as our before-after cutoff date.</w:t>
      </w:r>
      <w:r w:rsidRPr="004C6BCA">
        <w:rPr>
          <w:rFonts w:ascii="Times New Roman" w:hAnsi="Times New Roman" w:cs="Times New Roman"/>
          <w:lang w:val="en-US"/>
        </w:rPr>
        <w:br w:type="page"/>
      </w:r>
      <w:r w:rsidR="00C30063" w:rsidRPr="004C6BCA">
        <w:rPr>
          <w:rFonts w:ascii="Times New Roman" w:hAnsi="Times New Roman" w:cs="Times New Roman"/>
          <w:b/>
          <w:lang w:val="en-US"/>
        </w:rPr>
        <w:lastRenderedPageBreak/>
        <w:t>Table A.4: Polls conducted in Greece before and after the bank shutdown</w:t>
      </w:r>
      <w:r w:rsidR="00883C21" w:rsidRPr="004C6BCA">
        <w:rPr>
          <w:rFonts w:ascii="Times New Roman" w:hAnsi="Times New Roman" w:cs="Times New Roman"/>
          <w:b/>
          <w:lang w:val="en-US"/>
        </w:rPr>
        <w:t xml:space="preserve"> (continued)</w:t>
      </w:r>
    </w:p>
    <w:p w14:paraId="63ED6753" w14:textId="77777777" w:rsidR="00C30063" w:rsidRPr="00C30063" w:rsidRDefault="00C30063" w:rsidP="00C30063">
      <w:pPr>
        <w:rPr>
          <w:rFonts w:ascii="Times New Roman" w:hAnsi="Times New Roman" w:cs="Times New Roman"/>
          <w:b/>
          <w:u w:val="single"/>
          <w:lang w:val="en-US"/>
        </w:rPr>
      </w:pPr>
    </w:p>
    <w:p w14:paraId="25A1D07E" w14:textId="72CF5725" w:rsidR="00C30063" w:rsidRPr="00C30063" w:rsidRDefault="00293BAB" w:rsidP="00C30063">
      <w:pPr>
        <w:rPr>
          <w:rFonts w:ascii="Times New Roman" w:hAnsi="Times New Roman" w:cs="Times New Roman"/>
          <w:b/>
          <w:u w:val="single"/>
          <w:lang w:val="en-US"/>
        </w:rPr>
      </w:pPr>
      <w:r>
        <w:rPr>
          <w:rFonts w:ascii="Times New Roman" w:hAnsi="Times New Roman" w:cs="Times New Roman"/>
          <w:b/>
          <w:noProof/>
          <w:u w:val="single"/>
          <w:lang w:val="es-ES" w:eastAsia="es-ES"/>
        </w:rPr>
        <w:drawing>
          <wp:inline distT="0" distB="0" distL="0" distR="0" wp14:anchorId="3CD823F8" wp14:editId="75C6E6C7">
            <wp:extent cx="5756910" cy="6961569"/>
            <wp:effectExtent l="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6961569"/>
                    </a:xfrm>
                    <a:prstGeom prst="rect">
                      <a:avLst/>
                    </a:prstGeom>
                    <a:noFill/>
                    <a:ln>
                      <a:noFill/>
                    </a:ln>
                  </pic:spPr>
                </pic:pic>
              </a:graphicData>
            </a:graphic>
          </wp:inline>
        </w:drawing>
      </w:r>
    </w:p>
    <w:p w14:paraId="62CDB772" w14:textId="780A0161" w:rsidR="00AE01F1" w:rsidRPr="00AE01F1" w:rsidRDefault="00C8693D">
      <w:pPr>
        <w:rPr>
          <w:rFonts w:ascii="Times New Roman" w:hAnsi="Times New Roman" w:cs="Times New Roman"/>
          <w:lang w:val="en-US"/>
        </w:rPr>
      </w:pPr>
      <w:r w:rsidRPr="00AE01F1">
        <w:rPr>
          <w:rFonts w:ascii="Times New Roman" w:hAnsi="Times New Roman" w:cs="Times New Roman"/>
          <w:lang w:val="en-US"/>
        </w:rPr>
        <w:t xml:space="preserve">Note: </w:t>
      </w:r>
      <w:r>
        <w:rPr>
          <w:rFonts w:ascii="Times New Roman" w:hAnsi="Times New Roman" w:cs="Times New Roman"/>
          <w:lang w:val="en-US"/>
        </w:rPr>
        <w:t xml:space="preserve">(a) </w:t>
      </w:r>
      <w:r w:rsidRPr="00AE01F1">
        <w:rPr>
          <w:rFonts w:ascii="Times New Roman" w:hAnsi="Times New Roman" w:cs="Times New Roman"/>
          <w:lang w:val="en-US"/>
        </w:rPr>
        <w:t>We include the percentage of Yes and No voters, excluding the DK/DA</w:t>
      </w:r>
      <w:r>
        <w:rPr>
          <w:rFonts w:ascii="Times New Roman" w:hAnsi="Times New Roman" w:cs="Times New Roman"/>
          <w:lang w:val="en-US"/>
        </w:rPr>
        <w:t xml:space="preserve">. (b) </w:t>
      </w:r>
      <w:r w:rsidRPr="00C8693D">
        <w:rPr>
          <w:rFonts w:ascii="Times New Roman" w:hAnsi="Times New Roman" w:cs="Times New Roman"/>
          <w:lang w:val="en-US"/>
        </w:rPr>
        <w:t>The referendum was announced by Prime Minister Alexis Tsi</w:t>
      </w:r>
      <w:r w:rsidR="00A007B5">
        <w:rPr>
          <w:rFonts w:ascii="Times New Roman" w:hAnsi="Times New Roman" w:cs="Times New Roman"/>
          <w:lang w:val="en-US"/>
        </w:rPr>
        <w:t xml:space="preserve">pras in the early morning of </w:t>
      </w:r>
      <w:r w:rsidRPr="00C8693D">
        <w:rPr>
          <w:rFonts w:ascii="Times New Roman" w:hAnsi="Times New Roman" w:cs="Times New Roman"/>
          <w:lang w:val="en-US"/>
        </w:rPr>
        <w:t>June</w:t>
      </w:r>
      <w:r w:rsidR="00A007B5">
        <w:rPr>
          <w:rFonts w:ascii="Times New Roman" w:hAnsi="Times New Roman" w:cs="Times New Roman"/>
          <w:lang w:val="en-US"/>
        </w:rPr>
        <w:t xml:space="preserve"> 27,</w:t>
      </w:r>
      <w:r w:rsidRPr="00C8693D">
        <w:rPr>
          <w:rFonts w:ascii="Times New Roman" w:hAnsi="Times New Roman" w:cs="Times New Roman"/>
          <w:lang w:val="en-US"/>
        </w:rPr>
        <w:t xml:space="preserve"> 2015</w:t>
      </w:r>
      <w:r>
        <w:rPr>
          <w:rFonts w:ascii="Times New Roman" w:hAnsi="Times New Roman" w:cs="Times New Roman"/>
          <w:lang w:val="en-US"/>
        </w:rPr>
        <w:t>. (c) Given that the ECB’s announcement that is would</w:t>
      </w:r>
      <w:r w:rsidRPr="00C8693D">
        <w:rPr>
          <w:rFonts w:ascii="Times New Roman" w:hAnsi="Times New Roman" w:cs="Times New Roman"/>
          <w:lang w:val="en-US"/>
        </w:rPr>
        <w:t xml:space="preserve"> </w:t>
      </w:r>
      <w:r>
        <w:rPr>
          <w:rFonts w:ascii="Times New Roman" w:hAnsi="Times New Roman" w:cs="Times New Roman"/>
          <w:lang w:val="en-US"/>
        </w:rPr>
        <w:t>cap</w:t>
      </w:r>
      <w:r w:rsidRPr="00C8693D">
        <w:rPr>
          <w:rFonts w:ascii="Times New Roman" w:hAnsi="Times New Roman" w:cs="Times New Roman"/>
          <w:lang w:val="en-US"/>
        </w:rPr>
        <w:t xml:space="preserve"> </w:t>
      </w:r>
      <w:r>
        <w:rPr>
          <w:rFonts w:ascii="Times New Roman" w:hAnsi="Times New Roman" w:cs="Times New Roman"/>
          <w:lang w:val="en-US"/>
        </w:rPr>
        <w:t>its</w:t>
      </w:r>
      <w:r w:rsidRPr="00C8693D">
        <w:rPr>
          <w:rFonts w:ascii="Times New Roman" w:hAnsi="Times New Roman" w:cs="Times New Roman"/>
          <w:lang w:val="en-US"/>
        </w:rPr>
        <w:t xml:space="preserve"> emergency liquidity </w:t>
      </w:r>
      <w:r>
        <w:rPr>
          <w:rFonts w:ascii="Times New Roman" w:hAnsi="Times New Roman" w:cs="Times New Roman"/>
          <w:lang w:val="en-US"/>
        </w:rPr>
        <w:t>assistance (ELA) to Greece at the existing level but no further came in the</w:t>
      </w:r>
      <w:r w:rsidR="00A007B5">
        <w:rPr>
          <w:rFonts w:ascii="Times New Roman" w:hAnsi="Times New Roman" w:cs="Times New Roman"/>
          <w:lang w:val="en-US"/>
        </w:rPr>
        <w:t xml:space="preserve"> afternoon of Saturday, June 28, </w:t>
      </w:r>
      <w:r>
        <w:rPr>
          <w:rFonts w:ascii="Times New Roman" w:hAnsi="Times New Roman" w:cs="Times New Roman"/>
          <w:lang w:val="en-US"/>
        </w:rPr>
        <w:t>2015, and Tsipras’ announcement of capital controls and bank holidays came later in the evening of the same day, we assume that polling fieldwork that took place on June 28 was before the bank shutdown. Hence, we choose June 29</w:t>
      </w:r>
      <w:r w:rsidR="00A007B5">
        <w:rPr>
          <w:rFonts w:ascii="Times New Roman" w:hAnsi="Times New Roman" w:cs="Times New Roman"/>
          <w:lang w:val="en-US"/>
        </w:rPr>
        <w:t>, 2015,</w:t>
      </w:r>
      <w:r>
        <w:rPr>
          <w:rFonts w:ascii="Times New Roman" w:hAnsi="Times New Roman" w:cs="Times New Roman"/>
          <w:lang w:val="en-US"/>
        </w:rPr>
        <w:t xml:space="preserve"> as our before-after cutoff date.</w:t>
      </w:r>
      <w:r w:rsidRPr="00AE01F1">
        <w:rPr>
          <w:rFonts w:ascii="Times New Roman" w:hAnsi="Times New Roman" w:cs="Times New Roman"/>
          <w:lang w:val="en-US"/>
        </w:rPr>
        <w:br w:type="page"/>
      </w:r>
    </w:p>
    <w:p w14:paraId="6BB04A2A" w14:textId="25D4A004" w:rsidR="00DF40BE" w:rsidRPr="00404E17" w:rsidRDefault="00DF40BE" w:rsidP="002D46F5">
      <w:pPr>
        <w:pStyle w:val="Prrafodelista"/>
        <w:numPr>
          <w:ilvl w:val="0"/>
          <w:numId w:val="8"/>
        </w:numPr>
        <w:spacing w:line="480" w:lineRule="auto"/>
        <w:rPr>
          <w:rFonts w:ascii="Times New Roman" w:hAnsi="Times New Roman" w:cs="Times New Roman"/>
          <w:b/>
          <w:u w:val="single"/>
          <w:lang w:val="en-US"/>
        </w:rPr>
      </w:pPr>
      <w:r w:rsidRPr="00404E17">
        <w:rPr>
          <w:rFonts w:ascii="Times New Roman" w:hAnsi="Times New Roman" w:cs="Times New Roman"/>
          <w:b/>
          <w:u w:val="single"/>
          <w:lang w:val="en-US"/>
        </w:rPr>
        <w:lastRenderedPageBreak/>
        <w:t>Matching Analyses</w:t>
      </w:r>
      <w:r w:rsidR="0099196E" w:rsidRPr="00404E17">
        <w:rPr>
          <w:rFonts w:ascii="Times New Roman" w:hAnsi="Times New Roman" w:cs="Times New Roman"/>
          <w:b/>
          <w:u w:val="single"/>
          <w:lang w:val="en-US"/>
        </w:rPr>
        <w:t xml:space="preserve"> on </w:t>
      </w:r>
      <w:r w:rsidR="00FF096B" w:rsidRPr="00404E17">
        <w:rPr>
          <w:rFonts w:ascii="Times New Roman" w:hAnsi="Times New Roman" w:cs="Times New Roman"/>
          <w:b/>
          <w:u w:val="single"/>
          <w:lang w:val="en-US"/>
        </w:rPr>
        <w:t xml:space="preserve">the Effect of Expectations on the </w:t>
      </w:r>
      <w:r w:rsidR="0099196E" w:rsidRPr="00404E17">
        <w:rPr>
          <w:rFonts w:ascii="Times New Roman" w:hAnsi="Times New Roman" w:cs="Times New Roman"/>
          <w:b/>
          <w:u w:val="single"/>
          <w:lang w:val="en-US"/>
        </w:rPr>
        <w:t>Referendum Vote</w:t>
      </w:r>
    </w:p>
    <w:p w14:paraId="60A57871" w14:textId="7A0CC20F" w:rsidR="0099196E" w:rsidRDefault="00201DF2" w:rsidP="0099196E">
      <w:pPr>
        <w:spacing w:line="480" w:lineRule="auto"/>
        <w:ind w:firstLine="708"/>
        <w:jc w:val="both"/>
        <w:rPr>
          <w:rFonts w:ascii="Times" w:hAnsi="Times" w:cs="Times New Roman"/>
          <w:lang w:val="en-US"/>
        </w:rPr>
      </w:pPr>
      <w:r>
        <w:rPr>
          <w:rFonts w:ascii="Times" w:hAnsi="Times" w:cs="Times New Roman"/>
          <w:lang w:val="en-US"/>
        </w:rPr>
        <w:t>In the article, w</w:t>
      </w:r>
      <w:r w:rsidRPr="00526DF6">
        <w:rPr>
          <w:rFonts w:ascii="Times" w:hAnsi="Times" w:cs="Times New Roman"/>
          <w:lang w:val="en-US"/>
        </w:rPr>
        <w:t>e employ two methods of data pre-processing, genetic matching and entropy balancing.</w:t>
      </w:r>
      <w:r w:rsidRPr="00526DF6">
        <w:rPr>
          <w:rStyle w:val="Refdenotaalpie"/>
          <w:rFonts w:ascii="Times" w:hAnsi="Times"/>
          <w:lang w:val="en-US"/>
        </w:rPr>
        <w:footnoteReference w:id="2"/>
      </w:r>
      <w:r w:rsidRPr="00526DF6">
        <w:rPr>
          <w:rFonts w:ascii="Times" w:hAnsi="Times" w:cs="Times New Roman"/>
          <w:lang w:val="en-US"/>
        </w:rPr>
        <w:t xml:space="preserve"> The first is a nearest-neighbor matching method with balance optimization, based on a generalized distance metric that assigns weights to each covariate included in the matching. This method has been shown to outperform other matching estimators in recovering simulation and experimental benchmarks </w:t>
      </w:r>
      <w:r w:rsidRPr="00526DF6">
        <w:rPr>
          <w:rFonts w:ascii="Times" w:hAnsi="Times" w:cs="Times New Roman"/>
          <w:lang w:val="en-US"/>
        </w:rPr>
        <w:fldChar w:fldCharType="begin" w:fldLock="1"/>
      </w:r>
      <w:r w:rsidRPr="00526DF6">
        <w:rPr>
          <w:rFonts w:ascii="Times" w:hAnsi="Times" w:cs="Times New Roman"/>
          <w:lang w:val="en-US"/>
        </w:rPr>
        <w:instrText>ADDIN CSL_CITATION { "citationItems" : [ { "id" : "ITEM-1", "itemData" : { "ISBN" : "0034-6535", "author" : [ { "dropping-particle" : "", "family" : "Diamond", "given" : "Alexis", "non-dropping-particle" : "", "parse-names" : false, "suffix" : "" }, { "dropping-particle" : "", "family" : "Sekhon", "given" : "Jasjeet S", "non-dropping-particle" : "", "parse-names" : false, "suffix" : "" } ], "container-title" : "Review of Economics and Statistics", "id" : "ITEM-1", "issue" : "3", "issued" : { "date-parts" : [ [ "2013" ] ] }, "page" : "932-945", "title" : "Genetic matching for estimating causal effects: A general multivariate matching method for achieving balance in observational studies", "type" : "article-journal", "volume" : "95" }, "uris" : [ "http://www.mendeley.com/documents/?uuid=b76d53f2-0e4a-4b58-85f5-af7d17aa3d77" ] } ], "mendeley" : { "formattedCitation" : "(Diamond and Sekhon 2013)", "plainTextFormattedCitation" : "(Diamond and Sekhon 2013)", "previouslyFormattedCitation" : "(Diamond and Sekhon 2013)"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(Diamond and Sekhon 2013)</w:t>
      </w:r>
      <w:r w:rsidRPr="00526DF6">
        <w:rPr>
          <w:rFonts w:ascii="Times" w:hAnsi="Times" w:cs="Times New Roman"/>
          <w:lang w:val="en-US"/>
        </w:rPr>
        <w:fldChar w:fldCharType="end"/>
      </w:r>
      <w:r w:rsidRPr="00526DF6">
        <w:rPr>
          <w:rFonts w:ascii="Times" w:hAnsi="Times" w:cs="Times New Roman"/>
          <w:lang w:val="en-US"/>
        </w:rPr>
        <w:t>.</w:t>
      </w:r>
      <w:r w:rsidRPr="00526DF6">
        <w:rPr>
          <w:rStyle w:val="Refdenotaalpie"/>
          <w:rFonts w:ascii="Times" w:hAnsi="Times"/>
          <w:lang w:val="en-US"/>
        </w:rPr>
        <w:footnoteReference w:id="3"/>
      </w:r>
      <w:r w:rsidRPr="00526DF6">
        <w:rPr>
          <w:rFonts w:ascii="Times" w:hAnsi="Times" w:cs="Times New Roman"/>
          <w:lang w:val="en-US"/>
        </w:rPr>
        <w:t xml:space="preserve"> The second is a generalization of a propensity score weighting approach that directly incorporates covariate balance into the weight function that is applied to the sample units </w:t>
      </w:r>
      <w:r w:rsidRPr="00526DF6">
        <w:rPr>
          <w:rFonts w:ascii="Times" w:hAnsi="Times" w:cs="Times New Roman"/>
          <w:lang w:val="en-US"/>
        </w:rPr>
        <w:fldChar w:fldCharType="begin" w:fldLock="1"/>
      </w:r>
      <w:r w:rsidRPr="00526DF6">
        <w:rPr>
          <w:rFonts w:ascii="Times" w:hAnsi="Times" w:cs="Times New Roman"/>
          <w:lang w:val="en-US"/>
        </w:rPr>
        <w:instrText>ADDIN CSL_CITATION { "citationItems" : [ { "id" : "ITEM-1", "itemData" : { "ISBN" : "1047-1987", "author" : [ { "dropping-particle" : "", "family" : "Hainmueller", "given" : "Jens", "non-dropping-particle" : "", "parse-names" : false, "suffix" : "" } ], "container-title" : "Political Analysis", "id" : "ITEM-1", "issue" : "1", "issued" : { "date-parts" : [ [ "2012" ] ] }, "page" : "25-46", "title" : "Entropy balancing for causal effects: A multivariate reweighting method to produce balanced samples in observational studies", "type" : "article-journal", "volume" : "20" }, "uris" : [ "http://www.mendeley.com/documents/?uuid=d66aea06-64d2-4d6c-a98e-4b6c32e9093a" ] } ], "mendeley" : { "formattedCitation" : "(Hainmueller 2012)", "plainTextFormattedCitation" : "(Hainmueller 2012)", "previouslyFormattedCitation" : "(Hainmueller 2012)"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(Hainmueller 2012)</w:t>
      </w:r>
      <w:r w:rsidRPr="00526DF6">
        <w:rPr>
          <w:rFonts w:ascii="Times" w:hAnsi="Times" w:cs="Times New Roman"/>
          <w:lang w:val="en-US"/>
        </w:rPr>
        <w:fldChar w:fldCharType="end"/>
      </w:r>
      <w:r w:rsidRPr="00526DF6">
        <w:rPr>
          <w:rFonts w:ascii="Times" w:hAnsi="Times" w:cs="Times New Roman"/>
          <w:lang w:val="en-US"/>
        </w:rPr>
        <w:t xml:space="preserve">. </w:t>
      </w:r>
      <w:r w:rsidR="0099196E" w:rsidRPr="0099196E">
        <w:rPr>
          <w:rFonts w:ascii="Times" w:hAnsi="Times" w:cs="Times New Roman"/>
          <w:lang w:val="en-US"/>
        </w:rPr>
        <w:t>Figures A.</w:t>
      </w:r>
      <w:r w:rsidR="0099196E">
        <w:rPr>
          <w:rFonts w:ascii="Times" w:hAnsi="Times" w:cs="Times New Roman"/>
          <w:lang w:val="en-US"/>
        </w:rPr>
        <w:t xml:space="preserve">1 </w:t>
      </w:r>
      <w:r w:rsidR="0099196E" w:rsidRPr="0099196E">
        <w:rPr>
          <w:rFonts w:ascii="Times" w:hAnsi="Times" w:cs="Times New Roman"/>
          <w:lang w:val="en-US"/>
        </w:rPr>
        <w:t>show</w:t>
      </w:r>
      <w:r w:rsidR="004C6BCA">
        <w:rPr>
          <w:rFonts w:ascii="Times" w:hAnsi="Times" w:cs="Times New Roman"/>
          <w:lang w:val="en-US"/>
        </w:rPr>
        <w:t>s</w:t>
      </w:r>
      <w:r w:rsidR="0099196E" w:rsidRPr="0099196E">
        <w:rPr>
          <w:rFonts w:ascii="Times" w:hAnsi="Times" w:cs="Times New Roman"/>
          <w:lang w:val="en-US"/>
        </w:rPr>
        <w:t xml:space="preserve"> the balance achieved with genetic matching</w:t>
      </w:r>
      <w:r w:rsidR="004C6BCA">
        <w:rPr>
          <w:rFonts w:ascii="Times" w:hAnsi="Times" w:cs="Times New Roman"/>
          <w:lang w:val="en-US"/>
        </w:rPr>
        <w:t xml:space="preserve"> and the ‘Grexit expectation’ as a treatment, which is the treatment we use in the article. In Figure A.2, we replicate this exercise, but now using the ‘More Negotiations Expectation’ as a treatment </w:t>
      </w:r>
      <w:r w:rsidR="0099196E" w:rsidRPr="0099196E">
        <w:rPr>
          <w:rFonts w:ascii="Times" w:hAnsi="Times" w:cs="Times New Roman"/>
          <w:lang w:val="en-US"/>
        </w:rPr>
        <w:t xml:space="preserve">. </w:t>
      </w:r>
      <w:r w:rsidR="0099196E" w:rsidRPr="00F75D70">
        <w:rPr>
          <w:rFonts w:ascii="Times New Roman" w:hAnsi="Times New Roman" w:cs="Times New Roman"/>
          <w:lang w:val="en-US"/>
        </w:rPr>
        <w:t xml:space="preserve">Each black dot denotes the p-value from a difference-of-means test before matching, while the black triangle shows the p-value after matching. </w:t>
      </w:r>
      <w:r w:rsidR="0099196E" w:rsidRPr="0099196E">
        <w:rPr>
          <w:rFonts w:ascii="Times" w:hAnsi="Times" w:cs="Times New Roman"/>
          <w:lang w:val="en-US"/>
        </w:rPr>
        <w:t xml:space="preserve">Following Sekhon (2009), we also add the propensity score as a covariate. Because the propensity score is a continuous variable, we also show the Kolmogorov-Smirnov test for the difference in distributions between treated an control groups. Again, two p-values are shown, one before (red dot) and one after matching (red triangle). </w:t>
      </w:r>
    </w:p>
    <w:p w14:paraId="0C76C30B" w14:textId="7AFD40A2" w:rsidR="0099196E" w:rsidRPr="0099196E" w:rsidRDefault="0099196E" w:rsidP="0099196E">
      <w:pPr>
        <w:spacing w:line="480" w:lineRule="auto"/>
        <w:ind w:firstLine="708"/>
        <w:jc w:val="both"/>
        <w:rPr>
          <w:rFonts w:ascii="Times" w:hAnsi="Times" w:cs="Times New Roman"/>
          <w:lang w:val="en-US"/>
        </w:rPr>
      </w:pPr>
      <w:r w:rsidRPr="0099196E">
        <w:rPr>
          <w:rFonts w:ascii="Times" w:hAnsi="Times" w:cs="Times New Roman"/>
          <w:lang w:val="en-US"/>
        </w:rPr>
        <w:t>We see that when looking at the raw data, there are clear imbalances both in the education levels and in the partisan preferences of the two groups. All differences, however, evaporate after matching, with the minimum t-test p-value measuring the mean difference between treatment and control group being 0.45 (primary education category). High levels of balance seem to be have been achieved also when one looks at the two most obvious attitudinal confounders—partisan preferences and attitudes towards the euro.</w:t>
      </w:r>
    </w:p>
    <w:p w14:paraId="168AEE87" w14:textId="77777777" w:rsidR="0099196E" w:rsidRDefault="0099196E" w:rsidP="0099196E">
      <w:pPr>
        <w:spacing w:line="480" w:lineRule="auto"/>
        <w:ind w:firstLine="708"/>
        <w:jc w:val="both"/>
        <w:rPr>
          <w:rFonts w:ascii="Times New Roman" w:hAnsi="Times New Roman" w:cs="Times New Roman"/>
          <w:lang w:val="en-US"/>
        </w:rPr>
      </w:pPr>
    </w:p>
    <w:p w14:paraId="75A85963" w14:textId="00DE3AF7" w:rsidR="00201DF2" w:rsidRPr="00526DF6" w:rsidRDefault="00201DF2" w:rsidP="00201DF2">
      <w:pPr>
        <w:spacing w:line="480" w:lineRule="auto"/>
        <w:ind w:firstLine="708"/>
        <w:jc w:val="both"/>
        <w:rPr>
          <w:rFonts w:ascii="Times" w:hAnsi="Times" w:cs="Times New Roman"/>
          <w:lang w:val="en-US"/>
        </w:rPr>
      </w:pPr>
    </w:p>
    <w:p w14:paraId="651A28BD" w14:textId="0A753AAE" w:rsidR="00DF40BE" w:rsidRPr="00F75D70" w:rsidRDefault="00DF40BE" w:rsidP="00DF40BE">
      <w:pPr>
        <w:ind w:firstLine="708"/>
        <w:jc w:val="both"/>
        <w:rPr>
          <w:rFonts w:ascii="Times New Roman" w:hAnsi="Times New Roman" w:cs="Times New Roman"/>
          <w:lang w:val="en-US"/>
        </w:rPr>
      </w:pPr>
      <w:r w:rsidRPr="00F75D70">
        <w:rPr>
          <w:rFonts w:ascii="Times New Roman" w:hAnsi="Times New Roman" w:cs="Times New Roman"/>
          <w:lang w:val="en-US"/>
        </w:rPr>
        <w:t>.</w:t>
      </w:r>
    </w:p>
    <w:p w14:paraId="3799C1B0" w14:textId="126BFBB3" w:rsidR="00DF40BE" w:rsidRPr="00F75D70" w:rsidRDefault="00A92CD4" w:rsidP="00DF40BE">
      <w:pPr>
        <w:spacing w:line="360" w:lineRule="auto"/>
        <w:rPr>
          <w:rFonts w:ascii="Times New Roman" w:hAnsi="Times New Roman" w:cs="Times New Roman"/>
          <w:lang w:val="en-US"/>
        </w:rPr>
      </w:pPr>
      <w:r>
        <w:rPr>
          <w:rFonts w:ascii="Times New Roman" w:hAnsi="Times New Roman" w:cs="Times New Roman"/>
          <w:noProof/>
          <w:lang w:val="es-ES" w:eastAsia="es-ES"/>
        </w:rPr>
        <w:drawing>
          <wp:inline distT="0" distB="0" distL="0" distR="0" wp14:anchorId="3DD658C4" wp14:editId="7DFC25DD">
            <wp:extent cx="5756910" cy="5274224"/>
            <wp:effectExtent l="0" t="0" r="0" b="952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274224"/>
                    </a:xfrm>
                    <a:prstGeom prst="rect">
                      <a:avLst/>
                    </a:prstGeom>
                    <a:noFill/>
                    <a:ln>
                      <a:noFill/>
                    </a:ln>
                  </pic:spPr>
                </pic:pic>
              </a:graphicData>
            </a:graphic>
          </wp:inline>
        </w:drawing>
      </w:r>
    </w:p>
    <w:p w14:paraId="20A84D6A" w14:textId="77777777" w:rsidR="00DF40BE" w:rsidRPr="00F75D70" w:rsidRDefault="00DF40BE" w:rsidP="00DF40BE">
      <w:pPr>
        <w:spacing w:line="480" w:lineRule="auto"/>
        <w:jc w:val="both"/>
        <w:outlineLvl w:val="0"/>
        <w:rPr>
          <w:rFonts w:ascii="Times New Roman" w:hAnsi="Times New Roman" w:cs="Times New Roman"/>
          <w:b/>
          <w:lang w:val="en-US"/>
        </w:rPr>
      </w:pPr>
      <w:r w:rsidRPr="00F75D70">
        <w:rPr>
          <w:rFonts w:ascii="Times New Roman" w:hAnsi="Times New Roman" w:cs="Times New Roman"/>
          <w:b/>
          <w:lang w:val="en-US"/>
        </w:rPr>
        <w:t>Figure A1: Balance statistics using “Grexit“ as treatment</w:t>
      </w:r>
    </w:p>
    <w:p w14:paraId="73AE9221" w14:textId="197D9B7E" w:rsidR="00DF40BE" w:rsidRPr="00D7431B" w:rsidRDefault="00DF40BE" w:rsidP="00DF40BE">
      <w:pPr>
        <w:jc w:val="both"/>
        <w:rPr>
          <w:rFonts w:ascii="Times New Roman" w:hAnsi="Times New Roman" w:cs="Times New Roman"/>
          <w:sz w:val="20"/>
          <w:szCs w:val="20"/>
          <w:lang w:val="en-US"/>
        </w:rPr>
      </w:pPr>
      <w:r w:rsidRPr="00D7431B">
        <w:rPr>
          <w:rFonts w:ascii="Times New Roman" w:hAnsi="Times New Roman" w:cs="Times New Roman"/>
          <w:sz w:val="20"/>
          <w:szCs w:val="20"/>
          <w:lang w:val="en-US"/>
        </w:rPr>
        <w:t xml:space="preserve">Note: The black dots present the </w:t>
      </w:r>
      <w:r w:rsidRPr="00D7431B">
        <w:rPr>
          <w:rFonts w:ascii="Times New Roman" w:hAnsi="Times New Roman" w:cs="Times New Roman"/>
          <w:i/>
          <w:sz w:val="20"/>
          <w:szCs w:val="20"/>
          <w:lang w:val="en-US"/>
        </w:rPr>
        <w:t>p</w:t>
      </w:r>
      <w:r w:rsidRPr="00D7431B">
        <w:rPr>
          <w:rFonts w:ascii="Times New Roman" w:hAnsi="Times New Roman" w:cs="Times New Roman"/>
          <w:sz w:val="20"/>
          <w:szCs w:val="20"/>
          <w:lang w:val="en-US"/>
        </w:rPr>
        <w:t xml:space="preserve">-values from the difference-of-means test between treated and control group from the unmatched dataset (BM). The black triangles represent the </w:t>
      </w:r>
      <w:r w:rsidRPr="00D7431B">
        <w:rPr>
          <w:rFonts w:ascii="Times New Roman" w:hAnsi="Times New Roman" w:cs="Times New Roman"/>
          <w:i/>
          <w:sz w:val="20"/>
          <w:szCs w:val="20"/>
          <w:lang w:val="en-US"/>
        </w:rPr>
        <w:t>p</w:t>
      </w:r>
      <w:r w:rsidRPr="00D7431B">
        <w:rPr>
          <w:rFonts w:ascii="Times New Roman" w:hAnsi="Times New Roman" w:cs="Times New Roman"/>
          <w:sz w:val="20"/>
          <w:szCs w:val="20"/>
          <w:lang w:val="en-US"/>
        </w:rPr>
        <w:t>-values from the matched dataset (AM).  The red dot denotes the p</w:t>
      </w:r>
      <w:r w:rsidR="00DC7C17">
        <w:rPr>
          <w:rFonts w:ascii="Times New Roman" w:hAnsi="Times New Roman" w:cs="Times New Roman"/>
          <w:sz w:val="20"/>
          <w:szCs w:val="20"/>
          <w:lang w:val="en-US"/>
        </w:rPr>
        <w:t xml:space="preserve">-value of a Kolmogorov-Smirnov </w:t>
      </w:r>
      <w:r w:rsidRPr="00D7431B">
        <w:rPr>
          <w:rFonts w:ascii="Times New Roman" w:hAnsi="Times New Roman" w:cs="Times New Roman"/>
          <w:sz w:val="20"/>
          <w:szCs w:val="20"/>
          <w:lang w:val="en-US"/>
        </w:rPr>
        <w:t>test of distributions between treated and control groups in the unmatched dataset. The red triangle indicates the p-value from the matched dataset. All variables are binary apart from the propensity score, which is treated as a continuous variable.</w:t>
      </w:r>
    </w:p>
    <w:p w14:paraId="0B28E5CA" w14:textId="77777777" w:rsidR="00DF40BE" w:rsidRPr="00F75D70" w:rsidRDefault="00DF40BE" w:rsidP="00DF40BE">
      <w:pPr>
        <w:spacing w:line="360" w:lineRule="auto"/>
        <w:rPr>
          <w:rFonts w:ascii="Times New Roman" w:hAnsi="Times New Roman" w:cs="Times New Roman"/>
          <w:lang w:val="en-US"/>
        </w:rPr>
      </w:pPr>
    </w:p>
    <w:p w14:paraId="3B043C24" w14:textId="780232CC" w:rsidR="00DF40BE" w:rsidRDefault="00DF40BE" w:rsidP="00DF40BE">
      <w:pPr>
        <w:spacing w:line="360" w:lineRule="auto"/>
        <w:rPr>
          <w:rFonts w:ascii="Times New Roman" w:hAnsi="Times New Roman" w:cs="Times New Roman"/>
          <w:noProof/>
          <w:lang w:val="en-US" w:eastAsia="en-US"/>
        </w:rPr>
      </w:pPr>
    </w:p>
    <w:p w14:paraId="0763AFE1" w14:textId="54CD7A1A" w:rsidR="004E2302" w:rsidRPr="00F75D70" w:rsidRDefault="00A92CD4" w:rsidP="00DF40BE">
      <w:pPr>
        <w:spacing w:line="360" w:lineRule="auto"/>
        <w:rPr>
          <w:rFonts w:ascii="Times New Roman" w:hAnsi="Times New Roman" w:cs="Times New Roman"/>
          <w:lang w:val="en-US"/>
        </w:rPr>
      </w:pPr>
      <w:r>
        <w:rPr>
          <w:rFonts w:ascii="Times New Roman" w:hAnsi="Times New Roman" w:cs="Times New Roman"/>
          <w:noProof/>
          <w:lang w:val="es-ES" w:eastAsia="es-ES"/>
        </w:rPr>
        <w:lastRenderedPageBreak/>
        <w:drawing>
          <wp:inline distT="0" distB="0" distL="0" distR="0" wp14:anchorId="1744702C" wp14:editId="2156B0BD">
            <wp:extent cx="5756910" cy="5512973"/>
            <wp:effectExtent l="0" t="0" r="889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512973"/>
                    </a:xfrm>
                    <a:prstGeom prst="rect">
                      <a:avLst/>
                    </a:prstGeom>
                    <a:noFill/>
                    <a:ln>
                      <a:noFill/>
                    </a:ln>
                  </pic:spPr>
                </pic:pic>
              </a:graphicData>
            </a:graphic>
          </wp:inline>
        </w:drawing>
      </w:r>
    </w:p>
    <w:p w14:paraId="2C840F0A" w14:textId="77777777" w:rsidR="00DF40BE" w:rsidRPr="00F75D70" w:rsidRDefault="00DF40BE" w:rsidP="00DF40BE">
      <w:pPr>
        <w:spacing w:line="360" w:lineRule="auto"/>
        <w:rPr>
          <w:rFonts w:ascii="Times New Roman" w:hAnsi="Times New Roman" w:cs="Times New Roman"/>
          <w:lang w:val="en-US"/>
        </w:rPr>
      </w:pPr>
    </w:p>
    <w:p w14:paraId="6141C3EE" w14:textId="48225138" w:rsidR="00DF40BE" w:rsidRPr="008F79E2" w:rsidRDefault="00DF40BE" w:rsidP="00DF40BE">
      <w:pPr>
        <w:spacing w:line="480" w:lineRule="auto"/>
        <w:jc w:val="both"/>
        <w:outlineLvl w:val="0"/>
        <w:rPr>
          <w:rFonts w:ascii="Times New Roman" w:hAnsi="Times New Roman" w:cs="Times New Roman"/>
          <w:b/>
          <w:lang w:val="en-US"/>
        </w:rPr>
      </w:pPr>
      <w:r w:rsidRPr="008F79E2">
        <w:rPr>
          <w:rFonts w:ascii="Times New Roman" w:hAnsi="Times New Roman" w:cs="Times New Roman"/>
          <w:b/>
          <w:lang w:val="en-US"/>
        </w:rPr>
        <w:t>Figure A.2: Balance</w:t>
      </w:r>
      <w:r w:rsidR="00833B44">
        <w:rPr>
          <w:rFonts w:ascii="Times New Roman" w:hAnsi="Times New Roman" w:cs="Times New Roman"/>
          <w:b/>
          <w:lang w:val="en-US"/>
        </w:rPr>
        <w:t xml:space="preserve"> statistics using “Negotiations”</w:t>
      </w:r>
      <w:r w:rsidRPr="008F79E2">
        <w:rPr>
          <w:rFonts w:ascii="Times New Roman" w:hAnsi="Times New Roman" w:cs="Times New Roman"/>
          <w:b/>
          <w:lang w:val="en-US"/>
        </w:rPr>
        <w:t xml:space="preserve"> as treatment.</w:t>
      </w:r>
    </w:p>
    <w:p w14:paraId="33065E60" w14:textId="6DC2E6E7" w:rsidR="00DF40BE" w:rsidRPr="00EB7B09" w:rsidRDefault="00EB7B09" w:rsidP="00DF40BE">
      <w:pPr>
        <w:jc w:val="both"/>
        <w:rPr>
          <w:rFonts w:ascii="Times New Roman" w:hAnsi="Times New Roman" w:cs="Times New Roman"/>
          <w:sz w:val="20"/>
          <w:szCs w:val="20"/>
          <w:lang w:val="en-US"/>
        </w:rPr>
      </w:pPr>
      <w:r w:rsidRPr="00EB7B09">
        <w:rPr>
          <w:rFonts w:ascii="Times New Roman" w:hAnsi="Times New Roman" w:cs="Times New Roman"/>
          <w:sz w:val="20"/>
          <w:szCs w:val="20"/>
          <w:lang w:val="en-US"/>
        </w:rPr>
        <w:t>Note: The Fi</w:t>
      </w:r>
      <w:r w:rsidR="00251F64">
        <w:rPr>
          <w:rFonts w:ascii="Times New Roman" w:hAnsi="Times New Roman" w:cs="Times New Roman"/>
          <w:sz w:val="20"/>
          <w:szCs w:val="20"/>
          <w:lang w:val="en-US"/>
        </w:rPr>
        <w:t xml:space="preserve">gure replicates </w:t>
      </w:r>
      <w:r w:rsidR="001A35CC">
        <w:rPr>
          <w:rFonts w:ascii="Times New Roman" w:hAnsi="Times New Roman" w:cs="Times New Roman"/>
          <w:sz w:val="20"/>
          <w:szCs w:val="20"/>
          <w:lang w:val="en-US"/>
        </w:rPr>
        <w:t>f</w:t>
      </w:r>
      <w:r w:rsidR="00251F64">
        <w:rPr>
          <w:rFonts w:ascii="Times New Roman" w:hAnsi="Times New Roman" w:cs="Times New Roman"/>
          <w:sz w:val="20"/>
          <w:szCs w:val="20"/>
          <w:lang w:val="en-US"/>
        </w:rPr>
        <w:t>igure 3</w:t>
      </w:r>
      <w:r w:rsidR="00DF40BE" w:rsidRPr="00EB7B09">
        <w:rPr>
          <w:rFonts w:ascii="Times New Roman" w:hAnsi="Times New Roman" w:cs="Times New Roman"/>
          <w:sz w:val="20"/>
          <w:szCs w:val="20"/>
          <w:lang w:val="en-US"/>
        </w:rPr>
        <w:t xml:space="preserve"> of the mai</w:t>
      </w:r>
      <w:r w:rsidR="00833B44">
        <w:rPr>
          <w:rFonts w:ascii="Times New Roman" w:hAnsi="Times New Roman" w:cs="Times New Roman"/>
          <w:sz w:val="20"/>
          <w:szCs w:val="20"/>
          <w:lang w:val="en-US"/>
        </w:rPr>
        <w:t>n text, using the „negotiations”</w:t>
      </w:r>
      <w:r w:rsidR="00DF40BE" w:rsidRPr="00EB7B09">
        <w:rPr>
          <w:rFonts w:ascii="Times New Roman" w:hAnsi="Times New Roman" w:cs="Times New Roman"/>
          <w:sz w:val="20"/>
          <w:szCs w:val="20"/>
          <w:lang w:val="en-US"/>
        </w:rPr>
        <w:t xml:space="preserve"> option as the treatment indicator.</w:t>
      </w:r>
    </w:p>
    <w:p w14:paraId="165F4558" w14:textId="77777777" w:rsidR="00DF40BE" w:rsidRPr="00F75D70" w:rsidRDefault="00DF40BE" w:rsidP="00DF40BE">
      <w:pPr>
        <w:jc w:val="both"/>
        <w:rPr>
          <w:rFonts w:ascii="Times New Roman" w:hAnsi="Times New Roman" w:cs="Times New Roman"/>
          <w:sz w:val="20"/>
          <w:szCs w:val="20"/>
          <w:lang w:val="en-US"/>
        </w:rPr>
      </w:pPr>
    </w:p>
    <w:p w14:paraId="5FF40AD9" w14:textId="77777777" w:rsidR="00DF40BE" w:rsidRPr="00F75D70" w:rsidRDefault="00DF40BE" w:rsidP="00DF40BE">
      <w:pPr>
        <w:jc w:val="both"/>
        <w:rPr>
          <w:rFonts w:ascii="Times New Roman" w:hAnsi="Times New Roman" w:cs="Times New Roman"/>
          <w:sz w:val="20"/>
          <w:szCs w:val="20"/>
          <w:lang w:val="en-US"/>
        </w:rPr>
      </w:pPr>
    </w:p>
    <w:p w14:paraId="3051046B" w14:textId="032AA0D0" w:rsidR="00EB7B09" w:rsidRDefault="00EB7B09">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F2351B1" w14:textId="2EEC0845" w:rsidR="00DF40BE" w:rsidRPr="00F75D70" w:rsidRDefault="00DF40BE" w:rsidP="0099196E">
      <w:pPr>
        <w:spacing w:line="480" w:lineRule="auto"/>
        <w:ind w:firstLine="708"/>
        <w:jc w:val="both"/>
        <w:rPr>
          <w:rFonts w:ascii="Times New Roman" w:hAnsi="Times New Roman" w:cs="Times New Roman"/>
          <w:lang w:val="en-US"/>
        </w:rPr>
      </w:pPr>
      <w:r w:rsidRPr="00F75D70">
        <w:rPr>
          <w:rFonts w:ascii="Times New Roman" w:hAnsi="Times New Roman" w:cs="Times New Roman"/>
          <w:lang w:val="en-US"/>
        </w:rPr>
        <w:lastRenderedPageBreak/>
        <w:t xml:space="preserve">A similar picture is observed when using entropy balancing, as shown in Figures A.3 and A.4. </w:t>
      </w:r>
      <w:r w:rsidR="0099196E" w:rsidRPr="00526DF6">
        <w:rPr>
          <w:rFonts w:ascii="Times" w:hAnsi="Times" w:cs="Times New Roman"/>
          <w:lang w:val="en-US"/>
        </w:rPr>
        <w:t xml:space="preserve">Balance is even better with entropy balancing, which creates practically identical treatment and control distributions for all </w:t>
      </w:r>
      <w:r w:rsidR="0099196E">
        <w:rPr>
          <w:rFonts w:ascii="Times" w:hAnsi="Times" w:cs="Times New Roman"/>
          <w:lang w:val="en-US"/>
        </w:rPr>
        <w:t xml:space="preserve">covariates. </w:t>
      </w:r>
      <w:r w:rsidRPr="00F75D70">
        <w:rPr>
          <w:rFonts w:ascii="Times New Roman" w:hAnsi="Times New Roman" w:cs="Times New Roman"/>
          <w:lang w:val="en-US"/>
        </w:rPr>
        <w:t>Before entropy balancing weights are applied to the control group, the standardized mean difference between the two groups often exceeds half a standard deviation and reaches statistical significance. All these differences vanish after entropy balancing. The means of the two groups are practically identical for all variables.</w:t>
      </w:r>
      <w:r w:rsidRPr="00F75D70">
        <w:rPr>
          <w:rStyle w:val="Refdenotaalpie"/>
          <w:rFonts w:ascii="Times New Roman" w:hAnsi="Times New Roman" w:cs="Times New Roman"/>
          <w:lang w:val="en-US"/>
        </w:rPr>
        <w:footnoteReference w:id="4"/>
      </w:r>
      <w:r w:rsidRPr="00F75D70">
        <w:rPr>
          <w:rFonts w:ascii="Times New Roman" w:hAnsi="Times New Roman" w:cs="Times New Roman"/>
          <w:lang w:val="en-US"/>
        </w:rPr>
        <w:t xml:space="preserve"> </w:t>
      </w:r>
    </w:p>
    <w:p w14:paraId="7901BE73" w14:textId="77777777" w:rsidR="00DF40BE" w:rsidRPr="00F75D70" w:rsidRDefault="00DF40BE" w:rsidP="00DF40BE">
      <w:pPr>
        <w:jc w:val="both"/>
        <w:rPr>
          <w:rFonts w:ascii="Times New Roman" w:hAnsi="Times New Roman" w:cs="Times New Roman"/>
          <w:sz w:val="20"/>
          <w:szCs w:val="20"/>
          <w:lang w:val="en-US"/>
        </w:rPr>
      </w:pPr>
    </w:p>
    <w:p w14:paraId="52F44919" w14:textId="77777777" w:rsidR="00DF40BE" w:rsidRPr="00F75D70" w:rsidRDefault="00DF40BE" w:rsidP="00DF40BE">
      <w:pPr>
        <w:spacing w:line="360" w:lineRule="auto"/>
        <w:jc w:val="both"/>
        <w:rPr>
          <w:rFonts w:ascii="Times New Roman" w:hAnsi="Times New Roman" w:cs="Times New Roman"/>
          <w:lang w:val="en-US"/>
        </w:rPr>
      </w:pPr>
      <w:r w:rsidRPr="00F75D70">
        <w:rPr>
          <w:rFonts w:ascii="Times New Roman" w:hAnsi="Times New Roman" w:cs="Times New Roman"/>
          <w:noProof/>
          <w:lang w:val="es-ES" w:eastAsia="es-ES"/>
        </w:rPr>
        <w:drawing>
          <wp:inline distT="0" distB="0" distL="0" distR="0" wp14:anchorId="7CB55A9C" wp14:editId="54621B0A">
            <wp:extent cx="5481955" cy="2405584"/>
            <wp:effectExtent l="0" t="0" r="4445"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955" cy="2405584"/>
                    </a:xfrm>
                    <a:prstGeom prst="rect">
                      <a:avLst/>
                    </a:prstGeom>
                    <a:noFill/>
                    <a:ln>
                      <a:noFill/>
                    </a:ln>
                  </pic:spPr>
                </pic:pic>
              </a:graphicData>
            </a:graphic>
          </wp:inline>
        </w:drawing>
      </w:r>
    </w:p>
    <w:p w14:paraId="00A51FB9" w14:textId="77777777" w:rsidR="00DF40BE" w:rsidRPr="00F75D70" w:rsidRDefault="00DF40BE" w:rsidP="00DF40BE">
      <w:pPr>
        <w:spacing w:line="360" w:lineRule="auto"/>
        <w:jc w:val="both"/>
        <w:outlineLvl w:val="0"/>
        <w:rPr>
          <w:rFonts w:ascii="Times New Roman" w:hAnsi="Times New Roman" w:cs="Times New Roman"/>
          <w:b/>
          <w:lang w:val="en-US"/>
        </w:rPr>
      </w:pPr>
      <w:r w:rsidRPr="00F75D70">
        <w:rPr>
          <w:rFonts w:ascii="Times New Roman" w:hAnsi="Times New Roman" w:cs="Times New Roman"/>
          <w:b/>
          <w:lang w:val="en-US"/>
        </w:rPr>
        <w:t>Figure A.3: Standardized mean differences before and after entropy balancing.</w:t>
      </w:r>
    </w:p>
    <w:p w14:paraId="59BEB54D" w14:textId="77777777" w:rsidR="00DF40BE" w:rsidRPr="00F75D70" w:rsidRDefault="00DF40BE" w:rsidP="00DF40BE">
      <w:pPr>
        <w:jc w:val="both"/>
        <w:rPr>
          <w:rFonts w:ascii="Times New Roman" w:hAnsi="Times New Roman" w:cs="Times New Roman"/>
          <w:lang w:val="en-US"/>
        </w:rPr>
      </w:pPr>
      <w:r w:rsidRPr="00F75D70">
        <w:rPr>
          <w:rFonts w:ascii="Times New Roman" w:hAnsi="Times New Roman" w:cs="Times New Roman"/>
          <w:lang w:val="en-US"/>
        </w:rPr>
        <w:t>Note: The dots denote the standardized difference between treated and control groups. The left panel shows these mean differences before entropy balance whereas the right panel shows the same differences after entropy balancing.</w:t>
      </w:r>
    </w:p>
    <w:p w14:paraId="043E348D" w14:textId="77777777" w:rsidR="00DF40BE" w:rsidRPr="00F75D70" w:rsidRDefault="00DF40BE" w:rsidP="00DF40BE">
      <w:pPr>
        <w:jc w:val="both"/>
        <w:rPr>
          <w:rFonts w:ascii="Times New Roman" w:hAnsi="Times New Roman" w:cs="Times New Roman"/>
          <w:lang w:val="en-US"/>
        </w:rPr>
      </w:pPr>
    </w:p>
    <w:p w14:paraId="6172C18A" w14:textId="77777777" w:rsidR="00DF40BE" w:rsidRPr="00F75D70" w:rsidRDefault="00DF40BE" w:rsidP="00DF40BE">
      <w:pPr>
        <w:jc w:val="both"/>
        <w:rPr>
          <w:rFonts w:ascii="Times New Roman" w:hAnsi="Times New Roman" w:cs="Times New Roman"/>
          <w:lang w:val="en-US"/>
        </w:rPr>
      </w:pPr>
    </w:p>
    <w:p w14:paraId="0A77AD71" w14:textId="77777777" w:rsidR="00DF40BE" w:rsidRPr="00F75D70" w:rsidRDefault="00DF40BE" w:rsidP="00DF40BE">
      <w:pPr>
        <w:jc w:val="both"/>
        <w:rPr>
          <w:rFonts w:ascii="Times New Roman" w:hAnsi="Times New Roman" w:cs="Times New Roman"/>
          <w:lang w:val="en-US"/>
        </w:rPr>
      </w:pPr>
    </w:p>
    <w:p w14:paraId="2C458784" w14:textId="77777777" w:rsidR="00DF40BE" w:rsidRPr="00F75D70" w:rsidRDefault="00DF40BE" w:rsidP="00DF40BE">
      <w:pPr>
        <w:jc w:val="both"/>
        <w:rPr>
          <w:rFonts w:ascii="Times New Roman" w:hAnsi="Times New Roman" w:cs="Times New Roman"/>
          <w:lang w:val="en-US"/>
        </w:rPr>
      </w:pPr>
    </w:p>
    <w:p w14:paraId="026CA707" w14:textId="77777777" w:rsidR="00DF40BE" w:rsidRPr="00F75D70" w:rsidRDefault="00DF40BE" w:rsidP="00DF40BE">
      <w:pPr>
        <w:jc w:val="both"/>
        <w:rPr>
          <w:rFonts w:ascii="Times New Roman" w:hAnsi="Times New Roman" w:cs="Times New Roman"/>
          <w:sz w:val="20"/>
          <w:szCs w:val="20"/>
          <w:lang w:val="en-US"/>
        </w:rPr>
      </w:pPr>
    </w:p>
    <w:p w14:paraId="1D506361" w14:textId="77777777" w:rsidR="00DF40BE" w:rsidRPr="00F75D70" w:rsidRDefault="00DF40BE" w:rsidP="00DF40BE">
      <w:pPr>
        <w:jc w:val="both"/>
        <w:rPr>
          <w:rFonts w:ascii="Times New Roman" w:hAnsi="Times New Roman" w:cs="Times New Roman"/>
          <w:sz w:val="20"/>
          <w:szCs w:val="20"/>
          <w:lang w:val="en-US"/>
        </w:rPr>
      </w:pPr>
      <w:r w:rsidRPr="00F75D70">
        <w:rPr>
          <w:rFonts w:ascii="Times New Roman" w:hAnsi="Times New Roman" w:cs="Times New Roman"/>
          <w:noProof/>
          <w:sz w:val="20"/>
          <w:szCs w:val="20"/>
          <w:lang w:val="es-ES" w:eastAsia="es-ES"/>
        </w:rPr>
        <w:lastRenderedPageBreak/>
        <w:drawing>
          <wp:inline distT="0" distB="0" distL="0" distR="0" wp14:anchorId="52B43EF3" wp14:editId="67DFD4D4">
            <wp:extent cx="5786676" cy="2436495"/>
            <wp:effectExtent l="0" t="0" r="508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6676" cy="2436495"/>
                    </a:xfrm>
                    <a:prstGeom prst="rect">
                      <a:avLst/>
                    </a:prstGeom>
                    <a:noFill/>
                    <a:ln>
                      <a:noFill/>
                    </a:ln>
                  </pic:spPr>
                </pic:pic>
              </a:graphicData>
            </a:graphic>
          </wp:inline>
        </w:drawing>
      </w:r>
    </w:p>
    <w:p w14:paraId="30013DAF" w14:textId="77777777" w:rsidR="00DF40BE" w:rsidRPr="008F79E2" w:rsidRDefault="00DF40BE" w:rsidP="00DF40BE">
      <w:pPr>
        <w:spacing w:line="360" w:lineRule="auto"/>
        <w:jc w:val="both"/>
        <w:outlineLvl w:val="0"/>
        <w:rPr>
          <w:rFonts w:ascii="Times New Roman" w:hAnsi="Times New Roman" w:cs="Times New Roman"/>
          <w:b/>
          <w:lang w:val="en-US"/>
        </w:rPr>
      </w:pPr>
      <w:r w:rsidRPr="008F79E2">
        <w:rPr>
          <w:rFonts w:ascii="Times New Roman" w:hAnsi="Times New Roman" w:cs="Times New Roman"/>
          <w:b/>
          <w:lang w:val="en-US"/>
        </w:rPr>
        <w:t>Figure A.4: Standardized mean differences before and after entropy balancing.</w:t>
      </w:r>
    </w:p>
    <w:p w14:paraId="3AA82AF5" w14:textId="7EA2765B" w:rsidR="00DF40BE" w:rsidRPr="00D16900" w:rsidRDefault="00DF40BE" w:rsidP="00DF40BE">
      <w:pPr>
        <w:jc w:val="both"/>
        <w:rPr>
          <w:rFonts w:ascii="Times New Roman" w:hAnsi="Times New Roman" w:cs="Times New Roman"/>
          <w:szCs w:val="20"/>
          <w:lang w:val="en-US"/>
        </w:rPr>
      </w:pPr>
      <w:r w:rsidRPr="00D16900">
        <w:rPr>
          <w:rFonts w:ascii="Times New Roman" w:hAnsi="Times New Roman" w:cs="Times New Roman"/>
          <w:szCs w:val="20"/>
          <w:lang w:val="en-US"/>
        </w:rPr>
        <w:t>Note: The graph replicates Figure 3 of the ma</w:t>
      </w:r>
      <w:r w:rsidR="00707461">
        <w:rPr>
          <w:rFonts w:ascii="Times New Roman" w:hAnsi="Times New Roman" w:cs="Times New Roman"/>
          <w:szCs w:val="20"/>
          <w:lang w:val="en-US"/>
        </w:rPr>
        <w:t>i</w:t>
      </w:r>
      <w:r w:rsidRPr="00D16900">
        <w:rPr>
          <w:rFonts w:ascii="Times New Roman" w:hAnsi="Times New Roman" w:cs="Times New Roman"/>
          <w:szCs w:val="20"/>
          <w:lang w:val="en-US"/>
        </w:rPr>
        <w:t>n text, using the „negotiations“ option as the treatment category.</w:t>
      </w:r>
    </w:p>
    <w:p w14:paraId="6084BE50" w14:textId="2F032100" w:rsidR="00DF40BE" w:rsidRDefault="00DF40BE" w:rsidP="00DF40BE">
      <w:pPr>
        <w:jc w:val="both"/>
        <w:rPr>
          <w:rFonts w:ascii="Times New Roman" w:hAnsi="Times New Roman" w:cs="Times New Roman"/>
          <w:sz w:val="20"/>
          <w:szCs w:val="20"/>
          <w:lang w:val="en-US"/>
        </w:rPr>
      </w:pPr>
    </w:p>
    <w:p w14:paraId="208FFFC9" w14:textId="77777777" w:rsidR="00FF096B" w:rsidRDefault="00FF096B" w:rsidP="00FF096B">
      <w:pPr>
        <w:spacing w:line="480" w:lineRule="auto"/>
        <w:jc w:val="both"/>
        <w:rPr>
          <w:rFonts w:ascii="Times" w:hAnsi="Times" w:cs="Times New Roman"/>
          <w:lang w:val="en-US"/>
        </w:rPr>
      </w:pPr>
    </w:p>
    <w:p w14:paraId="5AC73237" w14:textId="4E8423B1" w:rsidR="00FF096B" w:rsidRDefault="00FF096B" w:rsidP="00FF096B">
      <w:pPr>
        <w:spacing w:line="480" w:lineRule="auto"/>
        <w:jc w:val="both"/>
        <w:rPr>
          <w:rFonts w:ascii="Times" w:hAnsi="Times" w:cs="Times New Roman"/>
          <w:lang w:val="en-US"/>
        </w:rPr>
      </w:pPr>
      <w:r w:rsidRPr="00526DF6">
        <w:rPr>
          <w:rFonts w:ascii="Times" w:hAnsi="Times" w:cs="Times New Roman"/>
          <w:lang w:val="en-US"/>
        </w:rPr>
        <w:t>Our matching analyses confirm</w:t>
      </w:r>
      <w:r>
        <w:rPr>
          <w:rFonts w:ascii="Times" w:hAnsi="Times" w:cs="Times New Roman"/>
          <w:lang w:val="en-US"/>
        </w:rPr>
        <w:t>ed</w:t>
      </w:r>
      <w:r w:rsidRPr="00526DF6">
        <w:rPr>
          <w:rFonts w:ascii="Times" w:hAnsi="Times" w:cs="Times New Roman"/>
          <w:lang w:val="en-US"/>
        </w:rPr>
        <w:t xml:space="preserve"> that expectations about the consequences of a non-cooperative referendum outcome significantly shaped the vote in the 2015 Greek referendum. As a way of assessing the robustness of the effects in the presence of an unobserved confounder, we implemented a Rosenbaum test, which estimates the magnitude of hidden bias that would need to be present to explain the associations actually observed </w:t>
      </w:r>
      <w:r w:rsidRPr="00526DF6">
        <w:rPr>
          <w:rFonts w:ascii="Times" w:hAnsi="Times" w:cs="Times New Roman"/>
          <w:lang w:val="en-US"/>
        </w:rPr>
        <w:fldChar w:fldCharType="begin" w:fldLock="1"/>
      </w:r>
      <w:r w:rsidRPr="00526DF6">
        <w:rPr>
          <w:rFonts w:ascii="Times" w:hAnsi="Times" w:cs="Times New Roman"/>
          <w:lang w:val="en-US"/>
        </w:rPr>
        <w:instrText>ADDIN CSL_CITATION { "citationItems" : [ { "id" : "ITEM-1", "itemData" : { "author" : [ { "dropping-particle" : "", "family" : "Keele", "given" : "Luke", "non-dropping-particle" : "", "parse-names" : false, "suffix" : "" } ], "container-title" : "White Paper. Columbus, OH", "id" : "ITEM-1", "issued" : { "date-parts" : [ [ "2010" ] ] }, "page" : "1-15", "title" : "An overview of rbounds: An R package for Rosenbaum bounds sensitivity analysis with matched data", "type" : "article-journal" }, "uris" : [ "http://www.mendeley.com/documents/?uuid=2c2af66c-b517-420c-81de-4763be0f2596" ] } ], "mendeley" : { "formattedCitation" : "(Keele 2010)", "plainTextFormattedCitation" : "(Keele 2010)", "previouslyFormattedCitation" : "(Keele 2010)"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(Keele 2010)</w:t>
      </w:r>
      <w:r w:rsidRPr="00526DF6">
        <w:rPr>
          <w:rFonts w:ascii="Times" w:hAnsi="Times" w:cs="Times New Roman"/>
          <w:lang w:val="en-US"/>
        </w:rPr>
        <w:fldChar w:fldCharType="end"/>
      </w:r>
      <w:r w:rsidRPr="00526DF6">
        <w:rPr>
          <w:rFonts w:ascii="Times" w:hAnsi="Times" w:cs="Times New Roman"/>
          <w:lang w:val="en-US"/>
        </w:rPr>
        <w:t>. The findings of this sensitivity analysis reveal that to attribute the effects found here to expectations to an unobserved covariate, that covariate would need to produce an almost ninefold increase (</w:t>
      </w:r>
      <m:oMath>
        <m:r>
          <m:rPr>
            <m:sty m:val="p"/>
          </m:rPr>
          <w:rPr>
            <w:rFonts w:ascii="Cambria Math" w:hAnsi="Cambria Math" w:cs="Times New Roman"/>
            <w:lang w:val="en-US"/>
          </w:rPr>
          <m:t>Γ</m:t>
        </m:r>
      </m:oMath>
      <w:r w:rsidRPr="00526DF6">
        <w:rPr>
          <w:rFonts w:ascii="Times" w:hAnsi="Times" w:cs="Times New Roman"/>
          <w:lang w:val="en-US"/>
        </w:rPr>
        <w:t xml:space="preserve">=8.6) in the odds of expecting Grexit after a No-referendum. Relative to social science standards </w:t>
      </w:r>
      <w:r w:rsidRPr="00526DF6">
        <w:rPr>
          <w:rFonts w:ascii="Times" w:hAnsi="Times" w:cs="Times New Roman"/>
          <w:lang w:val="en-US"/>
        </w:rPr>
        <w:fldChar w:fldCharType="begin" w:fldLock="1"/>
      </w:r>
      <w:r w:rsidRPr="00526DF6">
        <w:rPr>
          <w:rFonts w:ascii="Times" w:hAnsi="Times" w:cs="Times New Roman"/>
          <w:lang w:val="en-US"/>
        </w:rPr>
        <w:instrText>ADDIN CSL_CITATION { "citationItems" : [ { "id" : "ITEM-1", "itemData" : { "author" : [ { "dropping-particle" : "", "family" : "Keele", "given" : "Luke", "non-dropping-particle" : "", "parse-names" : false, "suffix" : "" } ], "container-title" : "White Paper. Columbus, OH", "id" : "ITEM-1", "issued" : { "date-parts" : [ [ "2010" ] ] }, "page" : "1-15", "title" : "An overview of rbounds: An R package for Rosenbaum bounds sensitivity analysis with matched data", "type" : "article-journal" }, "uris" : [ "http://www.mendeley.com/documents/?uuid=2c2af66c-b517-420c-81de-4763be0f2596" ] } ], "mendeley" : { "formattedCitation" : "(Keele 2010)", "plainTextFormattedCitation" : "(Keele 2010)", "previouslyFormattedCitation" : "(Keele 2010)"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(Keele 2010)</w:t>
      </w:r>
      <w:r w:rsidRPr="00526DF6">
        <w:rPr>
          <w:rFonts w:ascii="Times" w:hAnsi="Times" w:cs="Times New Roman"/>
          <w:lang w:val="en-US"/>
        </w:rPr>
        <w:fldChar w:fldCharType="end"/>
      </w:r>
      <w:r w:rsidRPr="00526DF6">
        <w:rPr>
          <w:rFonts w:ascii="Times" w:hAnsi="Times" w:cs="Times New Roman"/>
          <w:lang w:val="en-US"/>
        </w:rPr>
        <w:t>, this is a very high value, thus increasing our confidence in the causal interpretation of the effects.</w:t>
      </w:r>
    </w:p>
    <w:p w14:paraId="3E5A2DFE" w14:textId="169E22D7" w:rsidR="00FF096B" w:rsidRPr="00526DF6" w:rsidRDefault="00FF096B" w:rsidP="00FF096B">
      <w:pPr>
        <w:spacing w:line="480" w:lineRule="auto"/>
        <w:jc w:val="both"/>
        <w:rPr>
          <w:rFonts w:ascii="Times" w:hAnsi="Times" w:cs="Times New Roman"/>
          <w:lang w:val="en-US"/>
        </w:rPr>
      </w:pPr>
      <w:r>
        <w:rPr>
          <w:rFonts w:ascii="Times" w:hAnsi="Times" w:cs="Times New Roman"/>
          <w:lang w:val="en-US"/>
        </w:rPr>
        <w:t>Finally, in the article, we used the expectations about Grexit as our treatment variable for the matching. Results are very similar (alhotugh with the opposite sign), when we use the expectations about more negotiations as our treatment variable, as Figure A.5 shows.</w:t>
      </w:r>
    </w:p>
    <w:p w14:paraId="2615C083" w14:textId="77777777" w:rsidR="00FF096B" w:rsidRPr="00F75D70" w:rsidRDefault="00FF096B" w:rsidP="00DF40BE">
      <w:pPr>
        <w:jc w:val="both"/>
        <w:rPr>
          <w:rFonts w:ascii="Times New Roman" w:hAnsi="Times New Roman" w:cs="Times New Roman"/>
          <w:sz w:val="20"/>
          <w:szCs w:val="20"/>
          <w:lang w:val="en-US"/>
        </w:rPr>
      </w:pPr>
    </w:p>
    <w:p w14:paraId="5F85DD93" w14:textId="77777777" w:rsidR="00DF40BE" w:rsidRPr="00F75D70" w:rsidRDefault="00DF40BE" w:rsidP="00DF40BE">
      <w:pPr>
        <w:jc w:val="both"/>
        <w:rPr>
          <w:rFonts w:ascii="Times New Roman" w:hAnsi="Times New Roman" w:cs="Times New Roman"/>
          <w:sz w:val="20"/>
          <w:szCs w:val="20"/>
          <w:lang w:val="en-US"/>
        </w:rPr>
      </w:pPr>
    </w:p>
    <w:p w14:paraId="2D923A6D" w14:textId="77777777" w:rsidR="00DF40BE" w:rsidRPr="00F75D70" w:rsidRDefault="00DF40BE" w:rsidP="00DF40BE">
      <w:pPr>
        <w:jc w:val="both"/>
        <w:rPr>
          <w:rFonts w:ascii="Times New Roman" w:hAnsi="Times New Roman" w:cs="Times New Roman"/>
          <w:sz w:val="20"/>
          <w:szCs w:val="20"/>
          <w:lang w:val="en-US"/>
        </w:rPr>
      </w:pPr>
    </w:p>
    <w:p w14:paraId="1526899D" w14:textId="3E4A1664" w:rsidR="00DF40BE" w:rsidRPr="00F75D70" w:rsidRDefault="004E2302" w:rsidP="00DF40BE">
      <w:pPr>
        <w:jc w:val="both"/>
        <w:rPr>
          <w:rFonts w:ascii="Times New Roman" w:hAnsi="Times New Roman" w:cs="Times New Roman"/>
          <w:sz w:val="20"/>
          <w:szCs w:val="20"/>
          <w:lang w:val="en-US"/>
        </w:rPr>
      </w:pPr>
      <w:r>
        <w:rPr>
          <w:rFonts w:ascii="Times New Roman" w:hAnsi="Times New Roman" w:cs="Times New Roman"/>
          <w:noProof/>
          <w:sz w:val="20"/>
          <w:szCs w:val="20"/>
          <w:lang w:val="es-ES" w:eastAsia="es-ES"/>
        </w:rPr>
        <w:lastRenderedPageBreak/>
        <w:drawing>
          <wp:inline distT="0" distB="0" distL="0" distR="0" wp14:anchorId="30277A7C" wp14:editId="20EEC15D">
            <wp:extent cx="5756910" cy="4734918"/>
            <wp:effectExtent l="0" t="0" r="889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734918"/>
                    </a:xfrm>
                    <a:prstGeom prst="rect">
                      <a:avLst/>
                    </a:prstGeom>
                    <a:noFill/>
                    <a:ln>
                      <a:noFill/>
                    </a:ln>
                  </pic:spPr>
                </pic:pic>
              </a:graphicData>
            </a:graphic>
          </wp:inline>
        </w:drawing>
      </w:r>
    </w:p>
    <w:p w14:paraId="0279F7B9" w14:textId="77777777" w:rsidR="00DF40BE" w:rsidRPr="00F75D70" w:rsidRDefault="00DF40BE" w:rsidP="00DF40BE">
      <w:pPr>
        <w:jc w:val="both"/>
        <w:rPr>
          <w:rFonts w:ascii="Times New Roman" w:hAnsi="Times New Roman" w:cs="Times New Roman"/>
          <w:sz w:val="20"/>
          <w:szCs w:val="20"/>
          <w:lang w:val="en-US"/>
        </w:rPr>
      </w:pPr>
    </w:p>
    <w:p w14:paraId="1C2123B7" w14:textId="77777777" w:rsidR="00DF40BE" w:rsidRPr="00B65CBF" w:rsidRDefault="00DF40BE" w:rsidP="00DF40BE">
      <w:pPr>
        <w:spacing w:line="360" w:lineRule="auto"/>
        <w:jc w:val="both"/>
        <w:rPr>
          <w:rFonts w:ascii="Times New Roman" w:hAnsi="Times New Roman" w:cs="Times New Roman"/>
          <w:b/>
          <w:lang w:val="en-US"/>
        </w:rPr>
      </w:pPr>
      <w:r w:rsidRPr="00B65CBF">
        <w:rPr>
          <w:rFonts w:ascii="Times New Roman" w:hAnsi="Times New Roman" w:cs="Times New Roman"/>
          <w:b/>
          <w:lang w:val="en-US"/>
        </w:rPr>
        <w:t>Figure A.</w:t>
      </w:r>
      <w:r>
        <w:rPr>
          <w:rFonts w:ascii="Times New Roman" w:hAnsi="Times New Roman" w:cs="Times New Roman"/>
          <w:b/>
          <w:lang w:val="en-US"/>
        </w:rPr>
        <w:t>5</w:t>
      </w:r>
      <w:r w:rsidRPr="00B65CBF">
        <w:rPr>
          <w:rFonts w:ascii="Times New Roman" w:hAnsi="Times New Roman" w:cs="Times New Roman"/>
          <w:b/>
          <w:lang w:val="en-US"/>
        </w:rPr>
        <w:t>: The effect of “Negotiations” expectations on the No vote in the Greek Referendum.</w:t>
      </w:r>
    </w:p>
    <w:p w14:paraId="3E63DD1A" w14:textId="427816D7" w:rsidR="00DF40BE" w:rsidRPr="00D16900" w:rsidRDefault="00DF40BE" w:rsidP="00DF40BE">
      <w:pPr>
        <w:jc w:val="both"/>
        <w:rPr>
          <w:rFonts w:ascii="Times New Roman" w:hAnsi="Times New Roman" w:cs="Times New Roman"/>
          <w:szCs w:val="20"/>
          <w:lang w:val="en-US"/>
        </w:rPr>
      </w:pPr>
      <w:r w:rsidRPr="00D16900">
        <w:rPr>
          <w:rFonts w:ascii="Times New Roman" w:hAnsi="Times New Roman" w:cs="Times New Roman"/>
          <w:szCs w:val="20"/>
          <w:lang w:val="en-US"/>
        </w:rPr>
        <w:t>Not</w:t>
      </w:r>
      <w:r w:rsidR="001A35CC">
        <w:rPr>
          <w:rFonts w:ascii="Times New Roman" w:hAnsi="Times New Roman" w:cs="Times New Roman"/>
          <w:szCs w:val="20"/>
          <w:lang w:val="en-US"/>
        </w:rPr>
        <w:t>e: The graph replicates figure 4</w:t>
      </w:r>
      <w:r w:rsidRPr="00D16900">
        <w:rPr>
          <w:rFonts w:ascii="Times New Roman" w:hAnsi="Times New Roman" w:cs="Times New Roman"/>
          <w:szCs w:val="20"/>
          <w:lang w:val="en-US"/>
        </w:rPr>
        <w:t xml:space="preserve"> of the main text, using the “negotiations” option, instead of the “</w:t>
      </w:r>
      <w:r>
        <w:rPr>
          <w:rFonts w:ascii="Times New Roman" w:hAnsi="Times New Roman" w:cs="Times New Roman"/>
          <w:szCs w:val="20"/>
          <w:lang w:val="en-US"/>
        </w:rPr>
        <w:t>G</w:t>
      </w:r>
      <w:r w:rsidRPr="00D16900">
        <w:rPr>
          <w:rFonts w:ascii="Times New Roman" w:hAnsi="Times New Roman" w:cs="Times New Roman"/>
          <w:szCs w:val="20"/>
          <w:lang w:val="en-US"/>
        </w:rPr>
        <w:t>rexit” option as the treatment category.</w:t>
      </w:r>
    </w:p>
    <w:p w14:paraId="18261314" w14:textId="078A2610" w:rsidR="00DF40BE" w:rsidRDefault="00DF40BE" w:rsidP="00DF40BE">
      <w:pPr>
        <w:jc w:val="both"/>
        <w:rPr>
          <w:rFonts w:ascii="Times New Roman" w:hAnsi="Times New Roman" w:cs="Times New Roman"/>
          <w:sz w:val="20"/>
          <w:szCs w:val="20"/>
          <w:lang w:val="en-US"/>
        </w:rPr>
      </w:pPr>
    </w:p>
    <w:p w14:paraId="09565D99" w14:textId="77777777" w:rsidR="0099196E" w:rsidRDefault="0099196E">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3E61D02E" w14:textId="64F2F9D9" w:rsidR="0099196E" w:rsidRPr="00404E17" w:rsidRDefault="0099196E" w:rsidP="002D46F5">
      <w:pPr>
        <w:pStyle w:val="Prrafodelista"/>
        <w:numPr>
          <w:ilvl w:val="0"/>
          <w:numId w:val="8"/>
        </w:numPr>
        <w:spacing w:line="480" w:lineRule="auto"/>
        <w:rPr>
          <w:rFonts w:ascii="Times New Roman" w:hAnsi="Times New Roman" w:cs="Times New Roman"/>
          <w:b/>
          <w:u w:val="single"/>
          <w:lang w:val="en-US"/>
        </w:rPr>
      </w:pPr>
      <w:r w:rsidRPr="00404E17">
        <w:rPr>
          <w:rFonts w:ascii="Times New Roman" w:hAnsi="Times New Roman" w:cs="Times New Roman"/>
          <w:b/>
          <w:u w:val="single"/>
          <w:lang w:val="en-US"/>
        </w:rPr>
        <w:lastRenderedPageBreak/>
        <w:t>Matching Analyses on</w:t>
      </w:r>
      <w:r w:rsidR="00FF096B" w:rsidRPr="00404E17">
        <w:rPr>
          <w:rFonts w:ascii="Times New Roman" w:hAnsi="Times New Roman" w:cs="Times New Roman"/>
          <w:b/>
          <w:u w:val="single"/>
          <w:lang w:val="en-US"/>
        </w:rPr>
        <w:t xml:space="preserve"> the Effect of the Bank Shutdown on</w:t>
      </w:r>
      <w:r w:rsidRPr="00404E17">
        <w:rPr>
          <w:rFonts w:ascii="Times New Roman" w:hAnsi="Times New Roman" w:cs="Times New Roman"/>
          <w:b/>
          <w:u w:val="single"/>
          <w:lang w:val="en-US"/>
        </w:rPr>
        <w:t xml:space="preserve"> </w:t>
      </w:r>
      <w:r w:rsidR="00FF096B" w:rsidRPr="00404E17">
        <w:rPr>
          <w:rFonts w:ascii="Times New Roman" w:hAnsi="Times New Roman" w:cs="Times New Roman"/>
          <w:b/>
          <w:u w:val="single"/>
          <w:lang w:val="en-US"/>
        </w:rPr>
        <w:t>Grexit Expectations</w:t>
      </w:r>
    </w:p>
    <w:p w14:paraId="2C88F502" w14:textId="12B71AC2" w:rsidR="0099196E" w:rsidRPr="00F75D70" w:rsidRDefault="00CB4A56" w:rsidP="00DF40BE">
      <w:pPr>
        <w:jc w:val="both"/>
        <w:rPr>
          <w:rFonts w:ascii="Times New Roman" w:hAnsi="Times New Roman" w:cs="Times New Roman"/>
          <w:sz w:val="20"/>
          <w:szCs w:val="20"/>
          <w:lang w:val="en-US"/>
        </w:rPr>
      </w:pPr>
      <w:r>
        <w:rPr>
          <w:rFonts w:ascii="Times New Roman" w:hAnsi="Times New Roman" w:cs="Times New Roman"/>
          <w:sz w:val="20"/>
          <w:szCs w:val="20"/>
          <w:lang w:val="en-US"/>
        </w:rPr>
        <w:t>We use the “Bank Holiday” survey item as treatment and two outcomes: negotiations-belief (else=0); and Grexit-belief (else=0). The figure below (Figure A6) denotes the balance when using genetic matching. Perfect balance achieved on both first and second moments of the distribution of all covarariates across treated and untreated units when using entropy balancing. The treatment effect estimates are displayed in Figure A7.</w:t>
      </w:r>
    </w:p>
    <w:p w14:paraId="02E18373" w14:textId="77777777" w:rsidR="00DF40BE" w:rsidRPr="00F75D70" w:rsidRDefault="00DF40BE" w:rsidP="00DF40BE">
      <w:pPr>
        <w:spacing w:line="360" w:lineRule="auto"/>
        <w:jc w:val="both"/>
        <w:outlineLvl w:val="0"/>
        <w:rPr>
          <w:rFonts w:ascii="Times New Roman" w:hAnsi="Times New Roman" w:cs="Times New Roman"/>
          <w:b/>
          <w:lang w:val="en-US"/>
        </w:rPr>
      </w:pPr>
    </w:p>
    <w:p w14:paraId="207C8A3A" w14:textId="04079D45" w:rsidR="00DF40BE" w:rsidRPr="00F75D70" w:rsidRDefault="007706C7" w:rsidP="00DF40BE">
      <w:pPr>
        <w:spacing w:line="360" w:lineRule="auto"/>
        <w:jc w:val="both"/>
        <w:outlineLvl w:val="0"/>
        <w:rPr>
          <w:rFonts w:ascii="Times New Roman" w:hAnsi="Times New Roman" w:cs="Times New Roman"/>
          <w:b/>
          <w:lang w:val="en-US"/>
        </w:rPr>
      </w:pPr>
      <w:r>
        <w:rPr>
          <w:rFonts w:ascii="Times New Roman" w:hAnsi="Times New Roman" w:cs="Times New Roman"/>
          <w:b/>
          <w:noProof/>
          <w:lang w:val="es-ES" w:eastAsia="es-ES"/>
        </w:rPr>
        <w:drawing>
          <wp:inline distT="0" distB="0" distL="0" distR="0" wp14:anchorId="69D2017C" wp14:editId="3D08788B">
            <wp:extent cx="5756910" cy="5444426"/>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5444426"/>
                    </a:xfrm>
                    <a:prstGeom prst="rect">
                      <a:avLst/>
                    </a:prstGeom>
                    <a:noFill/>
                    <a:ln>
                      <a:noFill/>
                    </a:ln>
                  </pic:spPr>
                </pic:pic>
              </a:graphicData>
            </a:graphic>
          </wp:inline>
        </w:drawing>
      </w:r>
    </w:p>
    <w:p w14:paraId="64CF966E" w14:textId="394794D5" w:rsidR="00DF40BE" w:rsidRPr="00F75D70" w:rsidRDefault="00C37785" w:rsidP="00DF40BE">
      <w:pPr>
        <w:spacing w:line="360" w:lineRule="auto"/>
        <w:jc w:val="both"/>
        <w:outlineLvl w:val="0"/>
        <w:rPr>
          <w:rFonts w:ascii="Times New Roman" w:hAnsi="Times New Roman" w:cs="Times New Roman"/>
          <w:b/>
          <w:lang w:val="en-US"/>
        </w:rPr>
      </w:pPr>
      <w:r>
        <w:rPr>
          <w:rFonts w:ascii="Times New Roman" w:hAnsi="Times New Roman" w:cs="Times New Roman"/>
          <w:b/>
          <w:lang w:val="en-US"/>
        </w:rPr>
        <w:t>Figure A.6</w:t>
      </w:r>
      <w:r w:rsidR="00DF40BE" w:rsidRPr="00F75D70">
        <w:rPr>
          <w:rFonts w:ascii="Times New Roman" w:hAnsi="Times New Roman" w:cs="Times New Roman"/>
          <w:b/>
          <w:lang w:val="en-US"/>
        </w:rPr>
        <w:t>: Balance in pretreatment covariates for those affected and those not affected by the bank holiday.</w:t>
      </w:r>
    </w:p>
    <w:p w14:paraId="0ACAF61F" w14:textId="77777777" w:rsidR="00DF40BE" w:rsidRPr="00F75D70" w:rsidRDefault="00DF40BE" w:rsidP="00DF40BE">
      <w:pPr>
        <w:spacing w:line="360" w:lineRule="auto"/>
        <w:jc w:val="both"/>
        <w:outlineLvl w:val="0"/>
        <w:rPr>
          <w:rFonts w:ascii="Times New Roman" w:hAnsi="Times New Roman" w:cs="Times New Roman"/>
          <w:b/>
          <w:lang w:val="en-US"/>
        </w:rPr>
      </w:pPr>
    </w:p>
    <w:p w14:paraId="2750B5EA" w14:textId="77777777" w:rsidR="00DF40BE" w:rsidRPr="00F75D70" w:rsidRDefault="00DF40BE" w:rsidP="00DF40BE">
      <w:pPr>
        <w:spacing w:line="360" w:lineRule="auto"/>
        <w:jc w:val="both"/>
        <w:outlineLvl w:val="0"/>
        <w:rPr>
          <w:rFonts w:ascii="Times New Roman" w:hAnsi="Times New Roman" w:cs="Times New Roman"/>
          <w:b/>
          <w:lang w:val="en-US"/>
        </w:rPr>
      </w:pPr>
    </w:p>
    <w:p w14:paraId="5E5FA3C1" w14:textId="77777777" w:rsidR="00DF40BE" w:rsidRDefault="00DF40BE" w:rsidP="00DF40BE">
      <w:pPr>
        <w:spacing w:line="360" w:lineRule="auto"/>
        <w:jc w:val="both"/>
        <w:outlineLvl w:val="0"/>
        <w:rPr>
          <w:rFonts w:ascii="Times New Roman" w:hAnsi="Times New Roman" w:cs="Times New Roman"/>
          <w:b/>
          <w:lang w:val="en-US"/>
        </w:rPr>
      </w:pPr>
    </w:p>
    <w:p w14:paraId="4A18D9D0" w14:textId="77777777" w:rsidR="00113EF8" w:rsidRDefault="00113EF8" w:rsidP="00DF40BE">
      <w:pPr>
        <w:spacing w:line="360" w:lineRule="auto"/>
        <w:jc w:val="both"/>
        <w:outlineLvl w:val="0"/>
        <w:rPr>
          <w:rFonts w:ascii="Times New Roman" w:hAnsi="Times New Roman" w:cs="Times New Roman"/>
          <w:b/>
          <w:lang w:val="en-US"/>
        </w:rPr>
      </w:pPr>
    </w:p>
    <w:p w14:paraId="3668ED49" w14:textId="77777777" w:rsidR="00113EF8" w:rsidRDefault="00113EF8" w:rsidP="00DF40BE">
      <w:pPr>
        <w:spacing w:line="360" w:lineRule="auto"/>
        <w:jc w:val="both"/>
        <w:outlineLvl w:val="0"/>
        <w:rPr>
          <w:rFonts w:ascii="Times New Roman" w:hAnsi="Times New Roman" w:cs="Times New Roman"/>
          <w:b/>
          <w:lang w:val="en-US"/>
        </w:rPr>
      </w:pPr>
    </w:p>
    <w:p w14:paraId="7263D27F" w14:textId="77777777" w:rsidR="00113EF8" w:rsidRDefault="00113EF8" w:rsidP="00DF40BE">
      <w:pPr>
        <w:spacing w:line="360" w:lineRule="auto"/>
        <w:jc w:val="both"/>
        <w:outlineLvl w:val="0"/>
        <w:rPr>
          <w:rFonts w:ascii="Times New Roman" w:hAnsi="Times New Roman" w:cs="Times New Roman"/>
          <w:b/>
          <w:lang w:val="en-US"/>
        </w:rPr>
      </w:pPr>
    </w:p>
    <w:p w14:paraId="7A8F4F30" w14:textId="77777777" w:rsidR="00113EF8" w:rsidRDefault="00113EF8" w:rsidP="00DF40BE">
      <w:pPr>
        <w:spacing w:line="360" w:lineRule="auto"/>
        <w:jc w:val="both"/>
        <w:outlineLvl w:val="0"/>
        <w:rPr>
          <w:rFonts w:ascii="Times New Roman" w:hAnsi="Times New Roman" w:cs="Times New Roman"/>
          <w:b/>
          <w:lang w:val="en-US"/>
        </w:rPr>
      </w:pPr>
    </w:p>
    <w:p w14:paraId="7F04030F" w14:textId="2BC5B885" w:rsidR="00DF40BE" w:rsidRPr="00F75D70" w:rsidRDefault="004D7F5C" w:rsidP="00DF40BE">
      <w:pPr>
        <w:jc w:val="both"/>
        <w:outlineLvl w:val="0"/>
        <w:rPr>
          <w:rFonts w:ascii="Times New Roman" w:hAnsi="Times New Roman" w:cs="Times New Roman"/>
          <w:b/>
          <w:lang w:val="en-US"/>
        </w:rPr>
      </w:pPr>
      <w:r>
        <w:rPr>
          <w:rFonts w:ascii="Times New Roman" w:hAnsi="Times New Roman" w:cs="Times New Roman"/>
          <w:b/>
          <w:noProof/>
          <w:lang w:val="es-ES" w:eastAsia="es-ES"/>
        </w:rPr>
        <w:lastRenderedPageBreak/>
        <w:drawing>
          <wp:inline distT="0" distB="0" distL="0" distR="0" wp14:anchorId="12871B90" wp14:editId="70061AC2">
            <wp:extent cx="5756910" cy="47299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4729900"/>
                    </a:xfrm>
                    <a:prstGeom prst="rect">
                      <a:avLst/>
                    </a:prstGeom>
                    <a:noFill/>
                    <a:ln>
                      <a:noFill/>
                    </a:ln>
                  </pic:spPr>
                </pic:pic>
              </a:graphicData>
            </a:graphic>
          </wp:inline>
        </w:drawing>
      </w:r>
    </w:p>
    <w:p w14:paraId="57F648F0" w14:textId="085106E9" w:rsidR="00DF40BE" w:rsidRPr="00B65CBF" w:rsidRDefault="00C37785" w:rsidP="00DF40BE">
      <w:pPr>
        <w:jc w:val="both"/>
        <w:outlineLvl w:val="0"/>
        <w:rPr>
          <w:rFonts w:ascii="Times New Roman" w:hAnsi="Times New Roman" w:cs="Times New Roman"/>
          <w:b/>
          <w:lang w:val="en-US"/>
        </w:rPr>
      </w:pPr>
      <w:r>
        <w:rPr>
          <w:rFonts w:ascii="Times New Roman" w:hAnsi="Times New Roman" w:cs="Times New Roman"/>
          <w:b/>
          <w:lang w:val="en-US"/>
        </w:rPr>
        <w:t>Figure A.7</w:t>
      </w:r>
      <w:r w:rsidR="00DF40BE" w:rsidRPr="00B65CBF">
        <w:rPr>
          <w:rFonts w:ascii="Times New Roman" w:hAnsi="Times New Roman" w:cs="Times New Roman"/>
          <w:b/>
          <w:lang w:val="en-US"/>
        </w:rPr>
        <w:t>: Change in probability of expecting Grexit/Negot</w:t>
      </w:r>
      <w:r w:rsidR="00CB4A56">
        <w:rPr>
          <w:rFonts w:ascii="Times New Roman" w:hAnsi="Times New Roman" w:cs="Times New Roman"/>
          <w:b/>
          <w:lang w:val="en-US"/>
        </w:rPr>
        <w:t>iations due to the bank holiday.</w:t>
      </w:r>
    </w:p>
    <w:p w14:paraId="1E590E02" w14:textId="2782CC32" w:rsidR="00DF40BE" w:rsidRPr="00EC337F" w:rsidRDefault="00DF40BE" w:rsidP="00EC337F">
      <w:pPr>
        <w:jc w:val="both"/>
        <w:outlineLvl w:val="0"/>
        <w:rPr>
          <w:rFonts w:ascii="Times New Roman" w:hAnsi="Times New Roman" w:cs="Times New Roman"/>
          <w:sz w:val="20"/>
          <w:szCs w:val="20"/>
          <w:lang w:val="en-US"/>
        </w:rPr>
      </w:pPr>
      <w:r w:rsidRPr="00EC337F">
        <w:rPr>
          <w:rFonts w:ascii="Times New Roman" w:hAnsi="Times New Roman" w:cs="Times New Roman"/>
          <w:sz w:val="20"/>
          <w:szCs w:val="20"/>
          <w:lang w:val="en-US"/>
        </w:rPr>
        <w:t>Note: The point estimates denote the difference in the probability of Grexit/Negotiations expectations compared to the DK/DA option. Horizontal bars denote the 95% confidence intervals.</w:t>
      </w:r>
    </w:p>
    <w:p w14:paraId="597B2F01" w14:textId="3CCD5092" w:rsidR="008569AF" w:rsidRDefault="008569AF">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3108686" w14:textId="34929F7A" w:rsidR="00404E17" w:rsidRPr="00404E17" w:rsidRDefault="00404E17" w:rsidP="002D46F5">
      <w:pPr>
        <w:pStyle w:val="Prrafodelista"/>
        <w:numPr>
          <w:ilvl w:val="0"/>
          <w:numId w:val="8"/>
        </w:numPr>
        <w:spacing w:line="480" w:lineRule="auto"/>
        <w:jc w:val="both"/>
        <w:rPr>
          <w:rFonts w:ascii="Times" w:hAnsi="Times" w:cs="Times New Roman"/>
          <w:b/>
          <w:lang w:val="en-US"/>
        </w:rPr>
      </w:pPr>
      <w:r>
        <w:rPr>
          <w:rFonts w:ascii="Times" w:hAnsi="Times" w:cs="Times New Roman"/>
          <w:b/>
          <w:lang w:val="en-US"/>
        </w:rPr>
        <w:lastRenderedPageBreak/>
        <w:t xml:space="preserve">Experiment on </w:t>
      </w:r>
      <w:r w:rsidRPr="00404E17">
        <w:rPr>
          <w:rFonts w:ascii="Times" w:hAnsi="Times" w:cs="Times New Roman"/>
          <w:b/>
          <w:lang w:val="en-US"/>
        </w:rPr>
        <w:t xml:space="preserve">Foreign threats </w:t>
      </w:r>
    </w:p>
    <w:p w14:paraId="36CA144B" w14:textId="77777777" w:rsidR="00404E17" w:rsidRDefault="00404E17" w:rsidP="00404E17">
      <w:pPr>
        <w:spacing w:line="480" w:lineRule="auto"/>
        <w:jc w:val="both"/>
        <w:rPr>
          <w:rFonts w:ascii="Times" w:hAnsi="Times" w:cs="Times New Roman"/>
          <w:lang w:val="en-US"/>
        </w:rPr>
      </w:pPr>
    </w:p>
    <w:p w14:paraId="5C05C820" w14:textId="7BA652F9" w:rsidR="00404E17" w:rsidRPr="00526DF6" w:rsidRDefault="00404E17" w:rsidP="00404E17">
      <w:pPr>
        <w:spacing w:line="480" w:lineRule="auto"/>
        <w:jc w:val="both"/>
        <w:rPr>
          <w:rFonts w:ascii="Times" w:hAnsi="Times" w:cs="Times New Roman"/>
          <w:lang w:val="en-US"/>
        </w:rPr>
      </w:pPr>
      <w:r w:rsidRPr="00526DF6">
        <w:rPr>
          <w:rFonts w:ascii="Times" w:hAnsi="Times" w:cs="Times New Roman"/>
          <w:lang w:val="en-US"/>
        </w:rPr>
        <w:t>To examine the effectiveness of foreign threats, we use evidence from a survey experiment conducted on a sample of 2,003 respondents on June 24, 2015, two days before Tsipras’ decision to call the referendum.</w:t>
      </w:r>
      <w:r w:rsidRPr="00526DF6">
        <w:rPr>
          <w:rStyle w:val="Refdenotaalpie"/>
          <w:rFonts w:ascii="Times" w:hAnsi="Times"/>
          <w:lang w:val="en-US"/>
        </w:rPr>
        <w:footnoteReference w:id="5"/>
      </w:r>
      <w:r w:rsidRPr="00526DF6">
        <w:rPr>
          <w:rFonts w:ascii="Times" w:hAnsi="Times" w:cs="Times New Roman"/>
          <w:lang w:val="en-US"/>
        </w:rPr>
        <w:t xml:space="preserve"> Focusing on one of the most hotly debated issues between Greece and her creditors, we asked respondents whether they thought that Greece should repay the country’s debt or not. Answers ranged from "1" (we should stop paying the creditors) and "5" (we must continue paying the creditors). To test whether foreign actors can influence people’s foreign policy preferences, in this case the fulfillment of international commitments, we randomly assigned respondent to a control group, who was only asked this question, and three treatment groups, in which the question was preceded by a warning by either a domestic actor (finance minister Yanis Varoufakis) or a foreign policymaker (either ECB President Mario Draghi or the German finance minister Wolfgang Schäuble) that not repaying the debt could make the situation worse for Greece.</w:t>
      </w:r>
      <w:r w:rsidRPr="00526DF6">
        <w:rPr>
          <w:rStyle w:val="Refdenotaalpie"/>
          <w:rFonts w:ascii="Times" w:hAnsi="Times" w:cs="Times New Roman"/>
          <w:lang w:val="en-US"/>
        </w:rPr>
        <w:footnoteReference w:id="6"/>
      </w:r>
      <w:r w:rsidRPr="00526DF6">
        <w:rPr>
          <w:rFonts w:ascii="Times" w:hAnsi="Times" w:cs="Times New Roman"/>
          <w:lang w:val="en-US"/>
        </w:rPr>
        <w:t xml:space="preserve">  </w:t>
      </w:r>
    </w:p>
    <w:p w14:paraId="64DB60CB" w14:textId="77777777" w:rsidR="00404E17" w:rsidRDefault="00404E17" w:rsidP="00404E17">
      <w:pPr>
        <w:spacing w:line="480" w:lineRule="auto"/>
        <w:ind w:firstLine="709"/>
        <w:jc w:val="both"/>
        <w:rPr>
          <w:rFonts w:ascii="Times" w:hAnsi="Times" w:cs="Times New Roman"/>
          <w:lang w:val="en-US"/>
        </w:rPr>
      </w:pPr>
      <w:r w:rsidRPr="00526DF6">
        <w:rPr>
          <w:rFonts w:ascii="Times" w:hAnsi="Times" w:cs="Times New Roman"/>
          <w:lang w:val="en-US"/>
        </w:rPr>
        <w:t xml:space="preserve">If foreign threats are effective in influencing domestic preferences, their warnings should increase the willingness to repay the debt relative to the control group. We also expect a stronger effect for the Schäuble-treatment than the Draghi-treatment because during that period Schäuble was a more forceful actor in the negotiations with Greece than Draghi. </w:t>
      </w:r>
      <w:r>
        <w:rPr>
          <w:rFonts w:ascii="Times" w:hAnsi="Times" w:cs="Times New Roman"/>
          <w:lang w:val="en-US"/>
        </w:rPr>
        <w:t>Figure 6</w:t>
      </w:r>
      <w:r w:rsidRPr="00526DF6">
        <w:rPr>
          <w:rFonts w:ascii="Times" w:hAnsi="Times" w:cs="Times New Roman"/>
          <w:lang w:val="en-US"/>
        </w:rPr>
        <w:t xml:space="preserve"> shows the results of the survey experiment. It shows that warnings by all three policymakers increased the debt repayment willingness, but the effect was strongest and statistically significant only when the German finance minister Schäuble issued the warning.</w:t>
      </w:r>
      <w:r w:rsidRPr="00526DF6">
        <w:rPr>
          <w:rStyle w:val="Refdenotaalpie"/>
          <w:rFonts w:ascii="Times" w:hAnsi="Times"/>
          <w:lang w:val="en-US"/>
        </w:rPr>
        <w:footnoteReference w:id="7"/>
      </w:r>
      <w:r w:rsidRPr="00526DF6">
        <w:rPr>
          <w:rFonts w:ascii="Times" w:hAnsi="Times" w:cs="Times New Roman"/>
          <w:lang w:val="en-US"/>
        </w:rPr>
        <w:t xml:space="preserve"> Albeit indicative, these results offer supportive evidence for our expectation that warnings </w:t>
      </w:r>
      <w:r w:rsidRPr="00526DF6">
        <w:rPr>
          <w:rFonts w:ascii="Times" w:hAnsi="Times" w:cs="Times New Roman"/>
          <w:lang w:val="en-US"/>
        </w:rPr>
        <w:lastRenderedPageBreak/>
        <w:t>and threats issued by foreign policymakers about the consequences of non-cooperative behavior can influence domestic public opinion.</w:t>
      </w:r>
    </w:p>
    <w:p w14:paraId="54F96F27" w14:textId="77777777" w:rsidR="00847AC9" w:rsidRPr="00526DF6" w:rsidRDefault="00847AC9" w:rsidP="00404E17">
      <w:pPr>
        <w:spacing w:line="480" w:lineRule="auto"/>
        <w:ind w:firstLine="709"/>
        <w:jc w:val="both"/>
        <w:rPr>
          <w:rFonts w:ascii="Times" w:hAnsi="Times" w:cs="Times New Roman"/>
          <w:lang w:val="en-US"/>
        </w:rPr>
      </w:pPr>
    </w:p>
    <w:p w14:paraId="4F1D3E89" w14:textId="77777777" w:rsidR="00404E17" w:rsidRPr="00526DF6" w:rsidRDefault="00404E17" w:rsidP="00404E17">
      <w:pPr>
        <w:spacing w:line="480" w:lineRule="auto"/>
        <w:ind w:firstLine="709"/>
        <w:jc w:val="both"/>
        <w:rPr>
          <w:rFonts w:ascii="Times" w:hAnsi="Times" w:cs="Times New Roman"/>
          <w:lang w:val="en-US"/>
        </w:rPr>
      </w:pPr>
      <w:r w:rsidRPr="00526DF6">
        <w:rPr>
          <w:rFonts w:ascii="Times" w:hAnsi="Times"/>
          <w:lang w:val="en-US"/>
        </w:rPr>
        <w:t xml:space="preserve"> </w:t>
      </w:r>
      <w:r w:rsidRPr="00526DF6">
        <w:rPr>
          <w:rFonts w:ascii="Times" w:hAnsi="Times" w:cs="Times New Roman"/>
          <w:noProof/>
          <w:lang w:val="es-ES" w:eastAsia="es-ES"/>
        </w:rPr>
        <w:drawing>
          <wp:inline distT="0" distB="0" distL="0" distR="0" wp14:anchorId="62F88B3C" wp14:editId="74027B0C">
            <wp:extent cx="4717857" cy="3884408"/>
            <wp:effectExtent l="0" t="0" r="6985" b="190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6139" cy="3891227"/>
                    </a:xfrm>
                    <a:prstGeom prst="rect">
                      <a:avLst/>
                    </a:prstGeom>
                    <a:noFill/>
                    <a:ln>
                      <a:noFill/>
                    </a:ln>
                  </pic:spPr>
                </pic:pic>
              </a:graphicData>
            </a:graphic>
          </wp:inline>
        </w:drawing>
      </w:r>
    </w:p>
    <w:p w14:paraId="2FF4F21A" w14:textId="597A957C" w:rsidR="00404E17" w:rsidRDefault="00404E17" w:rsidP="00404E17">
      <w:pPr>
        <w:spacing w:line="480" w:lineRule="auto"/>
        <w:ind w:firstLine="709"/>
        <w:jc w:val="both"/>
        <w:rPr>
          <w:rFonts w:ascii="Times" w:hAnsi="Times" w:cs="Times New Roman"/>
          <w:b/>
          <w:lang w:val="en-US"/>
        </w:rPr>
      </w:pPr>
      <w:r w:rsidRPr="00526DF6">
        <w:rPr>
          <w:rFonts w:ascii="Times" w:hAnsi="Times" w:cs="Times New Roman"/>
          <w:b/>
          <w:lang w:val="en-US"/>
        </w:rPr>
        <w:t xml:space="preserve">Figure </w:t>
      </w:r>
      <w:r>
        <w:rPr>
          <w:rFonts w:ascii="Times" w:hAnsi="Times" w:cs="Times New Roman"/>
          <w:b/>
          <w:lang w:val="en-US"/>
        </w:rPr>
        <w:t>A.8</w:t>
      </w:r>
      <w:r w:rsidRPr="00526DF6">
        <w:rPr>
          <w:rFonts w:ascii="Times" w:hAnsi="Times" w:cs="Times New Roman"/>
          <w:b/>
          <w:lang w:val="en-US"/>
        </w:rPr>
        <w:t>: Effect of threat treatments on debt repayment preferences.</w:t>
      </w:r>
    </w:p>
    <w:p w14:paraId="4F74AC0A" w14:textId="59E70E23" w:rsidR="00404E17" w:rsidRDefault="00404E17">
      <w:pPr>
        <w:rPr>
          <w:rFonts w:ascii="Times" w:hAnsi="Times" w:cs="Times New Roman"/>
          <w:b/>
          <w:lang w:val="en-US"/>
        </w:rPr>
      </w:pPr>
      <w:r>
        <w:rPr>
          <w:rFonts w:ascii="Times" w:hAnsi="Times" w:cs="Times New Roman"/>
          <w:b/>
          <w:lang w:val="en-US"/>
        </w:rPr>
        <w:br w:type="page"/>
      </w:r>
    </w:p>
    <w:p w14:paraId="03AFAFE4" w14:textId="77777777" w:rsidR="00404E17" w:rsidRDefault="00404E17">
      <w:pPr>
        <w:rPr>
          <w:rFonts w:ascii="Times New Roman" w:hAnsi="Times New Roman" w:cs="Times New Roman"/>
          <w:b/>
          <w:u w:val="single"/>
          <w:lang w:val="en-US"/>
        </w:rPr>
      </w:pPr>
    </w:p>
    <w:p w14:paraId="6A60C5C0" w14:textId="04A81214" w:rsidR="008569AF" w:rsidRPr="00404E17" w:rsidRDefault="008569AF" w:rsidP="002D46F5">
      <w:pPr>
        <w:pStyle w:val="Prrafodelista"/>
        <w:numPr>
          <w:ilvl w:val="0"/>
          <w:numId w:val="8"/>
        </w:numPr>
        <w:spacing w:line="480" w:lineRule="auto"/>
        <w:rPr>
          <w:rFonts w:ascii="Times New Roman" w:hAnsi="Times New Roman" w:cs="Times New Roman"/>
          <w:b/>
          <w:u w:val="single"/>
          <w:lang w:val="en-US"/>
        </w:rPr>
      </w:pPr>
      <w:r w:rsidRPr="00404E17">
        <w:rPr>
          <w:rFonts w:ascii="Times New Roman" w:hAnsi="Times New Roman" w:cs="Times New Roman"/>
          <w:b/>
          <w:u w:val="single"/>
          <w:lang w:val="en-US"/>
        </w:rPr>
        <w:t>Causal Mediation Analyses</w:t>
      </w:r>
    </w:p>
    <w:p w14:paraId="1B92974E" w14:textId="7E78433D" w:rsidR="008569AF" w:rsidRPr="00526DF6" w:rsidRDefault="009143C2" w:rsidP="008569AF">
      <w:pPr>
        <w:spacing w:line="480" w:lineRule="auto"/>
        <w:ind w:firstLine="709"/>
        <w:jc w:val="both"/>
        <w:rPr>
          <w:rFonts w:ascii="Times" w:hAnsi="Times" w:cs="Times New Roman"/>
          <w:lang w:val="en-US"/>
        </w:rPr>
      </w:pPr>
      <w:r>
        <w:rPr>
          <w:rFonts w:ascii="Times" w:hAnsi="Times" w:cs="Times New Roman"/>
          <w:lang w:val="en-US"/>
        </w:rPr>
        <w:t xml:space="preserve">The </w:t>
      </w:r>
      <w:r w:rsidR="008569AF" w:rsidRPr="00526DF6">
        <w:rPr>
          <w:rFonts w:ascii="Times" w:hAnsi="Times" w:cs="Times New Roman"/>
          <w:lang w:val="en-US"/>
        </w:rPr>
        <w:t xml:space="preserve">analysis </w:t>
      </w:r>
      <w:r>
        <w:rPr>
          <w:rFonts w:ascii="Times" w:hAnsi="Times" w:cs="Times New Roman"/>
          <w:lang w:val="en-US"/>
        </w:rPr>
        <w:t xml:space="preserve">in the paper </w:t>
      </w:r>
      <w:r w:rsidR="008569AF" w:rsidRPr="00526DF6">
        <w:rPr>
          <w:rFonts w:ascii="Times" w:hAnsi="Times" w:cs="Times New Roman"/>
          <w:lang w:val="en-US"/>
        </w:rPr>
        <w:t>suggests that international actors can indeed affect expectations in referendum campaigns through costly signals</w:t>
      </w:r>
      <w:r>
        <w:rPr>
          <w:rFonts w:ascii="Times" w:hAnsi="Times" w:cs="Times New Roman"/>
          <w:lang w:val="en-US"/>
        </w:rPr>
        <w:t>. We have also shown that the estimated results in the polls changed because of the announcement of the bank shutdown. Did the effect of the bank shutdown on the vote operate through the change in expectations?</w:t>
      </w:r>
    </w:p>
    <w:p w14:paraId="61C35B35" w14:textId="76FC7861" w:rsidR="008569AF" w:rsidRPr="00526DF6" w:rsidRDefault="008569AF" w:rsidP="008569AF">
      <w:pPr>
        <w:spacing w:line="480" w:lineRule="auto"/>
        <w:ind w:firstLine="709"/>
        <w:jc w:val="both"/>
        <w:rPr>
          <w:rFonts w:ascii="Times" w:hAnsi="Times" w:cs="Times New Roman"/>
          <w:lang w:val="en-US"/>
        </w:rPr>
      </w:pPr>
      <w:r w:rsidRPr="00526DF6">
        <w:rPr>
          <w:rFonts w:ascii="Times" w:hAnsi="Times" w:cs="Times New Roman"/>
          <w:lang w:val="en-US"/>
        </w:rPr>
        <w:t xml:space="preserve">To answer this question, we turn to a more systematic analysis of how the ECB decision influenced vote intentions through a change in expectations. Following the setup suggested by Imai et al. </w:t>
      </w:r>
      <w:r w:rsidRPr="00526DF6">
        <w:rPr>
          <w:rFonts w:ascii="Times" w:hAnsi="Times" w:cs="Times New Roman"/>
          <w:lang w:val="en-US"/>
        </w:rPr>
        <w:fldChar w:fldCharType="begin" w:fldLock="1"/>
      </w:r>
      <w:r w:rsidRPr="00526DF6">
        <w:rPr>
          <w:rFonts w:ascii="Times" w:hAnsi="Times" w:cs="Times New Roman"/>
          <w:lang w:val="en-US"/>
        </w:rPr>
        <w:instrText>ADDIN CSL_CITATION { "citationItems" : [ { "id" : "ITEM-1", "itemData" : { "ISSN" : "1939-1463", "author" : [ { "dropping-particle" : "", "family" : "Imai", "given" : "Kosuke", "non-dropping-particle" : "", "parse-names" : false, "suffix" : "" }, { "dropping-particle" : "", "family" : "Keele", "given" : "Luke", "non-dropping-particle" : "", "parse-names" : false, "suffix" : "" }, { "dropping-particle" : "", "family" : "Tingley", "given" : "Dustin", "non-dropping-particle" : "", "parse-names" : false, "suffix" : "" } ], "container-title" : "Psychological methods", "id" : "ITEM-1", "issue" : "4", "issued" : { "date-parts" : [ [ "2010" ] ] }, "page" : "309", "publisher" : "American Psychological Association", "title" : "A general approach to causal mediation analysis.", "type" : "article-journal", "volume" : "15" }, "label" : "subverbo", "suppress-author" : 1, "uris" : [ "http://www.mendeley.com/documents/?uuid=50e6041c-8808-41f9-8654-15385f139206" ] } ], "mendeley" : { "formattedCitation" : "(2010)", "plainTextFormattedCitation" : "(2010)", "previouslyFormattedCitation" : "(2010)"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(2010)</w:t>
      </w:r>
      <w:r w:rsidRPr="00526DF6">
        <w:rPr>
          <w:rFonts w:ascii="Times" w:hAnsi="Times" w:cs="Times New Roman"/>
          <w:lang w:val="en-US"/>
        </w:rPr>
        <w:fldChar w:fldCharType="end"/>
      </w:r>
      <w:r w:rsidRPr="00526DF6">
        <w:rPr>
          <w:rFonts w:ascii="Times" w:hAnsi="Times" w:cs="Times New Roman"/>
          <w:lang w:val="en-US"/>
        </w:rPr>
        <w:t xml:space="preserve">, we estimate the mediation effect of the bank closure on referendum vote, via change in expectations. In our analysis, the treatment is a binary indicator that captures respondents who said their vote intention was qualified as a result of the bank closure. The mediator is also a binary indicator that switches on for those who expect that a </w:t>
      </w:r>
      <w:r w:rsidRPr="00526DF6">
        <w:rPr>
          <w:rFonts w:ascii="Times" w:hAnsi="Times" w:cs="Times New Roman"/>
          <w:i/>
          <w:lang w:val="en-US"/>
        </w:rPr>
        <w:t>No</w:t>
      </w:r>
      <w:r w:rsidRPr="00526DF6">
        <w:rPr>
          <w:rFonts w:ascii="Times" w:hAnsi="Times" w:cs="Times New Roman"/>
          <w:lang w:val="en-US"/>
        </w:rPr>
        <w:t xml:space="preserve"> vote would lead to </w:t>
      </w:r>
      <w:r w:rsidRPr="00526DF6">
        <w:rPr>
          <w:rFonts w:ascii="Times" w:hAnsi="Times" w:cs="Times New Roman"/>
          <w:i/>
          <w:lang w:val="en-US"/>
        </w:rPr>
        <w:t>Grexit</w:t>
      </w:r>
      <w:r w:rsidRPr="00526DF6">
        <w:rPr>
          <w:rFonts w:ascii="Times" w:hAnsi="Times" w:cs="Times New Roman"/>
          <w:lang w:val="en-US"/>
        </w:rPr>
        <w:t>. The outcome is the same as in the previous section, namely a dummy that switches one for those intending to vote No in the referendum. Combing the three variables, we estimate how much of the bank closure effect on referendum vote is due to a change in expectations. In particular, we estimate the following equations:</w:t>
      </w:r>
    </w:p>
    <w:p w14:paraId="1E8EF239" w14:textId="77777777" w:rsidR="008569AF" w:rsidRPr="00526DF6" w:rsidRDefault="008569AF" w:rsidP="008569AF">
      <w:pPr>
        <w:spacing w:line="480" w:lineRule="auto"/>
        <w:jc w:val="both"/>
        <w:rPr>
          <w:rFonts w:ascii="Times" w:hAnsi="Times" w:cs="Times New Roman"/>
          <w:lang w:val="en-US"/>
        </w:rPr>
      </w:pPr>
    </w:p>
    <w:p w14:paraId="6CEF32BF" w14:textId="77777777" w:rsidR="008569AF" w:rsidRPr="00526DF6" w:rsidRDefault="008569AF" w:rsidP="008569AF">
      <w:pPr>
        <w:spacing w:line="480" w:lineRule="auto"/>
        <w:jc w:val="both"/>
        <w:rPr>
          <w:rFonts w:ascii="Times" w:hAnsi="Times" w:cs="Times New Roman"/>
          <w:lang w:val="en-US"/>
        </w:rPr>
      </w:pPr>
      <m:oMathPara>
        <m:oMath>
          <m:r>
            <w:rPr>
              <w:rFonts w:ascii="Cambria Math" w:hAnsi="Cambria Math" w:cs="Times New Roman"/>
              <w:lang w:val="en-US"/>
            </w:rPr>
            <m:t>GrexitBelief=</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β1</m:t>
              </m:r>
            </m:e>
            <m:sub/>
          </m:sSub>
          <m:r>
            <w:rPr>
              <w:rFonts w:ascii="Cambria Math" w:hAnsi="Cambria Math" w:cs="Times New Roman"/>
              <w:lang w:val="en-US"/>
            </w:rPr>
            <m:t>BankHoliday+</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1i</m:t>
              </m:r>
            </m:sub>
          </m:sSub>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1</m:t>
              </m:r>
            </m:e>
          </m:d>
        </m:oMath>
      </m:oMathPara>
    </w:p>
    <w:p w14:paraId="2F7AB283" w14:textId="77777777" w:rsidR="008569AF" w:rsidRPr="00526DF6" w:rsidRDefault="008569AF" w:rsidP="008569AF">
      <w:pPr>
        <w:spacing w:line="480" w:lineRule="auto"/>
        <w:jc w:val="both"/>
        <w:rPr>
          <w:rFonts w:ascii="Times" w:hAnsi="Times" w:cs="Times New Roman"/>
          <w:lang w:val="en-US"/>
        </w:rPr>
      </w:pPr>
      <w:r w:rsidRPr="00526DF6">
        <w:rPr>
          <w:rFonts w:ascii="Times" w:hAnsi="Times" w:cs="Times New Roman"/>
          <w:lang w:val="en-US"/>
        </w:rPr>
        <w:t>and</w:t>
      </w:r>
    </w:p>
    <w:p w14:paraId="111F1F70" w14:textId="77777777" w:rsidR="008569AF" w:rsidRPr="00526DF6" w:rsidRDefault="008569AF" w:rsidP="008569AF">
      <w:pPr>
        <w:spacing w:line="480" w:lineRule="auto"/>
        <w:jc w:val="both"/>
        <w:rPr>
          <w:rFonts w:ascii="Times" w:hAnsi="Times" w:cs="Times New Roman"/>
          <w:lang w:val="en-US"/>
        </w:rPr>
      </w:pPr>
      <m:oMathPara>
        <m:oMath>
          <m:r>
            <w:rPr>
              <w:rFonts w:ascii="Cambria Math" w:hAnsi="Cambria Math" w:cs="Times New Roman"/>
              <w:lang w:val="en-US"/>
            </w:rPr>
            <m:t>NoVote=</m:t>
          </m:r>
          <m:sSubSup>
            <m:sSubSupPr>
              <m:ctrlPr>
                <w:rPr>
                  <w:rFonts w:ascii="Cambria Math" w:hAnsi="Cambria Math" w:cs="Times New Roman"/>
                  <w:i/>
                  <w:lang w:val="en-US"/>
                </w:rPr>
              </m:ctrlPr>
            </m:sSubSupPr>
            <m:e>
              <m:r>
                <w:rPr>
                  <w:rFonts w:ascii="Cambria Math" w:hAnsi="Cambria Math" w:cs="Times New Roman"/>
                  <w:lang w:val="en-US"/>
                </w:rPr>
                <m:t>β</m:t>
              </m:r>
            </m:e>
            <m:sub>
              <m:r>
                <w:rPr>
                  <w:rFonts w:ascii="Cambria Math" w:hAnsi="Cambria Math" w:cs="Times New Roman"/>
                  <w:lang w:val="en-US"/>
                </w:rPr>
                <m:t>0</m:t>
              </m:r>
            </m:sub>
            <m:sup>
              <m:r>
                <w:rPr>
                  <w:rFonts w:ascii="Cambria Math" w:hAnsi="Cambria Math" w:cs="Times New Roman"/>
                  <w:lang w:val="en-US"/>
                </w:rPr>
                <m:t>'</m:t>
              </m:r>
            </m:sup>
          </m:sSubSup>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BankHoliday+γGrexitBelief+</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2i</m:t>
              </m:r>
            </m:sub>
          </m:sSub>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2</m:t>
              </m:r>
            </m:e>
          </m:d>
        </m:oMath>
      </m:oMathPara>
    </w:p>
    <w:p w14:paraId="7205C8FA" w14:textId="77777777" w:rsidR="008569AF" w:rsidRPr="00526DF6" w:rsidRDefault="008569AF" w:rsidP="008569AF">
      <w:pPr>
        <w:spacing w:line="480" w:lineRule="auto"/>
        <w:jc w:val="both"/>
        <w:rPr>
          <w:rFonts w:ascii="Times" w:hAnsi="Times" w:cs="Times New Roman"/>
          <w:lang w:val="en-US"/>
        </w:rPr>
      </w:pPr>
    </w:p>
    <w:p w14:paraId="62FC0EFC" w14:textId="77777777" w:rsidR="008569AF" w:rsidRDefault="008569AF" w:rsidP="008569AF">
      <w:pPr>
        <w:spacing w:line="480" w:lineRule="auto"/>
        <w:ind w:firstLine="709"/>
        <w:jc w:val="both"/>
        <w:rPr>
          <w:rFonts w:ascii="Times" w:hAnsi="Times" w:cs="Times New Roman"/>
          <w:lang w:val="en-US"/>
        </w:rPr>
      </w:pPr>
      <w:r w:rsidRPr="00526DF6">
        <w:rPr>
          <w:rFonts w:ascii="Times" w:hAnsi="Times" w:cs="Times New Roman"/>
          <w:lang w:val="en-US"/>
        </w:rPr>
        <w:t xml:space="preserve">The average total effect (ATE) of bank holiday on </w:t>
      </w:r>
      <w:r w:rsidRPr="00526DF6">
        <w:rPr>
          <w:rFonts w:ascii="Times" w:hAnsi="Times" w:cs="Times New Roman"/>
          <w:i/>
          <w:lang w:val="en-US"/>
        </w:rPr>
        <w:t>No</w:t>
      </w:r>
      <w:r w:rsidRPr="00526DF6">
        <w:rPr>
          <w:rFonts w:ascii="Times" w:hAnsi="Times" w:cs="Times New Roman"/>
          <w:lang w:val="en-US"/>
        </w:rPr>
        <w:t xml:space="preserve"> vote consists of the sum of two effects: the average direct effect (ADE, given by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oMath>
      <w:r w:rsidRPr="00526DF6">
        <w:rPr>
          <w:rFonts w:ascii="Times" w:hAnsi="Times" w:cs="Times New Roman"/>
          <w:lang w:val="en-US"/>
        </w:rPr>
        <w:t xml:space="preserve"> ) of the bank holiday and its average causal mediation effect (ACME, given by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γ</m:t>
        </m:r>
      </m:oMath>
      <w:r w:rsidRPr="00526DF6">
        <w:rPr>
          <w:rFonts w:ascii="Times" w:hAnsi="Times" w:cs="Times New Roman"/>
          <w:lang w:val="en-US"/>
        </w:rPr>
        <w:t xml:space="preserve">), mediated through </w:t>
      </w:r>
      <w:r w:rsidRPr="00526DF6">
        <w:rPr>
          <w:rFonts w:ascii="Times" w:hAnsi="Times" w:cs="Times New Roman"/>
          <w:i/>
          <w:lang w:val="en-US"/>
        </w:rPr>
        <w:t>Grexit-expectations</w:t>
      </w:r>
      <w:r w:rsidRPr="00526DF6">
        <w:rPr>
          <w:rFonts w:ascii="Times" w:hAnsi="Times" w:cs="Times New Roman"/>
          <w:lang w:val="en-US"/>
        </w:rPr>
        <w:t xml:space="preserve">. Our goal is to estimate to what extent those who changed their vote due to the bank closure did so because of a change in expectations about the consequences of a </w:t>
      </w:r>
      <w:r w:rsidRPr="00526DF6">
        <w:rPr>
          <w:rFonts w:ascii="Times" w:hAnsi="Times" w:cs="Times New Roman"/>
          <w:i/>
          <w:lang w:val="en-US"/>
        </w:rPr>
        <w:t>No</w:t>
      </w:r>
      <w:r w:rsidRPr="00526DF6">
        <w:rPr>
          <w:rFonts w:ascii="Times" w:hAnsi="Times" w:cs="Times New Roman"/>
          <w:lang w:val="en-US"/>
        </w:rPr>
        <w:t xml:space="preserve"> vote. We are hence primarily interested in the ACME. Table 1 shows the result of the mediation analysis. We find </w:t>
      </w:r>
      <w:r w:rsidRPr="00526DF6">
        <w:rPr>
          <w:rFonts w:ascii="Times" w:hAnsi="Times" w:cs="Times New Roman"/>
          <w:lang w:val="en-US"/>
        </w:rPr>
        <w:lastRenderedPageBreak/>
        <w:t xml:space="preserve">that the average causal mediation effect is -0.06, which means that an increase in </w:t>
      </w:r>
      <w:r w:rsidRPr="00526DF6">
        <w:rPr>
          <w:rFonts w:ascii="Times" w:hAnsi="Times" w:cs="Times New Roman"/>
          <w:i/>
          <w:lang w:val="en-US"/>
        </w:rPr>
        <w:t>Grexit</w:t>
      </w:r>
      <w:r w:rsidRPr="00526DF6">
        <w:rPr>
          <w:rFonts w:ascii="Times" w:hAnsi="Times" w:cs="Times New Roman"/>
          <w:lang w:val="en-US"/>
        </w:rPr>
        <w:t xml:space="preserve"> expectations from their levels observed under no bank closure to the levels observed after bank closure resulted in approximately 6 percentage point decline in the </w:t>
      </w:r>
      <w:r w:rsidRPr="00526DF6">
        <w:rPr>
          <w:rFonts w:ascii="Times" w:hAnsi="Times" w:cs="Times New Roman"/>
          <w:i/>
          <w:lang w:val="en-US"/>
        </w:rPr>
        <w:t>No</w:t>
      </w:r>
      <w:r w:rsidRPr="00526DF6">
        <w:rPr>
          <w:rFonts w:ascii="Times" w:hAnsi="Times" w:cs="Times New Roman"/>
          <w:lang w:val="en-US"/>
        </w:rPr>
        <w:t xml:space="preserve"> vote. Approximately 15 per cent of the total effect of the bank closure question on referendum vote is mediated through a change in expectations. This is a substantial amount for this type of mediation analyses, given that the expectation is that the bank closure would have a direct effect on the vote.</w:t>
      </w:r>
    </w:p>
    <w:p w14:paraId="7AD7D699" w14:textId="27029558" w:rsidR="008569AF" w:rsidRDefault="008569AF" w:rsidP="008569AF">
      <w:pPr>
        <w:spacing w:line="480" w:lineRule="auto"/>
        <w:ind w:firstLine="709"/>
        <w:jc w:val="both"/>
        <w:rPr>
          <w:rFonts w:ascii="Times" w:hAnsi="Times" w:cs="Times New Roman"/>
          <w:lang w:val="en-US"/>
        </w:rPr>
      </w:pPr>
      <w:r w:rsidRPr="00526DF6">
        <w:rPr>
          <w:rFonts w:ascii="Times" w:hAnsi="Times" w:cs="Times New Roman"/>
          <w:lang w:val="en-US"/>
        </w:rPr>
        <w:t xml:space="preserve">The causal interpretation of these results is of course challenging, as it is based on rather stringent assumptions about how unobserved confounders operate. Employing the Imai et al. </w:t>
      </w:r>
      <w:r w:rsidRPr="00526DF6">
        <w:rPr>
          <w:rFonts w:ascii="Times" w:hAnsi="Times" w:cs="Times New Roman"/>
          <w:lang w:val="en-US"/>
        </w:rPr>
        <w:fldChar w:fldCharType="begin" w:fldLock="1"/>
      </w:r>
      <w:r>
        <w:rPr>
          <w:rFonts w:ascii="Times" w:hAnsi="Times" w:cs="Times New Roman"/>
          <w:lang w:val="en-US"/>
        </w:rPr>
        <w:instrText>ADDIN CSL_CITATION { "citationItems" : [ { "id" : "ITEM-1", "itemData" : { "ISSN" : "1939-1463", "author" : [ { "dropping-particle" : "", "family" : "Imai", "given" : "Kosuke", "non-dropping-particle" : "", "parse-names" : false, "suffix" : "" }, { "dropping-particle" : "", "family" : "Keele", "given" : "Luke", "non-dropping-particle" : "", "parse-names" : false, "suffix" : "" }, { "dropping-particle" : "", "family" : "Tingley", "given" : "Dustin", "non-dropping-particle" : "", "parse-names" : false, "suffix" : "" } ], "container-title" : "Psychological methods", "id" : "ITEM-1", "issue" : "4", "issued" : { "date-parts" : [ [ "2010" ] ] }, "page" : "309", "publisher" : "American Psychological Association", "title" : "A general approach to causal mediation analysis.", "type" : "article-journal", "volume" : "15" }, "label" : "subverbo", "suppress-author" : 1, "uris" : [ "http://www.mendeley.com/documents/?uuid=50e6041c-8808-41f9-8654-15385f139206" ] } ], "mendeley" : { "formattedCitation" : "(2010)", "plainTextFormattedCitation" : "(2010)", "previouslyFormattedCitation" : "(2010)" }, "properties" : { "noteIndex" : 0 }, "schema" : "https://github.com/citation-style-language/schema/raw/master/csl-citation.json" }</w:instrText>
      </w:r>
      <w:r w:rsidRPr="00526DF6">
        <w:rPr>
          <w:rFonts w:ascii="Times" w:hAnsi="Times" w:cs="Times New Roman"/>
          <w:lang w:val="en-US"/>
        </w:rPr>
        <w:fldChar w:fldCharType="separate"/>
      </w:r>
      <w:r w:rsidRPr="00526DF6">
        <w:rPr>
          <w:rFonts w:ascii="Times" w:hAnsi="Times" w:cs="Times New Roman"/>
          <w:noProof/>
          <w:lang w:val="en-US"/>
        </w:rPr>
        <w:t>(2010)</w:t>
      </w:r>
      <w:r w:rsidRPr="00526DF6">
        <w:rPr>
          <w:rFonts w:ascii="Times" w:hAnsi="Times" w:cs="Times New Roman"/>
          <w:lang w:val="en-US"/>
        </w:rPr>
        <w:fldChar w:fldCharType="end"/>
      </w:r>
      <w:r w:rsidRPr="00526DF6">
        <w:rPr>
          <w:rFonts w:ascii="Times" w:hAnsi="Times" w:cs="Times New Roman"/>
          <w:lang w:val="en-US"/>
        </w:rPr>
        <w:t xml:space="preserve"> setup, we conceptualize the identification problem by using one encompassing assumption, namely the sequential ignorability assumption. If we assess the sensitivity analyses of our estimates to violations of this assumption, we find that the ACME remains robust to even significant violations of the sequential ignorability assumption.</w:t>
      </w:r>
      <w:r w:rsidRPr="00526DF6">
        <w:rPr>
          <w:rStyle w:val="Refdenotaalpie"/>
          <w:rFonts w:ascii="Times" w:hAnsi="Times" w:cs="Times New Roman"/>
          <w:lang w:val="en-US"/>
        </w:rPr>
        <w:footnoteReference w:id="8"/>
      </w:r>
      <w:r w:rsidRPr="00526DF6">
        <w:rPr>
          <w:rFonts w:ascii="Times" w:hAnsi="Times" w:cs="Times New Roman"/>
          <w:lang w:val="en-US"/>
        </w:rPr>
        <w:t xml:space="preserve">  </w:t>
      </w:r>
    </w:p>
    <w:p w14:paraId="12D40882" w14:textId="77777777" w:rsidR="0043754A" w:rsidRDefault="0043754A" w:rsidP="008569AF">
      <w:pPr>
        <w:spacing w:line="480" w:lineRule="auto"/>
        <w:ind w:firstLine="709"/>
        <w:jc w:val="both"/>
        <w:rPr>
          <w:rFonts w:ascii="Times" w:hAnsi="Times" w:cs="Times New Roman"/>
          <w:lang w:val="en-US"/>
        </w:rPr>
      </w:pPr>
    </w:p>
    <w:p w14:paraId="4550B1DB" w14:textId="708A2EF8" w:rsidR="008569AF" w:rsidRPr="0043754A" w:rsidRDefault="0043754A" w:rsidP="008569AF">
      <w:pPr>
        <w:jc w:val="both"/>
        <w:rPr>
          <w:rFonts w:ascii="Times" w:hAnsi="Times" w:cs="Times New Roman"/>
          <w:lang w:val="en-US"/>
        </w:rPr>
      </w:pPr>
      <w:r w:rsidRPr="00526DF6">
        <w:rPr>
          <w:rFonts w:ascii="Times" w:hAnsi="Times" w:cs="Times New Roman"/>
          <w:b/>
          <w:sz w:val="22"/>
          <w:szCs w:val="22"/>
          <w:lang w:val="en-US"/>
        </w:rPr>
        <w:t xml:space="preserve">Table </w:t>
      </w:r>
      <w:r>
        <w:rPr>
          <w:rFonts w:ascii="Times" w:hAnsi="Times" w:cs="Times New Roman"/>
          <w:b/>
          <w:sz w:val="22"/>
          <w:szCs w:val="22"/>
          <w:lang w:val="en-US"/>
        </w:rPr>
        <w:t>A.7</w:t>
      </w:r>
      <w:r w:rsidRPr="00526DF6">
        <w:rPr>
          <w:rFonts w:ascii="Times" w:hAnsi="Times" w:cs="Times New Roman"/>
          <w:b/>
          <w:sz w:val="22"/>
          <w:szCs w:val="22"/>
          <w:lang w:val="en-US"/>
        </w:rPr>
        <w:t>: Mediation analysis: Decomposing the effect of the bank holiday on the referendum vote.</w:t>
      </w:r>
    </w:p>
    <w:tbl>
      <w:tblPr>
        <w:tblStyle w:val="Tablaconcuadrcula"/>
        <w:tblW w:w="9322" w:type="dxa"/>
        <w:tblLook w:val="04A0" w:firstRow="1" w:lastRow="0" w:firstColumn="1" w:lastColumn="0" w:noHBand="0" w:noVBand="1"/>
      </w:tblPr>
      <w:tblGrid>
        <w:gridCol w:w="4652"/>
        <w:gridCol w:w="4670"/>
      </w:tblGrid>
      <w:tr w:rsidR="008569AF" w:rsidRPr="00526DF6" w14:paraId="44C5FEF3" w14:textId="77777777" w:rsidTr="009143C2">
        <w:tc>
          <w:tcPr>
            <w:tcW w:w="4652" w:type="dxa"/>
          </w:tcPr>
          <w:p w14:paraId="43C3E537" w14:textId="77777777" w:rsidR="008569AF" w:rsidRPr="00526DF6" w:rsidRDefault="008569AF" w:rsidP="009143C2">
            <w:pPr>
              <w:jc w:val="both"/>
              <w:rPr>
                <w:rFonts w:ascii="Times" w:hAnsi="Times" w:cs="Times New Roman"/>
                <w:sz w:val="22"/>
                <w:szCs w:val="22"/>
                <w:lang w:val="en-US"/>
              </w:rPr>
            </w:pPr>
          </w:p>
        </w:tc>
        <w:tc>
          <w:tcPr>
            <w:tcW w:w="4670" w:type="dxa"/>
          </w:tcPr>
          <w:p w14:paraId="4D3D53D5" w14:textId="77777777"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Quantities of Interest</w:t>
            </w:r>
          </w:p>
        </w:tc>
      </w:tr>
      <w:tr w:rsidR="008569AF" w:rsidRPr="00526DF6" w14:paraId="4409E29C" w14:textId="77777777" w:rsidTr="009143C2">
        <w:tc>
          <w:tcPr>
            <w:tcW w:w="4652" w:type="dxa"/>
            <w:vAlign w:val="center"/>
          </w:tcPr>
          <w:p w14:paraId="7AD291AE" w14:textId="77777777" w:rsidR="008569AF" w:rsidRPr="00526DF6" w:rsidRDefault="008569AF" w:rsidP="009143C2">
            <w:pPr>
              <w:rPr>
                <w:rFonts w:ascii="Times" w:hAnsi="Times" w:cs="Times New Roman"/>
                <w:sz w:val="22"/>
                <w:szCs w:val="22"/>
                <w:lang w:val="en-US"/>
              </w:rPr>
            </w:pPr>
            <w:r w:rsidRPr="00526DF6">
              <w:rPr>
                <w:rFonts w:ascii="Times" w:hAnsi="Times" w:cs="Times New Roman"/>
                <w:lang w:val="en-US"/>
              </w:rPr>
              <w:t>Average causal mediation effect</w:t>
            </w:r>
            <w:r w:rsidRPr="00526DF6">
              <w:rPr>
                <w:rFonts w:ascii="Times" w:hAnsi="Times" w:cs="Times New Roman"/>
                <w:sz w:val="22"/>
                <w:szCs w:val="22"/>
                <w:lang w:val="en-US"/>
              </w:rPr>
              <w:t xml:space="preserve"> (ACME)</w:t>
            </w:r>
          </w:p>
        </w:tc>
        <w:tc>
          <w:tcPr>
            <w:tcW w:w="4670" w:type="dxa"/>
          </w:tcPr>
          <w:p w14:paraId="7B2BC581" w14:textId="77777777"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-0.065</w:t>
            </w:r>
          </w:p>
          <w:p w14:paraId="5944EB76" w14:textId="77777777"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[-0.099      -0.032]</w:t>
            </w:r>
          </w:p>
        </w:tc>
      </w:tr>
      <w:tr w:rsidR="008569AF" w:rsidRPr="00526DF6" w14:paraId="2F0B1761" w14:textId="77777777" w:rsidTr="009143C2">
        <w:tc>
          <w:tcPr>
            <w:tcW w:w="4652" w:type="dxa"/>
            <w:vAlign w:val="center"/>
          </w:tcPr>
          <w:p w14:paraId="4A476538" w14:textId="77777777" w:rsidR="008569AF" w:rsidRPr="00526DF6" w:rsidRDefault="008569AF" w:rsidP="009143C2">
            <w:pPr>
              <w:rPr>
                <w:rFonts w:ascii="Times" w:hAnsi="Times" w:cs="Times New Roman"/>
                <w:sz w:val="22"/>
                <w:szCs w:val="22"/>
                <w:lang w:val="en-US"/>
              </w:rPr>
            </w:pPr>
            <w:r w:rsidRPr="00526DF6">
              <w:rPr>
                <w:rFonts w:ascii="Times" w:hAnsi="Times" w:cs="Times New Roman"/>
                <w:lang w:val="en-US"/>
              </w:rPr>
              <w:t>Average direct effect (</w:t>
            </w:r>
            <w:r w:rsidRPr="00526DF6">
              <w:rPr>
                <w:rFonts w:ascii="Times" w:hAnsi="Times" w:cs="Times New Roman"/>
                <w:sz w:val="22"/>
                <w:szCs w:val="22"/>
                <w:lang w:val="en-US"/>
              </w:rPr>
              <w:t>ADE)</w:t>
            </w:r>
          </w:p>
        </w:tc>
        <w:tc>
          <w:tcPr>
            <w:tcW w:w="4670" w:type="dxa"/>
          </w:tcPr>
          <w:p w14:paraId="3002FA6C" w14:textId="2F6319AD"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-0.36</w:t>
            </w:r>
            <w:r w:rsidR="00A92CD4">
              <w:rPr>
                <w:rFonts w:ascii="Times" w:hAnsi="Times" w:cs="Times New Roman"/>
                <w:sz w:val="22"/>
                <w:szCs w:val="22"/>
                <w:lang w:val="en-US"/>
              </w:rPr>
              <w:t>7</w:t>
            </w:r>
          </w:p>
          <w:p w14:paraId="7D4DDC58" w14:textId="77777777"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 -0.425      -0.305]</w:t>
            </w:r>
          </w:p>
        </w:tc>
      </w:tr>
      <w:tr w:rsidR="008569AF" w:rsidRPr="00526DF6" w14:paraId="17527B36" w14:textId="77777777" w:rsidTr="009143C2">
        <w:tc>
          <w:tcPr>
            <w:tcW w:w="4652" w:type="dxa"/>
            <w:vAlign w:val="center"/>
          </w:tcPr>
          <w:p w14:paraId="578C9E02" w14:textId="77777777" w:rsidR="008569AF" w:rsidRPr="00526DF6" w:rsidRDefault="008569AF" w:rsidP="009143C2">
            <w:pPr>
              <w:rPr>
                <w:rFonts w:ascii="Times" w:hAnsi="Times" w:cs="Times New Roman"/>
                <w:sz w:val="22"/>
                <w:szCs w:val="22"/>
                <w:lang w:val="en-US"/>
              </w:rPr>
            </w:pPr>
            <w:r w:rsidRPr="00526DF6">
              <w:rPr>
                <w:rFonts w:ascii="Times" w:hAnsi="Times" w:cs="Times New Roman"/>
                <w:sz w:val="22"/>
                <w:szCs w:val="22"/>
                <w:lang w:val="en-US"/>
              </w:rPr>
              <w:t>Average Total Effect (ATE)</w:t>
            </w:r>
          </w:p>
        </w:tc>
        <w:tc>
          <w:tcPr>
            <w:tcW w:w="4670" w:type="dxa"/>
          </w:tcPr>
          <w:p w14:paraId="48968E4A" w14:textId="3BC2C4B1" w:rsidR="008569AF" w:rsidRPr="00526DF6" w:rsidRDefault="00A92CD4" w:rsidP="009143C2">
            <w:pPr>
              <w:jc w:val="center"/>
              <w:rPr>
                <w:rFonts w:ascii="Times" w:hAnsi="Times" w:cs="Times New Roman"/>
                <w:sz w:val="22"/>
                <w:szCs w:val="22"/>
                <w:lang w:val="en-US"/>
              </w:rPr>
            </w:pPr>
            <w:r>
              <w:rPr>
                <w:rFonts w:ascii="Times" w:hAnsi="Times" w:cs="Times New Roman"/>
                <w:sz w:val="22"/>
                <w:szCs w:val="22"/>
                <w:lang w:val="en-US"/>
              </w:rPr>
              <w:t>-0.432</w:t>
            </w:r>
          </w:p>
          <w:p w14:paraId="52DD855F" w14:textId="43039D77" w:rsidR="008569AF" w:rsidRPr="00526DF6" w:rsidRDefault="00A92CD4" w:rsidP="009143C2">
            <w:pPr>
              <w:jc w:val="center"/>
              <w:rPr>
                <w:rFonts w:ascii="Times" w:hAnsi="Times" w:cs="Times New Roman"/>
                <w:sz w:val="22"/>
                <w:szCs w:val="22"/>
                <w:lang w:val="en-US"/>
              </w:rPr>
            </w:pPr>
            <w:r>
              <w:rPr>
                <w:rFonts w:ascii="Times" w:hAnsi="Times" w:cs="Times New Roman"/>
                <w:sz w:val="22"/>
                <w:szCs w:val="22"/>
                <w:lang w:val="en-US"/>
              </w:rPr>
              <w:t>[-0.500      -0.370</w:t>
            </w:r>
            <w:r w:rsidR="008569AF" w:rsidRPr="00526DF6">
              <w:rPr>
                <w:rFonts w:ascii="Times" w:hAnsi="Times" w:cs="Times New Roman"/>
                <w:sz w:val="22"/>
                <w:szCs w:val="22"/>
                <w:lang w:val="en-US"/>
              </w:rPr>
              <w:t>]</w:t>
            </w:r>
          </w:p>
        </w:tc>
      </w:tr>
      <w:tr w:rsidR="008569AF" w:rsidRPr="00526DF6" w14:paraId="36EED5F6" w14:textId="77777777" w:rsidTr="009143C2">
        <w:tc>
          <w:tcPr>
            <w:tcW w:w="4652" w:type="dxa"/>
            <w:vAlign w:val="center"/>
          </w:tcPr>
          <w:p w14:paraId="524D7718" w14:textId="77777777" w:rsidR="008569AF" w:rsidRPr="00526DF6" w:rsidRDefault="008569AF" w:rsidP="009143C2">
            <w:pPr>
              <w:rPr>
                <w:rFonts w:ascii="Times" w:hAnsi="Times" w:cs="Times New Roman"/>
                <w:sz w:val="22"/>
                <w:szCs w:val="22"/>
                <w:lang w:val="en-US"/>
              </w:rPr>
            </w:pPr>
            <w:r w:rsidRPr="00526DF6">
              <w:rPr>
                <w:rFonts w:ascii="Times" w:hAnsi="Times" w:cs="Times New Roman"/>
                <w:sz w:val="22"/>
                <w:szCs w:val="22"/>
                <w:lang w:val="en-US"/>
              </w:rPr>
              <w:t>Proportion Mediated</w:t>
            </w:r>
          </w:p>
        </w:tc>
        <w:tc>
          <w:tcPr>
            <w:tcW w:w="4670" w:type="dxa"/>
          </w:tcPr>
          <w:p w14:paraId="00DEC191" w14:textId="7055AC0B" w:rsidR="008569AF" w:rsidRPr="00526DF6" w:rsidRDefault="008569AF" w:rsidP="009143C2">
            <w:pPr>
              <w:jc w:val="center"/>
              <w:rPr>
                <w:rFonts w:ascii="Times" w:hAnsi="Times" w:cs="Times New Roman"/>
                <w:sz w:val="22"/>
                <w:szCs w:val="22"/>
                <w:lang w:val="en-US"/>
              </w:rPr>
            </w:pPr>
            <w:r w:rsidRPr="00526DF6">
              <w:rPr>
                <w:rFonts w:ascii="Times" w:hAnsi="Times" w:cs="Times New Roman"/>
                <w:sz w:val="22"/>
                <w:szCs w:val="22"/>
                <w:lang w:val="en-US"/>
              </w:rPr>
              <w:t>0.1</w:t>
            </w:r>
            <w:r w:rsidR="00A92CD4">
              <w:rPr>
                <w:rFonts w:ascii="Times" w:hAnsi="Times" w:cs="Times New Roman"/>
                <w:sz w:val="22"/>
                <w:szCs w:val="22"/>
                <w:lang w:val="en-US"/>
              </w:rPr>
              <w:t>51</w:t>
            </w:r>
          </w:p>
          <w:p w14:paraId="7CB49616" w14:textId="32E75E8C" w:rsidR="008569AF" w:rsidRPr="00526DF6" w:rsidRDefault="008569AF" w:rsidP="00A92CD4">
            <w:pPr>
              <w:jc w:val="center"/>
              <w:rPr>
                <w:rFonts w:ascii="Times" w:hAnsi="Times" w:cs="Times New Roman"/>
                <w:sz w:val="22"/>
                <w:szCs w:val="22"/>
                <w:lang w:val="en-US"/>
              </w:rPr>
            </w:pPr>
            <w:r w:rsidRPr="00526DF6">
              <w:rPr>
                <w:rFonts w:ascii="Times" w:hAnsi="Times" w:cs="Times New Roman"/>
                <w:sz w:val="22"/>
                <w:szCs w:val="22"/>
                <w:lang w:val="en-US"/>
              </w:rPr>
              <w:t>[0.07</w:t>
            </w:r>
            <w:r w:rsidR="00A92CD4">
              <w:rPr>
                <w:rFonts w:ascii="Times" w:hAnsi="Times" w:cs="Times New Roman"/>
                <w:sz w:val="22"/>
                <w:szCs w:val="22"/>
                <w:lang w:val="en-US"/>
              </w:rPr>
              <w:t>4       0.220</w:t>
            </w:r>
            <w:r w:rsidRPr="00526DF6">
              <w:rPr>
                <w:rFonts w:ascii="Times" w:hAnsi="Times" w:cs="Times New Roman"/>
                <w:sz w:val="22"/>
                <w:szCs w:val="22"/>
                <w:lang w:val="en-US"/>
              </w:rPr>
              <w:t>]</w:t>
            </w:r>
          </w:p>
        </w:tc>
      </w:tr>
    </w:tbl>
    <w:p w14:paraId="3ACFD50D" w14:textId="77777777" w:rsidR="008569AF" w:rsidRPr="00526DF6" w:rsidRDefault="008569AF" w:rsidP="008569AF">
      <w:pPr>
        <w:jc w:val="both"/>
        <w:rPr>
          <w:rFonts w:ascii="Times" w:hAnsi="Times" w:cs="Times New Roman"/>
          <w:sz w:val="22"/>
          <w:szCs w:val="22"/>
          <w:lang w:val="en-US"/>
        </w:rPr>
      </w:pPr>
      <w:r w:rsidRPr="00526DF6">
        <w:rPr>
          <w:rFonts w:ascii="Times" w:hAnsi="Times" w:cs="Times New Roman"/>
          <w:sz w:val="22"/>
          <w:szCs w:val="22"/>
          <w:lang w:val="en-US"/>
        </w:rPr>
        <w:t xml:space="preserve">Note: Simulation-based quasi-Bayesian 95% confidence intervals are shown in the brackets (1,000 simulations); </w:t>
      </w:r>
      <w:r w:rsidRPr="00526DF6">
        <w:rPr>
          <w:rFonts w:ascii="Times" w:hAnsi="Times" w:cs="Times New Roman"/>
          <w:i/>
          <w:sz w:val="22"/>
          <w:szCs w:val="22"/>
          <w:lang w:val="en-US"/>
        </w:rPr>
        <w:t>n</w:t>
      </w:r>
      <w:r w:rsidRPr="00526DF6">
        <w:rPr>
          <w:rFonts w:ascii="Times" w:hAnsi="Times" w:cs="Times New Roman"/>
          <w:sz w:val="22"/>
          <w:szCs w:val="22"/>
          <w:lang w:val="en-US"/>
        </w:rPr>
        <w:t>=989.</w:t>
      </w:r>
    </w:p>
    <w:p w14:paraId="2B98C0FD" w14:textId="77777777" w:rsidR="00DF40BE" w:rsidRPr="00EC337F" w:rsidRDefault="00DF40BE" w:rsidP="00EC337F">
      <w:pPr>
        <w:jc w:val="both"/>
        <w:rPr>
          <w:rFonts w:ascii="Times New Roman" w:hAnsi="Times New Roman" w:cs="Times New Roman"/>
          <w:sz w:val="20"/>
          <w:szCs w:val="20"/>
          <w:lang w:val="en-US"/>
        </w:rPr>
      </w:pPr>
    </w:p>
    <w:p w14:paraId="65C70FC1" w14:textId="77777777" w:rsidR="00FE1538" w:rsidRPr="008569AF" w:rsidRDefault="00FE1538">
      <w:pPr>
        <w:rPr>
          <w:lang w:val="en-US"/>
        </w:rPr>
      </w:pPr>
    </w:p>
    <w:sectPr w:rsidR="00FE1538" w:rsidRPr="008569AF" w:rsidSect="002847F0">
      <w:footerReference w:type="even" r:id="rId18"/>
      <w:footerReference w:type="default" r:id="rId1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456F" w14:textId="77777777" w:rsidR="007A6C99" w:rsidRDefault="007A6C99" w:rsidP="00DF40BE">
      <w:r>
        <w:separator/>
      </w:r>
    </w:p>
  </w:endnote>
  <w:endnote w:type="continuationSeparator" w:id="0">
    <w:p w14:paraId="0274F263" w14:textId="77777777" w:rsidR="007A6C99" w:rsidRDefault="007A6C99" w:rsidP="00D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mbria Math"/>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18AF" w14:textId="77777777" w:rsidR="007A6C99" w:rsidRDefault="007A6C99" w:rsidP="00C300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30C9B0" w14:textId="77777777" w:rsidR="007A6C99" w:rsidRDefault="007A6C99" w:rsidP="00C3006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019D" w14:textId="386CCA06" w:rsidR="007A6C99" w:rsidRPr="00F908A4" w:rsidRDefault="007A6C99" w:rsidP="00C30063">
    <w:pPr>
      <w:pStyle w:val="Piedepgina"/>
      <w:framePr w:wrap="around" w:vAnchor="text" w:hAnchor="margin" w:xAlign="right" w:y="1"/>
      <w:rPr>
        <w:rStyle w:val="Nmerodepgina"/>
      </w:rPr>
    </w:pPr>
    <w:r w:rsidRPr="00F908A4">
      <w:rPr>
        <w:rStyle w:val="Nmerodepgina"/>
        <w:rFonts w:ascii="Times New Roman" w:hAnsi="Times New Roman" w:cs="Times New Roman"/>
      </w:rPr>
      <w:fldChar w:fldCharType="begin"/>
    </w:r>
    <w:r w:rsidRPr="00F908A4">
      <w:rPr>
        <w:rStyle w:val="Nmerodepgina"/>
        <w:rFonts w:ascii="Times New Roman" w:hAnsi="Times New Roman" w:cs="Times New Roman"/>
      </w:rPr>
      <w:instrText xml:space="preserve">PAGE  </w:instrText>
    </w:r>
    <w:r w:rsidRPr="00F908A4">
      <w:rPr>
        <w:rStyle w:val="Nmerodepgina"/>
        <w:rFonts w:ascii="Times New Roman" w:hAnsi="Times New Roman" w:cs="Times New Roman"/>
      </w:rPr>
      <w:fldChar w:fldCharType="separate"/>
    </w:r>
    <w:r w:rsidR="00185AAA">
      <w:rPr>
        <w:rStyle w:val="Nmerodepgina"/>
        <w:rFonts w:ascii="Times New Roman" w:hAnsi="Times New Roman" w:cs="Times New Roman"/>
        <w:noProof/>
      </w:rPr>
      <w:t>3</w:t>
    </w:r>
    <w:r w:rsidRPr="00F908A4">
      <w:rPr>
        <w:rStyle w:val="Nmerodepgina"/>
        <w:rFonts w:ascii="Times New Roman" w:hAnsi="Times New Roman" w:cs="Times New Roman"/>
      </w:rPr>
      <w:fldChar w:fldCharType="end"/>
    </w:r>
  </w:p>
  <w:p w14:paraId="578ED001" w14:textId="77777777" w:rsidR="007A6C99" w:rsidRDefault="007A6C99" w:rsidP="00C3006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FBEF" w14:textId="77777777" w:rsidR="007A6C99" w:rsidRDefault="007A6C99" w:rsidP="00DF40BE">
      <w:r>
        <w:separator/>
      </w:r>
    </w:p>
  </w:footnote>
  <w:footnote w:type="continuationSeparator" w:id="0">
    <w:p w14:paraId="65922491" w14:textId="77777777" w:rsidR="007A6C99" w:rsidRDefault="007A6C99" w:rsidP="00DF40BE">
      <w:r>
        <w:continuationSeparator/>
      </w:r>
    </w:p>
  </w:footnote>
  <w:footnote w:id="1">
    <w:p w14:paraId="6F180469" w14:textId="17B45DAD" w:rsidR="007A6C99" w:rsidRPr="008F79E2" w:rsidRDefault="007A6C99" w:rsidP="002D46F5">
      <w:pPr>
        <w:pStyle w:val="Textonotapie"/>
        <w:rPr>
          <w:lang w:val="en-GB"/>
        </w:rPr>
      </w:pPr>
      <w:r w:rsidRPr="008F79E2">
        <w:rPr>
          <w:rStyle w:val="Refdenotaalpie"/>
        </w:rPr>
        <w:footnoteRef/>
      </w:r>
      <w:r w:rsidRPr="008F79E2">
        <w:rPr>
          <w:lang w:val="en-GB"/>
        </w:rPr>
        <w:t xml:space="preserve"> </w:t>
      </w:r>
      <w:r w:rsidRPr="008F79E2">
        <w:rPr>
          <w:rFonts w:ascii="Times New Roman" w:hAnsi="Times New Roman" w:cs="Times New Roman"/>
          <w:lang w:val="en-US"/>
        </w:rPr>
        <w:t xml:space="preserve">In </w:t>
      </w:r>
      <w:r>
        <w:rPr>
          <w:rFonts w:ascii="Times New Roman" w:hAnsi="Times New Roman" w:cs="Times New Roman"/>
          <w:lang w:val="en-US"/>
        </w:rPr>
        <w:t>further analyses, we additionally control for</w:t>
      </w:r>
      <w:r w:rsidRPr="008F79E2">
        <w:rPr>
          <w:rFonts w:ascii="Times New Roman" w:hAnsi="Times New Roman" w:cs="Times New Roman"/>
          <w:lang w:val="en-US"/>
        </w:rPr>
        <w:t xml:space="preserve"> nationalist sentiments, because the various Greek bailout packages have strongly curtailed sovereign Greek policymaking. Nationalist individuals should hence be more inclined to vote against the creditor proposal in order to assert their right to self-determination. Because we do not have any information about individuals’ level of nationalism in our July 2015 survey, we impute this variable based on information from a follow-up survey that we conducted in September 2015 </w:t>
      </w:r>
      <w:r w:rsidRPr="00446655">
        <w:rPr>
          <w:rFonts w:ascii="Times New Roman" w:hAnsi="Times New Roman" w:cs="Times New Roman"/>
          <w:lang w:val="en-US"/>
        </w:rPr>
        <w:fldChar w:fldCharType="begin"/>
      </w:r>
      <w:r w:rsidRPr="008F79E2">
        <w:rPr>
          <w:rFonts w:ascii="Times New Roman" w:hAnsi="Times New Roman" w:cs="Times New Roman"/>
          <w:lang w:val="en-US"/>
        </w:rPr>
        <w:instrText xml:space="preserve"> ADDIN EN.CITE &lt;EndNote&gt;&lt;Cite&gt;&lt;Author&gt;Dinas&lt;/Author&gt;&lt;Year&gt;2015&lt;/Year&gt;&lt;RecNum&gt;2373&lt;/RecNum&gt;&lt;DisplayText&gt;(Dinas et al. 2015)&lt;/DisplayText&gt;&lt;record&gt;&lt;rec-number&gt;2373&lt;/rec-number&gt;&lt;foreign-keys&gt;&lt;key app="EN" db-id="9220p09x9wd0adearz8vtetxaw9zxpdvdwwt" timestamp="1459420848"&gt;2373&lt;/key&gt;&lt;/foreign-keys&gt;&lt;ref-type name="Blog"&gt;56&lt;/ref-type&gt;&lt;contributors&gt;&lt;authors&gt;&lt;author&gt;Dinas, Elias&lt;/author&gt;&lt;author&gt;Ignacio Jurado&lt;/author&gt;&lt;author&gt;Nikitas Konstantinidis&lt;/author&gt;&lt;author&gt;Stefanie Walter&lt;/author&gt;&lt;/authors&gt;&lt;/contributors&gt;&lt;titles&gt;&lt;title&gt;Tsipras reaps benefits of brinkmanship politics&lt;/title&gt;&lt;secondary-title&gt;Peripheral Vision&lt;/secondary-title&gt;&lt;/titles&gt;&lt;number&gt;13 October 2015&lt;/number&gt;&lt;dates&gt;&lt;year&gt;2015&lt;/year&gt;&lt;/dates&gt;&lt;pub-location&gt;http://www.ekathimerini.com/202454/opinion/ekathimerini/comment/tsipras-reaps-benefits-of-brinkmanship-politics&lt;/pub-location&gt;&lt;urls&gt;&lt;/urls&gt;&lt;/record&gt;&lt;/Cite&gt;&lt;/EndNote&gt;</w:instrText>
      </w:r>
      <w:r w:rsidRPr="00446655">
        <w:rPr>
          <w:rFonts w:ascii="Times New Roman" w:hAnsi="Times New Roman" w:cs="Times New Roman"/>
          <w:lang w:val="en-US"/>
        </w:rPr>
        <w:fldChar w:fldCharType="separate"/>
      </w:r>
      <w:r w:rsidRPr="008F79E2">
        <w:rPr>
          <w:rFonts w:ascii="Times New Roman" w:hAnsi="Times New Roman" w:cs="Times New Roman"/>
          <w:lang w:val="en-US"/>
        </w:rPr>
        <w:t>(Dinas et al. 2015)</w:t>
      </w:r>
      <w:r w:rsidRPr="00446655">
        <w:rPr>
          <w:rFonts w:ascii="Times New Roman" w:hAnsi="Times New Roman" w:cs="Times New Roman"/>
          <w:lang w:val="en-US"/>
        </w:rPr>
        <w:fldChar w:fldCharType="end"/>
      </w:r>
      <w:r w:rsidRPr="008F79E2">
        <w:rPr>
          <w:rFonts w:ascii="Times New Roman" w:hAnsi="Times New Roman" w:cs="Times New Roman"/>
          <w:lang w:val="en-US"/>
        </w:rPr>
        <w:t xml:space="preserve"> that asked respondents about their the degree of agreement with the statement </w:t>
      </w:r>
      <w:r w:rsidRPr="008F79E2">
        <w:rPr>
          <w:rFonts w:ascii="Times New Roman" w:hAnsi="Times New Roman" w:cs="Times New Roman"/>
          <w:i/>
          <w:lang w:val="en-US"/>
        </w:rPr>
        <w:t>‘The</w:t>
      </w:r>
      <w:r w:rsidRPr="008F79E2">
        <w:rPr>
          <w:rFonts w:ascii="Times New Roman" w:hAnsi="Times New Roman" w:cs="Times New Roman"/>
          <w:lang w:val="en-US"/>
        </w:rPr>
        <w:t xml:space="preserve"> </w:t>
      </w:r>
      <w:r w:rsidRPr="008F79E2">
        <w:rPr>
          <w:rFonts w:ascii="Times New Roman" w:hAnsi="Times New Roman" w:cs="Times New Roman"/>
          <w:i/>
          <w:lang w:val="en-US"/>
        </w:rPr>
        <w:t xml:space="preserve">Greek have suffered more than other people’ </w:t>
      </w:r>
      <w:r w:rsidRPr="008F79E2">
        <w:rPr>
          <w:rFonts w:ascii="Times New Roman" w:hAnsi="Times New Roman" w:cs="Times New Roman"/>
          <w:lang w:val="en-US"/>
        </w:rPr>
        <w:t>(ranging from 1-totally disagree- to 5-totally agree</w:t>
      </w:r>
      <w:r>
        <w:rPr>
          <w:rFonts w:ascii="Times New Roman" w:hAnsi="Times New Roman" w:cs="Times New Roman"/>
          <w:lang w:val="en-US"/>
        </w:rPr>
        <w:t>)</w:t>
      </w:r>
      <w:r w:rsidRPr="008F79E2">
        <w:rPr>
          <w:rFonts w:ascii="Times New Roman" w:hAnsi="Times New Roman" w:cs="Times New Roman"/>
          <w:lang w:val="en-US"/>
        </w:rPr>
        <w:t>.</w:t>
      </w:r>
      <w:r>
        <w:rPr>
          <w:rFonts w:ascii="Times New Roman" w:hAnsi="Times New Roman" w:cs="Times New Roman"/>
          <w:lang w:val="en-US"/>
        </w:rPr>
        <w:t xml:space="preserve"> </w:t>
      </w:r>
      <w:r w:rsidRPr="00D16900">
        <w:rPr>
          <w:rFonts w:ascii="Times New Roman" w:hAnsi="Times New Roman" w:cs="Times New Roman"/>
          <w:szCs w:val="20"/>
          <w:lang w:val="en-GB"/>
        </w:rPr>
        <w:t xml:space="preserve">We impute </w:t>
      </w:r>
      <w:r>
        <w:rPr>
          <w:rFonts w:ascii="Times New Roman" w:hAnsi="Times New Roman" w:cs="Times New Roman"/>
          <w:szCs w:val="20"/>
          <w:lang w:val="en-GB"/>
        </w:rPr>
        <w:t xml:space="preserve">this </w:t>
      </w:r>
      <w:r w:rsidRPr="00D16900">
        <w:rPr>
          <w:rFonts w:ascii="Times New Roman" w:hAnsi="Times New Roman" w:cs="Times New Roman"/>
          <w:szCs w:val="20"/>
          <w:lang w:val="en-GB"/>
        </w:rPr>
        <w:t xml:space="preserve">nationalistic sentiments </w:t>
      </w:r>
      <w:r>
        <w:rPr>
          <w:rFonts w:ascii="Times New Roman" w:hAnsi="Times New Roman" w:cs="Times New Roman"/>
          <w:szCs w:val="20"/>
          <w:lang w:val="en-GB"/>
        </w:rPr>
        <w:t xml:space="preserve">variable </w:t>
      </w:r>
      <w:r w:rsidRPr="00D16900">
        <w:rPr>
          <w:rFonts w:ascii="Times New Roman" w:hAnsi="Times New Roman" w:cs="Times New Roman"/>
          <w:szCs w:val="20"/>
          <w:lang w:val="en-GB"/>
        </w:rPr>
        <w:t xml:space="preserve">in our referendum survey using the political independent variables described above and the </w:t>
      </w:r>
      <w:r w:rsidRPr="00D16900">
        <w:rPr>
          <w:rFonts w:ascii="Times New Roman" w:hAnsi="Times New Roman" w:cs="Times New Roman"/>
          <w:i/>
          <w:szCs w:val="20"/>
          <w:lang w:val="en-GB"/>
        </w:rPr>
        <w:t xml:space="preserve">referendum vote recall </w:t>
      </w:r>
      <w:r w:rsidRPr="00D16900">
        <w:rPr>
          <w:rFonts w:ascii="Times New Roman" w:hAnsi="Times New Roman" w:cs="Times New Roman"/>
          <w:szCs w:val="20"/>
          <w:lang w:val="en-GB"/>
        </w:rPr>
        <w:t xml:space="preserve">from the September survey. </w:t>
      </w:r>
      <w:r>
        <w:rPr>
          <w:rFonts w:ascii="Times New Roman" w:hAnsi="Times New Roman" w:cs="Times New Roman"/>
          <w:szCs w:val="20"/>
          <w:lang w:val="en-GB"/>
        </w:rPr>
        <w:t>The effect of expectations on the vote is robust to the inclusion of this imputed variable and results are available upon request.</w:t>
      </w:r>
    </w:p>
  </w:footnote>
  <w:footnote w:id="2">
    <w:p w14:paraId="3E22F434" w14:textId="77777777" w:rsidR="007A6C99" w:rsidRPr="008830E7" w:rsidRDefault="007A6C99" w:rsidP="00201DF2">
      <w:pPr>
        <w:pStyle w:val="Textonotapie"/>
        <w:jc w:val="both"/>
        <w:rPr>
          <w:rFonts w:ascii="Times New Roman" w:hAnsi="Times New Roman" w:cs="Times New Roman"/>
          <w:sz w:val="20"/>
          <w:szCs w:val="20"/>
          <w:lang w:val="en-US"/>
        </w:rPr>
      </w:pPr>
      <w:r w:rsidRPr="008830E7">
        <w:rPr>
          <w:rStyle w:val="Refdenotaalpie"/>
          <w:rFonts w:ascii="Times New Roman" w:hAnsi="Times New Roman" w:cs="Times New Roman"/>
          <w:sz w:val="20"/>
          <w:szCs w:val="20"/>
          <w:lang w:val="en-US"/>
        </w:rPr>
        <w:footnoteRef/>
      </w:r>
      <w:r w:rsidRPr="008830E7">
        <w:rPr>
          <w:rFonts w:ascii="Times New Roman" w:hAnsi="Times New Roman" w:cs="Times New Roman"/>
          <w:sz w:val="20"/>
          <w:szCs w:val="20"/>
          <w:lang w:val="en-US"/>
        </w:rPr>
        <w:t xml:space="preserve"> Although the two methods differ in how they arrive into balance, we treat them both here as variants of matching techniques.</w:t>
      </w:r>
    </w:p>
  </w:footnote>
  <w:footnote w:id="3">
    <w:p w14:paraId="5DFF56AA" w14:textId="77777777" w:rsidR="007A6C99" w:rsidRPr="008830E7" w:rsidRDefault="007A6C99" w:rsidP="00201DF2">
      <w:pPr>
        <w:jc w:val="both"/>
        <w:rPr>
          <w:rFonts w:ascii="Times New Roman" w:hAnsi="Times New Roman" w:cs="Times New Roman"/>
          <w:sz w:val="20"/>
          <w:szCs w:val="20"/>
          <w:lang w:val="en-US"/>
        </w:rPr>
      </w:pPr>
      <w:r w:rsidRPr="008830E7">
        <w:rPr>
          <w:rStyle w:val="Refdenotaalpie"/>
          <w:rFonts w:ascii="Times New Roman" w:hAnsi="Times New Roman" w:cs="Times New Roman"/>
          <w:sz w:val="20"/>
          <w:szCs w:val="20"/>
          <w:lang w:val="en-US"/>
        </w:rPr>
        <w:footnoteRef/>
      </w:r>
      <w:r w:rsidRPr="008830E7">
        <w:rPr>
          <w:rFonts w:ascii="Times New Roman" w:hAnsi="Times New Roman" w:cs="Times New Roman"/>
          <w:sz w:val="20"/>
          <w:szCs w:val="20"/>
          <w:lang w:val="en-US"/>
        </w:rPr>
        <w:t xml:space="preserve"> Weights are determined by a loss function, which is defined as maximizing the minimum balance statistic, determined by the </w:t>
      </w:r>
      <w:r w:rsidRPr="008830E7">
        <w:rPr>
          <w:rFonts w:ascii="Times New Roman" w:hAnsi="Times New Roman" w:cs="Times New Roman"/>
          <w:i/>
          <w:iCs/>
          <w:sz w:val="20"/>
          <w:szCs w:val="20"/>
          <w:lang w:val="en-US"/>
        </w:rPr>
        <w:t>t</w:t>
      </w:r>
      <w:r w:rsidRPr="008830E7">
        <w:rPr>
          <w:rFonts w:ascii="Times New Roman" w:hAnsi="Times New Roman" w:cs="Times New Roman"/>
          <w:sz w:val="20"/>
          <w:szCs w:val="20"/>
          <w:lang w:val="en-US"/>
        </w:rPr>
        <w:t xml:space="preserve">-test and the </w:t>
      </w:r>
      <w:r w:rsidRPr="008830E7">
        <w:rPr>
          <w:rFonts w:ascii="Times New Roman" w:hAnsi="Times New Roman" w:cs="Times New Roman"/>
          <w:i/>
          <w:iCs/>
          <w:sz w:val="20"/>
          <w:szCs w:val="20"/>
          <w:lang w:val="en-US"/>
        </w:rPr>
        <w:t>KS</w:t>
      </w:r>
      <w:r w:rsidRPr="008830E7">
        <w:rPr>
          <w:rFonts w:ascii="Times New Roman" w:hAnsi="Times New Roman" w:cs="Times New Roman"/>
          <w:sz w:val="20"/>
          <w:szCs w:val="20"/>
          <w:lang w:val="en-US"/>
        </w:rPr>
        <w:t>-test for each covariate.</w:t>
      </w:r>
    </w:p>
  </w:footnote>
  <w:footnote w:id="4">
    <w:p w14:paraId="7A4E09DE" w14:textId="31F92E48" w:rsidR="007A6C99" w:rsidRPr="00D16900" w:rsidRDefault="007A6C99" w:rsidP="00DF40BE">
      <w:pPr>
        <w:pStyle w:val="Textonotapie"/>
        <w:jc w:val="both"/>
        <w:rPr>
          <w:rFonts w:ascii="Times New Roman" w:hAnsi="Times New Roman" w:cs="Times New Roman"/>
          <w:szCs w:val="20"/>
          <w:lang w:val="en-GB"/>
        </w:rPr>
      </w:pPr>
      <w:r w:rsidRPr="00D16900">
        <w:rPr>
          <w:rStyle w:val="Refdenotaalpie"/>
          <w:rFonts w:ascii="Times New Roman" w:hAnsi="Times New Roman" w:cs="Times New Roman"/>
          <w:szCs w:val="20"/>
          <w:lang w:val="en-GB"/>
        </w:rPr>
        <w:footnoteRef/>
      </w:r>
      <w:r w:rsidRPr="00D16900">
        <w:rPr>
          <w:rFonts w:ascii="Times New Roman" w:hAnsi="Times New Roman" w:cs="Times New Roman"/>
          <w:szCs w:val="20"/>
          <w:lang w:val="en-GB"/>
        </w:rPr>
        <w:t xml:space="preserve"> Apart from equalizing their means, entropy balancing weights also</w:t>
      </w:r>
      <w:r>
        <w:rPr>
          <w:rFonts w:ascii="Times New Roman" w:hAnsi="Times New Roman" w:cs="Times New Roman"/>
          <w:szCs w:val="20"/>
          <w:lang w:val="en-GB"/>
        </w:rPr>
        <w:t xml:space="preserve"> make the variance and the skew</w:t>
      </w:r>
      <w:r w:rsidRPr="00D16900">
        <w:rPr>
          <w:rFonts w:ascii="Times New Roman" w:hAnsi="Times New Roman" w:cs="Times New Roman"/>
          <w:szCs w:val="20"/>
          <w:lang w:val="en-GB"/>
        </w:rPr>
        <w:t xml:space="preserve">ness of the two groups almost identical in all variables used for balancing. </w:t>
      </w:r>
    </w:p>
  </w:footnote>
  <w:footnote w:id="5">
    <w:p w14:paraId="1E377E09" w14:textId="77777777" w:rsidR="007A6C99" w:rsidRPr="008830E7" w:rsidRDefault="007A6C99" w:rsidP="00404E17">
      <w:pPr>
        <w:pStyle w:val="Textonotapie"/>
        <w:rPr>
          <w:rFonts w:ascii="Times New Roman" w:hAnsi="Times New Roman" w:cs="Times New Roman"/>
          <w:sz w:val="20"/>
          <w:szCs w:val="20"/>
          <w:lang w:val="en-US"/>
        </w:rPr>
      </w:pPr>
      <w:r w:rsidRPr="008830E7">
        <w:rPr>
          <w:rStyle w:val="Refdenotaalpie"/>
          <w:rFonts w:ascii="Times New Roman" w:hAnsi="Times New Roman" w:cs="Times New Roman"/>
          <w:sz w:val="20"/>
          <w:szCs w:val="20"/>
          <w:lang w:val="en-US"/>
        </w:rPr>
        <w:footnoteRef/>
      </w:r>
      <w:r w:rsidRPr="008830E7">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4020F9">
        <w:rPr>
          <w:rFonts w:ascii="Times New Roman" w:hAnsi="Times New Roman" w:cs="Times New Roman"/>
          <w:sz w:val="20"/>
          <w:szCs w:val="20"/>
          <w:lang w:val="en-US"/>
        </w:rPr>
        <w:t xml:space="preserve">ata were </w:t>
      </w:r>
      <w:r>
        <w:rPr>
          <w:rFonts w:ascii="Times New Roman" w:hAnsi="Times New Roman" w:cs="Times New Roman"/>
          <w:sz w:val="20"/>
          <w:szCs w:val="20"/>
          <w:lang w:val="en-US"/>
        </w:rPr>
        <w:t xml:space="preserve">again </w:t>
      </w:r>
      <w:r w:rsidRPr="004020F9">
        <w:rPr>
          <w:rFonts w:ascii="Times New Roman" w:hAnsi="Times New Roman" w:cs="Times New Roman"/>
          <w:sz w:val="20"/>
          <w:szCs w:val="20"/>
          <w:lang w:val="en-US"/>
        </w:rPr>
        <w:t>collected by the University of Macedonia’s Research Institute of Applied Social and Economic Studies with a nationwide, computer-assisted telephone survey using a multistage sampling process</w:t>
      </w:r>
      <w:r>
        <w:rPr>
          <w:rFonts w:ascii="Times New Roman" w:hAnsi="Times New Roman" w:cs="Times New Roman"/>
          <w:sz w:val="20"/>
          <w:szCs w:val="20"/>
          <w:lang w:val="en-US"/>
        </w:rPr>
        <w:t xml:space="preserve"> (</w:t>
      </w:r>
      <w:r w:rsidRPr="0082015D">
        <w:rPr>
          <w:rFonts w:ascii="Times New Roman" w:hAnsi="Times New Roman" w:cs="Times New Roman"/>
          <w:i/>
          <w:sz w:val="20"/>
          <w:szCs w:val="20"/>
          <w:lang w:val="en-US"/>
        </w:rPr>
        <w:t>n</w:t>
      </w:r>
      <w:r>
        <w:rPr>
          <w:rFonts w:ascii="Times New Roman" w:hAnsi="Times New Roman" w:cs="Times New Roman"/>
          <w:sz w:val="20"/>
          <w:szCs w:val="20"/>
          <w:lang w:val="en-US"/>
        </w:rPr>
        <w:t>=2003)</w:t>
      </w:r>
      <w:r w:rsidRPr="004020F9">
        <w:rPr>
          <w:rFonts w:ascii="Times New Roman" w:hAnsi="Times New Roman" w:cs="Times New Roman"/>
          <w:sz w:val="20"/>
          <w:szCs w:val="20"/>
          <w:lang w:val="en-US"/>
        </w:rPr>
        <w:t>.</w:t>
      </w:r>
    </w:p>
  </w:footnote>
  <w:footnote w:id="6">
    <w:p w14:paraId="51EAF0B7" w14:textId="77777777" w:rsidR="007A6C99" w:rsidRPr="008830E7" w:rsidRDefault="007A6C99" w:rsidP="00404E17">
      <w:pPr>
        <w:pStyle w:val="Textonotapie"/>
        <w:rPr>
          <w:rFonts w:ascii="Times" w:hAnsi="Times"/>
          <w:sz w:val="20"/>
          <w:szCs w:val="20"/>
          <w:lang w:val="en-US"/>
        </w:rPr>
      </w:pPr>
      <w:r w:rsidRPr="008830E7">
        <w:rPr>
          <w:rStyle w:val="Refdenotaalpie"/>
          <w:rFonts w:ascii="Times" w:hAnsi="Times"/>
          <w:sz w:val="20"/>
          <w:szCs w:val="20"/>
        </w:rPr>
        <w:footnoteRef/>
      </w:r>
      <w:r w:rsidRPr="008830E7">
        <w:rPr>
          <w:rFonts w:ascii="Times" w:hAnsi="Times"/>
          <w:sz w:val="20"/>
          <w:szCs w:val="20"/>
          <w:lang w:val="en-US"/>
        </w:rPr>
        <w:t xml:space="preserve"> The question read (treatment text in bold): </w:t>
      </w:r>
      <w:r w:rsidRPr="008830E7">
        <w:rPr>
          <w:rFonts w:ascii="Times" w:hAnsi="Times" w:cs="Times New Roman"/>
          <w:sz w:val="20"/>
          <w:szCs w:val="20"/>
          <w:lang w:val="en-US"/>
        </w:rPr>
        <w:t>“</w:t>
      </w:r>
      <w:r w:rsidRPr="008830E7">
        <w:rPr>
          <w:rFonts w:ascii="Times" w:hAnsi="Times" w:cs="Times New Roman"/>
          <w:b/>
          <w:i/>
          <w:sz w:val="20"/>
          <w:szCs w:val="20"/>
          <w:lang w:val="en-US"/>
        </w:rPr>
        <w:t xml:space="preserve">Varoufakis (Treatment 1) / Schäuble (Treatment 2)/ Draghi (Treatment 3) recently confirmed that the </w:t>
      </w:r>
      <w:r>
        <w:rPr>
          <w:rFonts w:ascii="Times" w:hAnsi="Times" w:cs="Times New Roman"/>
          <w:b/>
          <w:i/>
          <w:sz w:val="20"/>
          <w:szCs w:val="20"/>
          <w:lang w:val="en-US"/>
        </w:rPr>
        <w:t xml:space="preserve">economic </w:t>
      </w:r>
      <w:r w:rsidRPr="008830E7">
        <w:rPr>
          <w:rFonts w:ascii="Times" w:hAnsi="Times" w:cs="Times New Roman"/>
          <w:b/>
          <w:i/>
          <w:sz w:val="20"/>
          <w:szCs w:val="20"/>
          <w:lang w:val="en-US"/>
        </w:rPr>
        <w:t>situation could get worse f</w:t>
      </w:r>
      <w:r>
        <w:rPr>
          <w:rFonts w:ascii="Times" w:hAnsi="Times" w:cs="Times New Roman"/>
          <w:b/>
          <w:i/>
          <w:sz w:val="20"/>
          <w:szCs w:val="20"/>
          <w:lang w:val="en-US"/>
        </w:rPr>
        <w:t>or</w:t>
      </w:r>
      <w:r w:rsidRPr="008830E7">
        <w:rPr>
          <w:rFonts w:ascii="Times" w:hAnsi="Times" w:cs="Times New Roman"/>
          <w:b/>
          <w:i/>
          <w:sz w:val="20"/>
          <w:szCs w:val="20"/>
          <w:lang w:val="en-US"/>
        </w:rPr>
        <w:t xml:space="preserve"> Greece </w:t>
      </w:r>
      <w:r>
        <w:rPr>
          <w:rFonts w:ascii="Times" w:hAnsi="Times" w:cs="Times New Roman"/>
          <w:b/>
          <w:i/>
          <w:sz w:val="20"/>
          <w:szCs w:val="20"/>
          <w:lang w:val="en-US"/>
        </w:rPr>
        <w:t xml:space="preserve">if it </w:t>
      </w:r>
      <w:r w:rsidRPr="008830E7">
        <w:rPr>
          <w:rFonts w:ascii="Times" w:hAnsi="Times" w:cs="Times New Roman"/>
          <w:b/>
          <w:i/>
          <w:sz w:val="20"/>
          <w:szCs w:val="20"/>
          <w:lang w:val="en-US"/>
        </w:rPr>
        <w:t xml:space="preserve">stops paying </w:t>
      </w:r>
      <w:r>
        <w:rPr>
          <w:rFonts w:ascii="Times" w:hAnsi="Times" w:cs="Times New Roman"/>
          <w:b/>
          <w:i/>
          <w:sz w:val="20"/>
          <w:szCs w:val="20"/>
          <w:lang w:val="en-US"/>
        </w:rPr>
        <w:t xml:space="preserve">its </w:t>
      </w:r>
      <w:r w:rsidRPr="008830E7">
        <w:rPr>
          <w:rFonts w:ascii="Times" w:hAnsi="Times" w:cs="Times New Roman"/>
          <w:b/>
          <w:i/>
          <w:sz w:val="20"/>
          <w:szCs w:val="20"/>
          <w:lang w:val="en-US"/>
        </w:rPr>
        <w:t>creditors. Thinking of all this,</w:t>
      </w:r>
      <w:r w:rsidRPr="008830E7">
        <w:rPr>
          <w:rFonts w:ascii="Times" w:hAnsi="Times" w:cs="Times New Roman"/>
          <w:i/>
          <w:sz w:val="20"/>
          <w:szCs w:val="20"/>
          <w:lang w:val="en-US"/>
        </w:rPr>
        <w:t xml:space="preserve"> would you say that the country should continue to repay </w:t>
      </w:r>
      <w:r>
        <w:rPr>
          <w:rFonts w:ascii="Times" w:hAnsi="Times" w:cs="Times New Roman"/>
          <w:i/>
          <w:sz w:val="20"/>
          <w:szCs w:val="20"/>
          <w:lang w:val="en-US"/>
        </w:rPr>
        <w:t>its</w:t>
      </w:r>
      <w:r w:rsidRPr="008830E7">
        <w:rPr>
          <w:rFonts w:ascii="Times" w:hAnsi="Times" w:cs="Times New Roman"/>
          <w:i/>
          <w:sz w:val="20"/>
          <w:szCs w:val="20"/>
          <w:lang w:val="en-US"/>
        </w:rPr>
        <w:t xml:space="preserve"> lenders or stop doing</w:t>
      </w:r>
      <w:r>
        <w:rPr>
          <w:rFonts w:ascii="Times" w:hAnsi="Times" w:cs="Times New Roman"/>
          <w:i/>
          <w:sz w:val="20"/>
          <w:szCs w:val="20"/>
          <w:lang w:val="en-US"/>
        </w:rPr>
        <w:t xml:space="preserve"> it</w:t>
      </w:r>
      <w:r w:rsidRPr="008830E7">
        <w:rPr>
          <w:rFonts w:ascii="Times" w:hAnsi="Times" w:cs="Times New Roman"/>
          <w:i/>
          <w:sz w:val="20"/>
          <w:szCs w:val="20"/>
          <w:lang w:val="en-US"/>
        </w:rPr>
        <w:t xml:space="preserve">? Please answer using a scale where "1" means that we should stop </w:t>
      </w:r>
      <w:r>
        <w:rPr>
          <w:rFonts w:ascii="Times" w:hAnsi="Times" w:cs="Times New Roman"/>
          <w:i/>
          <w:sz w:val="20"/>
          <w:szCs w:val="20"/>
          <w:lang w:val="en-US"/>
        </w:rPr>
        <w:t>re</w:t>
      </w:r>
      <w:r w:rsidRPr="008830E7">
        <w:rPr>
          <w:rFonts w:ascii="Times" w:hAnsi="Times" w:cs="Times New Roman"/>
          <w:i/>
          <w:sz w:val="20"/>
          <w:szCs w:val="20"/>
          <w:lang w:val="en-US"/>
        </w:rPr>
        <w:t xml:space="preserve">paying creditors and "5" means we must continue </w:t>
      </w:r>
      <w:r>
        <w:rPr>
          <w:rFonts w:ascii="Times" w:hAnsi="Times" w:cs="Times New Roman"/>
          <w:i/>
          <w:sz w:val="20"/>
          <w:szCs w:val="20"/>
          <w:lang w:val="en-US"/>
        </w:rPr>
        <w:t>re</w:t>
      </w:r>
      <w:r w:rsidRPr="008830E7">
        <w:rPr>
          <w:rFonts w:ascii="Times" w:hAnsi="Times" w:cs="Times New Roman"/>
          <w:i/>
          <w:sz w:val="20"/>
          <w:szCs w:val="20"/>
          <w:lang w:val="en-US"/>
        </w:rPr>
        <w:t>pay</w:t>
      </w:r>
      <w:r>
        <w:rPr>
          <w:rFonts w:ascii="Times" w:hAnsi="Times" w:cs="Times New Roman"/>
          <w:i/>
          <w:sz w:val="20"/>
          <w:szCs w:val="20"/>
          <w:lang w:val="en-US"/>
        </w:rPr>
        <w:t>ing to</w:t>
      </w:r>
      <w:r w:rsidRPr="008830E7">
        <w:rPr>
          <w:rFonts w:ascii="Times" w:hAnsi="Times" w:cs="Times New Roman"/>
          <w:i/>
          <w:sz w:val="20"/>
          <w:szCs w:val="20"/>
          <w:lang w:val="en-US"/>
        </w:rPr>
        <w:t xml:space="preserve"> </w:t>
      </w:r>
      <w:r>
        <w:rPr>
          <w:rFonts w:ascii="Times" w:hAnsi="Times" w:cs="Times New Roman"/>
          <w:i/>
          <w:sz w:val="20"/>
          <w:szCs w:val="20"/>
          <w:lang w:val="en-US"/>
        </w:rPr>
        <w:t>creditors</w:t>
      </w:r>
      <w:r w:rsidRPr="008830E7">
        <w:rPr>
          <w:rFonts w:ascii="Times" w:hAnsi="Times" w:cs="Times New Roman"/>
          <w:i/>
          <w:sz w:val="20"/>
          <w:szCs w:val="20"/>
          <w:lang w:val="en-US"/>
        </w:rPr>
        <w:t>.</w:t>
      </w:r>
      <w:r w:rsidRPr="008830E7">
        <w:rPr>
          <w:rFonts w:ascii="Times" w:hAnsi="Times" w:cs="Times New Roman"/>
          <w:sz w:val="20"/>
          <w:szCs w:val="20"/>
          <w:lang w:val="en-US"/>
        </w:rPr>
        <w:t>”</w:t>
      </w:r>
    </w:p>
  </w:footnote>
  <w:footnote w:id="7">
    <w:p w14:paraId="3D218754" w14:textId="77777777" w:rsidR="007A6C99" w:rsidRPr="00931F9E" w:rsidRDefault="007A6C99" w:rsidP="00404E17">
      <w:pPr>
        <w:pStyle w:val="Textonotapie"/>
        <w:rPr>
          <w:rFonts w:ascii="Times New Roman" w:hAnsi="Times New Roman" w:cs="Times New Roman"/>
          <w:sz w:val="20"/>
          <w:szCs w:val="20"/>
          <w:lang w:val="en-US"/>
        </w:rPr>
      </w:pPr>
      <w:r w:rsidRPr="00931F9E">
        <w:rPr>
          <w:rStyle w:val="Refdenotaalpie"/>
          <w:rFonts w:ascii="Times New Roman" w:hAnsi="Times New Roman" w:cs="Times New Roman"/>
          <w:sz w:val="20"/>
          <w:szCs w:val="20"/>
          <w:lang w:val="en-US"/>
        </w:rPr>
        <w:footnoteRef/>
      </w:r>
      <w:r w:rsidRPr="00931F9E">
        <w:rPr>
          <w:rFonts w:ascii="Times New Roman" w:hAnsi="Times New Roman" w:cs="Times New Roman"/>
          <w:sz w:val="20"/>
          <w:szCs w:val="20"/>
          <w:lang w:val="en-US"/>
        </w:rPr>
        <w:t xml:space="preserve"> </w:t>
      </w:r>
      <w:r>
        <w:rPr>
          <w:rFonts w:ascii="Times New Roman" w:hAnsi="Times New Roman" w:cs="Times New Roman"/>
          <w:sz w:val="20"/>
          <w:szCs w:val="20"/>
          <w:lang w:val="en-US"/>
        </w:rPr>
        <w:t>In robustness checks,</w:t>
      </w:r>
      <w:r w:rsidRPr="00931F9E">
        <w:rPr>
          <w:rFonts w:ascii="Times New Roman" w:hAnsi="Times New Roman" w:cs="Times New Roman"/>
          <w:sz w:val="20"/>
          <w:szCs w:val="20"/>
          <w:lang w:val="en-US"/>
        </w:rPr>
        <w:t xml:space="preserve"> we do not find a significant differential effect of the threat by partisanship.</w:t>
      </w:r>
    </w:p>
  </w:footnote>
  <w:footnote w:id="8">
    <w:p w14:paraId="522D2193" w14:textId="4E8E4A13" w:rsidR="007A6C99" w:rsidRPr="00833C51" w:rsidRDefault="007A6C99" w:rsidP="008569AF">
      <w:pPr>
        <w:pStyle w:val="Textonotapie"/>
        <w:rPr>
          <w:sz w:val="20"/>
          <w:szCs w:val="20"/>
          <w:lang w:val="en-US"/>
        </w:rPr>
      </w:pPr>
      <w:r w:rsidRPr="00833C51">
        <w:rPr>
          <w:rStyle w:val="Refdenotaalpie"/>
          <w:sz w:val="20"/>
          <w:szCs w:val="20"/>
        </w:rPr>
        <w:footnoteRef/>
      </w:r>
      <w:r w:rsidRPr="00833C51">
        <w:rPr>
          <w:sz w:val="20"/>
          <w:szCs w:val="20"/>
          <w:lang w:val="en-US"/>
        </w:rPr>
        <w:t xml:space="preserve"> </w:t>
      </w:r>
      <w:r w:rsidRPr="00833C51">
        <w:rPr>
          <w:rFonts w:ascii="Times New Roman" w:hAnsi="Times New Roman" w:cs="Times New Roman"/>
          <w:sz w:val="20"/>
          <w:szCs w:val="20"/>
          <w:lang w:val="en-US"/>
        </w:rPr>
        <w:t>In particular ACME becomes zero only when correlation between the two error terms is -0.5 or lower. In other words, the unobserved confounder would need to explain up to 40% of the variance both in the outcome (Referendum Vote) and the mediator (Grexit</w:t>
      </w:r>
      <w:r>
        <w:rPr>
          <w:rFonts w:ascii="Times New Roman" w:hAnsi="Times New Roman" w:cs="Times New Roman"/>
          <w:sz w:val="20"/>
          <w:szCs w:val="20"/>
          <w:lang w:val="en-US"/>
        </w:rPr>
        <w:t>-b</w:t>
      </w:r>
      <w:r w:rsidRPr="00833C51">
        <w:rPr>
          <w:rFonts w:ascii="Times New Roman" w:hAnsi="Times New Roman" w:cs="Times New Roman"/>
          <w:sz w:val="20"/>
          <w:szCs w:val="20"/>
          <w:lang w:val="en-US"/>
        </w:rPr>
        <w:t>elief) in order the mediation effe</w:t>
      </w:r>
      <w:r>
        <w:rPr>
          <w:rFonts w:ascii="Times New Roman" w:hAnsi="Times New Roman" w:cs="Times New Roman"/>
          <w:sz w:val="20"/>
          <w:szCs w:val="20"/>
          <w:lang w:val="en-US"/>
        </w:rPr>
        <w:t>ct to vanish</w:t>
      </w:r>
      <w:r w:rsidRPr="00833C51">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0E7"/>
    <w:multiLevelType w:val="hybridMultilevel"/>
    <w:tmpl w:val="82A21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B141F6"/>
    <w:multiLevelType w:val="hybridMultilevel"/>
    <w:tmpl w:val="82A21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105B52"/>
    <w:multiLevelType w:val="hybridMultilevel"/>
    <w:tmpl w:val="5B9A8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80582B"/>
    <w:multiLevelType w:val="hybridMultilevel"/>
    <w:tmpl w:val="CBBA1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6E41DB"/>
    <w:multiLevelType w:val="hybridMultilevel"/>
    <w:tmpl w:val="82A21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184AF6"/>
    <w:multiLevelType w:val="hybridMultilevel"/>
    <w:tmpl w:val="82A21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943459"/>
    <w:multiLevelType w:val="hybridMultilevel"/>
    <w:tmpl w:val="5CA6B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4B46A64"/>
    <w:multiLevelType w:val="hybridMultilevel"/>
    <w:tmpl w:val="82A21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E"/>
    <w:rsid w:val="00037558"/>
    <w:rsid w:val="00040E77"/>
    <w:rsid w:val="0005270F"/>
    <w:rsid w:val="00055D61"/>
    <w:rsid w:val="00077F66"/>
    <w:rsid w:val="000C043E"/>
    <w:rsid w:val="000C2F8B"/>
    <w:rsid w:val="000C3889"/>
    <w:rsid w:val="000C6D8B"/>
    <w:rsid w:val="000F124A"/>
    <w:rsid w:val="00103825"/>
    <w:rsid w:val="00113EF8"/>
    <w:rsid w:val="00115F6F"/>
    <w:rsid w:val="00160241"/>
    <w:rsid w:val="00180928"/>
    <w:rsid w:val="00185AAA"/>
    <w:rsid w:val="001905BC"/>
    <w:rsid w:val="0019343F"/>
    <w:rsid w:val="001A2AF6"/>
    <w:rsid w:val="001A35CC"/>
    <w:rsid w:val="001C27DE"/>
    <w:rsid w:val="00201DF2"/>
    <w:rsid w:val="00204CF2"/>
    <w:rsid w:val="00210AC2"/>
    <w:rsid w:val="00223770"/>
    <w:rsid w:val="00231EA0"/>
    <w:rsid w:val="00232365"/>
    <w:rsid w:val="00235ED7"/>
    <w:rsid w:val="00244DC3"/>
    <w:rsid w:val="00251F64"/>
    <w:rsid w:val="00260D8D"/>
    <w:rsid w:val="002847F0"/>
    <w:rsid w:val="00293BAB"/>
    <w:rsid w:val="002C3FBA"/>
    <w:rsid w:val="002C5EDC"/>
    <w:rsid w:val="002D46F5"/>
    <w:rsid w:val="002D6596"/>
    <w:rsid w:val="002E2888"/>
    <w:rsid w:val="002E618B"/>
    <w:rsid w:val="003026E0"/>
    <w:rsid w:val="003129EC"/>
    <w:rsid w:val="00321B92"/>
    <w:rsid w:val="00365261"/>
    <w:rsid w:val="00377664"/>
    <w:rsid w:val="003C687B"/>
    <w:rsid w:val="00404E17"/>
    <w:rsid w:val="00414471"/>
    <w:rsid w:val="0043754A"/>
    <w:rsid w:val="004806F4"/>
    <w:rsid w:val="00485E94"/>
    <w:rsid w:val="00491C1D"/>
    <w:rsid w:val="004B5A38"/>
    <w:rsid w:val="004B76F8"/>
    <w:rsid w:val="004C6BCA"/>
    <w:rsid w:val="004D7F5C"/>
    <w:rsid w:val="004E2302"/>
    <w:rsid w:val="004E3019"/>
    <w:rsid w:val="00515961"/>
    <w:rsid w:val="005821AE"/>
    <w:rsid w:val="005E3901"/>
    <w:rsid w:val="006215A9"/>
    <w:rsid w:val="00625F23"/>
    <w:rsid w:val="006644DC"/>
    <w:rsid w:val="0068077B"/>
    <w:rsid w:val="006A60B0"/>
    <w:rsid w:val="006D2F10"/>
    <w:rsid w:val="00707461"/>
    <w:rsid w:val="007706C7"/>
    <w:rsid w:val="007A6C99"/>
    <w:rsid w:val="007B179C"/>
    <w:rsid w:val="007C3281"/>
    <w:rsid w:val="008236A7"/>
    <w:rsid w:val="00833B44"/>
    <w:rsid w:val="00836DFB"/>
    <w:rsid w:val="00844577"/>
    <w:rsid w:val="00847AC9"/>
    <w:rsid w:val="00847EA8"/>
    <w:rsid w:val="00852713"/>
    <w:rsid w:val="008569AF"/>
    <w:rsid w:val="00857CC6"/>
    <w:rsid w:val="008654B0"/>
    <w:rsid w:val="00883C21"/>
    <w:rsid w:val="008850CE"/>
    <w:rsid w:val="00891C24"/>
    <w:rsid w:val="008B5477"/>
    <w:rsid w:val="008D3439"/>
    <w:rsid w:val="008F536F"/>
    <w:rsid w:val="009143C2"/>
    <w:rsid w:val="009161BE"/>
    <w:rsid w:val="00940E03"/>
    <w:rsid w:val="0094416B"/>
    <w:rsid w:val="00945FB5"/>
    <w:rsid w:val="0095300D"/>
    <w:rsid w:val="00966714"/>
    <w:rsid w:val="009838CC"/>
    <w:rsid w:val="0099196E"/>
    <w:rsid w:val="00993A92"/>
    <w:rsid w:val="009A7A93"/>
    <w:rsid w:val="009D355A"/>
    <w:rsid w:val="009D5067"/>
    <w:rsid w:val="009F7236"/>
    <w:rsid w:val="00A007B5"/>
    <w:rsid w:val="00A35E7D"/>
    <w:rsid w:val="00A5529B"/>
    <w:rsid w:val="00A92CD4"/>
    <w:rsid w:val="00AA273A"/>
    <w:rsid w:val="00AE01F1"/>
    <w:rsid w:val="00AF378A"/>
    <w:rsid w:val="00B06B95"/>
    <w:rsid w:val="00B143D3"/>
    <w:rsid w:val="00B15CD6"/>
    <w:rsid w:val="00B46487"/>
    <w:rsid w:val="00B550DB"/>
    <w:rsid w:val="00B77093"/>
    <w:rsid w:val="00BA4100"/>
    <w:rsid w:val="00BC3533"/>
    <w:rsid w:val="00BC4D17"/>
    <w:rsid w:val="00BE5EC3"/>
    <w:rsid w:val="00C30063"/>
    <w:rsid w:val="00C37785"/>
    <w:rsid w:val="00C45243"/>
    <w:rsid w:val="00C72E46"/>
    <w:rsid w:val="00C8693D"/>
    <w:rsid w:val="00C91291"/>
    <w:rsid w:val="00C91C01"/>
    <w:rsid w:val="00C976B5"/>
    <w:rsid w:val="00CB4A56"/>
    <w:rsid w:val="00CC6E87"/>
    <w:rsid w:val="00CE036E"/>
    <w:rsid w:val="00D21332"/>
    <w:rsid w:val="00D43B0F"/>
    <w:rsid w:val="00D637DA"/>
    <w:rsid w:val="00D7431B"/>
    <w:rsid w:val="00D74C07"/>
    <w:rsid w:val="00DC7C17"/>
    <w:rsid w:val="00DD2283"/>
    <w:rsid w:val="00DE3948"/>
    <w:rsid w:val="00DF40BE"/>
    <w:rsid w:val="00E13275"/>
    <w:rsid w:val="00E749F4"/>
    <w:rsid w:val="00E77CEF"/>
    <w:rsid w:val="00EA728E"/>
    <w:rsid w:val="00EB5266"/>
    <w:rsid w:val="00EB7B09"/>
    <w:rsid w:val="00EC337F"/>
    <w:rsid w:val="00EC377D"/>
    <w:rsid w:val="00ED5962"/>
    <w:rsid w:val="00F359DA"/>
    <w:rsid w:val="00F40933"/>
    <w:rsid w:val="00F517A8"/>
    <w:rsid w:val="00F727DD"/>
    <w:rsid w:val="00F806B6"/>
    <w:rsid w:val="00F85ECA"/>
    <w:rsid w:val="00F94BA5"/>
    <w:rsid w:val="00FE1538"/>
    <w:rsid w:val="00FF09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B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BE"/>
    <w:rPr>
      <w:rFonts w:eastAsiaTheme="minorEastAsia"/>
      <w:lang w:val="de-CH"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F40BE"/>
  </w:style>
  <w:style w:type="character" w:customStyle="1" w:styleId="TextonotapieCar">
    <w:name w:val="Texto nota pie Car"/>
    <w:basedOn w:val="Fuentedeprrafopredeter"/>
    <w:link w:val="Textonotapie"/>
    <w:uiPriority w:val="99"/>
    <w:rsid w:val="00DF40BE"/>
    <w:rPr>
      <w:rFonts w:eastAsiaTheme="minorEastAsia"/>
      <w:lang w:val="de-CH" w:eastAsia="de-DE"/>
    </w:rPr>
  </w:style>
  <w:style w:type="paragraph" w:styleId="Textocomentario">
    <w:name w:val="annotation text"/>
    <w:basedOn w:val="Normal"/>
    <w:link w:val="TextocomentarioCar"/>
    <w:uiPriority w:val="99"/>
    <w:unhideWhenUsed/>
    <w:rsid w:val="00DF40BE"/>
  </w:style>
  <w:style w:type="character" w:customStyle="1" w:styleId="TextocomentarioCar">
    <w:name w:val="Texto comentario Car"/>
    <w:basedOn w:val="Fuentedeprrafopredeter"/>
    <w:link w:val="Textocomentario"/>
    <w:uiPriority w:val="99"/>
    <w:rsid w:val="00DF40BE"/>
    <w:rPr>
      <w:rFonts w:eastAsiaTheme="minorEastAsia"/>
      <w:lang w:val="de-CH" w:eastAsia="de-DE"/>
    </w:rPr>
  </w:style>
  <w:style w:type="paragraph" w:styleId="Prrafodelista">
    <w:name w:val="List Paragraph"/>
    <w:basedOn w:val="Normal"/>
    <w:uiPriority w:val="34"/>
    <w:qFormat/>
    <w:rsid w:val="00DF40BE"/>
    <w:pPr>
      <w:ind w:left="720"/>
      <w:contextualSpacing/>
    </w:pPr>
  </w:style>
  <w:style w:type="character" w:styleId="Refdenotaalpie">
    <w:name w:val="footnote reference"/>
    <w:basedOn w:val="Fuentedeprrafopredeter"/>
    <w:uiPriority w:val="99"/>
    <w:unhideWhenUsed/>
    <w:rsid w:val="00DF40BE"/>
    <w:rPr>
      <w:vertAlign w:val="superscript"/>
    </w:rPr>
  </w:style>
  <w:style w:type="character" w:styleId="Refdecomentario">
    <w:name w:val="annotation reference"/>
    <w:basedOn w:val="Fuentedeprrafopredeter"/>
    <w:uiPriority w:val="99"/>
    <w:semiHidden/>
    <w:unhideWhenUsed/>
    <w:rsid w:val="00DF40BE"/>
    <w:rPr>
      <w:sz w:val="18"/>
      <w:szCs w:val="18"/>
    </w:rPr>
  </w:style>
  <w:style w:type="paragraph" w:styleId="Piedepgina">
    <w:name w:val="footer"/>
    <w:basedOn w:val="Normal"/>
    <w:link w:val="PiedepginaCar"/>
    <w:uiPriority w:val="99"/>
    <w:unhideWhenUsed/>
    <w:rsid w:val="00DF40BE"/>
    <w:pPr>
      <w:tabs>
        <w:tab w:val="center" w:pos="4536"/>
        <w:tab w:val="right" w:pos="9072"/>
      </w:tabs>
    </w:pPr>
  </w:style>
  <w:style w:type="character" w:customStyle="1" w:styleId="PiedepginaCar">
    <w:name w:val="Pie de página Car"/>
    <w:basedOn w:val="Fuentedeprrafopredeter"/>
    <w:link w:val="Piedepgina"/>
    <w:uiPriority w:val="99"/>
    <w:rsid w:val="00DF40BE"/>
    <w:rPr>
      <w:rFonts w:eastAsiaTheme="minorEastAsia"/>
      <w:lang w:val="de-CH" w:eastAsia="de-DE"/>
    </w:rPr>
  </w:style>
  <w:style w:type="character" w:styleId="Nmerodepgina">
    <w:name w:val="page number"/>
    <w:basedOn w:val="Fuentedeprrafopredeter"/>
    <w:uiPriority w:val="99"/>
    <w:semiHidden/>
    <w:unhideWhenUsed/>
    <w:rsid w:val="00DF40BE"/>
  </w:style>
  <w:style w:type="paragraph" w:styleId="Textodeglobo">
    <w:name w:val="Balloon Text"/>
    <w:basedOn w:val="Normal"/>
    <w:link w:val="TextodegloboCar"/>
    <w:uiPriority w:val="99"/>
    <w:semiHidden/>
    <w:unhideWhenUsed/>
    <w:rsid w:val="00C377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7785"/>
    <w:rPr>
      <w:rFonts w:ascii="Lucida Grande" w:eastAsiaTheme="minorEastAsia" w:hAnsi="Lucida Grande" w:cs="Lucida Grande"/>
      <w:sz w:val="18"/>
      <w:szCs w:val="18"/>
      <w:lang w:val="de-CH" w:eastAsia="de-DE"/>
    </w:rPr>
  </w:style>
  <w:style w:type="table" w:styleId="Tablaconcuadrcula">
    <w:name w:val="Table Grid"/>
    <w:basedOn w:val="Tablanormal"/>
    <w:uiPriority w:val="59"/>
    <w:rsid w:val="008569AF"/>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BE"/>
    <w:rPr>
      <w:rFonts w:eastAsiaTheme="minorEastAsia"/>
      <w:lang w:val="de-CH"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F40BE"/>
  </w:style>
  <w:style w:type="character" w:customStyle="1" w:styleId="TextonotapieCar">
    <w:name w:val="Texto nota pie Car"/>
    <w:basedOn w:val="Fuentedeprrafopredeter"/>
    <w:link w:val="Textonotapie"/>
    <w:uiPriority w:val="99"/>
    <w:rsid w:val="00DF40BE"/>
    <w:rPr>
      <w:rFonts w:eastAsiaTheme="minorEastAsia"/>
      <w:lang w:val="de-CH" w:eastAsia="de-DE"/>
    </w:rPr>
  </w:style>
  <w:style w:type="paragraph" w:styleId="Textocomentario">
    <w:name w:val="annotation text"/>
    <w:basedOn w:val="Normal"/>
    <w:link w:val="TextocomentarioCar"/>
    <w:uiPriority w:val="99"/>
    <w:unhideWhenUsed/>
    <w:rsid w:val="00DF40BE"/>
  </w:style>
  <w:style w:type="character" w:customStyle="1" w:styleId="TextocomentarioCar">
    <w:name w:val="Texto comentario Car"/>
    <w:basedOn w:val="Fuentedeprrafopredeter"/>
    <w:link w:val="Textocomentario"/>
    <w:uiPriority w:val="99"/>
    <w:rsid w:val="00DF40BE"/>
    <w:rPr>
      <w:rFonts w:eastAsiaTheme="minorEastAsia"/>
      <w:lang w:val="de-CH" w:eastAsia="de-DE"/>
    </w:rPr>
  </w:style>
  <w:style w:type="paragraph" w:styleId="Prrafodelista">
    <w:name w:val="List Paragraph"/>
    <w:basedOn w:val="Normal"/>
    <w:uiPriority w:val="34"/>
    <w:qFormat/>
    <w:rsid w:val="00DF40BE"/>
    <w:pPr>
      <w:ind w:left="720"/>
      <w:contextualSpacing/>
    </w:pPr>
  </w:style>
  <w:style w:type="character" w:styleId="Refdenotaalpie">
    <w:name w:val="footnote reference"/>
    <w:basedOn w:val="Fuentedeprrafopredeter"/>
    <w:uiPriority w:val="99"/>
    <w:unhideWhenUsed/>
    <w:rsid w:val="00DF40BE"/>
    <w:rPr>
      <w:vertAlign w:val="superscript"/>
    </w:rPr>
  </w:style>
  <w:style w:type="character" w:styleId="Refdecomentario">
    <w:name w:val="annotation reference"/>
    <w:basedOn w:val="Fuentedeprrafopredeter"/>
    <w:uiPriority w:val="99"/>
    <w:semiHidden/>
    <w:unhideWhenUsed/>
    <w:rsid w:val="00DF40BE"/>
    <w:rPr>
      <w:sz w:val="18"/>
      <w:szCs w:val="18"/>
    </w:rPr>
  </w:style>
  <w:style w:type="paragraph" w:styleId="Piedepgina">
    <w:name w:val="footer"/>
    <w:basedOn w:val="Normal"/>
    <w:link w:val="PiedepginaCar"/>
    <w:uiPriority w:val="99"/>
    <w:unhideWhenUsed/>
    <w:rsid w:val="00DF40BE"/>
    <w:pPr>
      <w:tabs>
        <w:tab w:val="center" w:pos="4536"/>
        <w:tab w:val="right" w:pos="9072"/>
      </w:tabs>
    </w:pPr>
  </w:style>
  <w:style w:type="character" w:customStyle="1" w:styleId="PiedepginaCar">
    <w:name w:val="Pie de página Car"/>
    <w:basedOn w:val="Fuentedeprrafopredeter"/>
    <w:link w:val="Piedepgina"/>
    <w:uiPriority w:val="99"/>
    <w:rsid w:val="00DF40BE"/>
    <w:rPr>
      <w:rFonts w:eastAsiaTheme="minorEastAsia"/>
      <w:lang w:val="de-CH" w:eastAsia="de-DE"/>
    </w:rPr>
  </w:style>
  <w:style w:type="character" w:styleId="Nmerodepgina">
    <w:name w:val="page number"/>
    <w:basedOn w:val="Fuentedeprrafopredeter"/>
    <w:uiPriority w:val="99"/>
    <w:semiHidden/>
    <w:unhideWhenUsed/>
    <w:rsid w:val="00DF40BE"/>
  </w:style>
  <w:style w:type="paragraph" w:styleId="Textodeglobo">
    <w:name w:val="Balloon Text"/>
    <w:basedOn w:val="Normal"/>
    <w:link w:val="TextodegloboCar"/>
    <w:uiPriority w:val="99"/>
    <w:semiHidden/>
    <w:unhideWhenUsed/>
    <w:rsid w:val="00C377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7785"/>
    <w:rPr>
      <w:rFonts w:ascii="Lucida Grande" w:eastAsiaTheme="minorEastAsia" w:hAnsi="Lucida Grande" w:cs="Lucida Grande"/>
      <w:sz w:val="18"/>
      <w:szCs w:val="18"/>
      <w:lang w:val="de-CH" w:eastAsia="de-DE"/>
    </w:rPr>
  </w:style>
  <w:style w:type="table" w:styleId="Tablaconcuadrcula">
    <w:name w:val="Table Grid"/>
    <w:basedOn w:val="Tablanormal"/>
    <w:uiPriority w:val="59"/>
    <w:rsid w:val="008569AF"/>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3946</Words>
  <Characters>22459</Characters>
  <Application>Microsoft Macintosh Word</Application>
  <DocSecurity>0</DocSecurity>
  <Lines>380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Walter</dc:creator>
  <cp:keywords/>
  <dc:description/>
  <cp:lastModifiedBy>IGNACIO JURADO NEBREDA</cp:lastModifiedBy>
  <cp:revision>14</cp:revision>
  <dcterms:created xsi:type="dcterms:W3CDTF">2017-07-14T09:33:00Z</dcterms:created>
  <dcterms:modified xsi:type="dcterms:W3CDTF">2017-07-20T09:07:00Z</dcterms:modified>
</cp:coreProperties>
</file>