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27F3" w14:textId="74AF7226" w:rsidR="00864796" w:rsidRPr="00FB1B8A" w:rsidRDefault="00441BB0" w:rsidP="0086479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FB1B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Online Appendix</w:t>
      </w:r>
    </w:p>
    <w:p w14:paraId="51B038AC" w14:textId="57AFBA6C" w:rsidR="00B11514" w:rsidRPr="00750182" w:rsidRDefault="00955512" w:rsidP="00441B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0182">
        <w:rPr>
          <w:rFonts w:ascii="Times New Roman" w:hAnsi="Times New Roman" w:cs="Times New Roman"/>
          <w:sz w:val="24"/>
          <w:szCs w:val="24"/>
        </w:rPr>
        <w:t>E</w:t>
      </w:r>
      <w:r w:rsidR="00152856" w:rsidRPr="00750182">
        <w:rPr>
          <w:rFonts w:ascii="Times New Roman" w:hAnsi="Times New Roman" w:cs="Times New Roman"/>
          <w:sz w:val="24"/>
          <w:szCs w:val="24"/>
        </w:rPr>
        <w:t>ndogeneity</w:t>
      </w:r>
      <w:proofErr w:type="spellEnd"/>
      <w:r w:rsidR="00152856" w:rsidRPr="00750182">
        <w:rPr>
          <w:rFonts w:ascii="Times New Roman" w:hAnsi="Times New Roman" w:cs="Times New Roman"/>
          <w:sz w:val="24"/>
          <w:szCs w:val="24"/>
        </w:rPr>
        <w:t xml:space="preserve"> between imports and AD filings is </w:t>
      </w:r>
      <w:r w:rsidR="00B11514" w:rsidRPr="00750182">
        <w:rPr>
          <w:rFonts w:ascii="Times New Roman" w:hAnsi="Times New Roman" w:cs="Times New Roman"/>
          <w:sz w:val="24"/>
          <w:szCs w:val="24"/>
        </w:rPr>
        <w:t xml:space="preserve">a theoretical possibility, and is </w:t>
      </w:r>
      <w:r w:rsidR="00152856" w:rsidRPr="00750182">
        <w:rPr>
          <w:rFonts w:ascii="Times New Roman" w:hAnsi="Times New Roman" w:cs="Times New Roman"/>
          <w:sz w:val="24"/>
          <w:szCs w:val="24"/>
        </w:rPr>
        <w:t xml:space="preserve">potentially a difficult </w:t>
      </w:r>
      <w:r w:rsidR="00374F90">
        <w:rPr>
          <w:rFonts w:ascii="Times New Roman" w:hAnsi="Times New Roman" w:cs="Times New Roman"/>
          <w:sz w:val="24"/>
          <w:szCs w:val="24"/>
        </w:rPr>
        <w:t xml:space="preserve">empirical </w:t>
      </w:r>
      <w:r w:rsidR="00152856" w:rsidRPr="00750182">
        <w:rPr>
          <w:rFonts w:ascii="Times New Roman" w:hAnsi="Times New Roman" w:cs="Times New Roman"/>
          <w:sz w:val="24"/>
          <w:szCs w:val="24"/>
        </w:rPr>
        <w:t xml:space="preserve">problem. Instrumenting </w:t>
      </w:r>
      <w:r w:rsidR="0069049C" w:rsidRPr="00750182">
        <w:rPr>
          <w:rFonts w:ascii="Times New Roman" w:hAnsi="Times New Roman" w:cs="Times New Roman"/>
          <w:sz w:val="24"/>
          <w:szCs w:val="24"/>
        </w:rPr>
        <w:t xml:space="preserve">highly </w:t>
      </w:r>
      <w:r w:rsidR="00152856" w:rsidRPr="00750182">
        <w:rPr>
          <w:rFonts w:ascii="Times New Roman" w:hAnsi="Times New Roman" w:cs="Times New Roman"/>
          <w:sz w:val="24"/>
          <w:szCs w:val="24"/>
        </w:rPr>
        <w:t xml:space="preserve">over-dispersed data </w:t>
      </w:r>
      <w:r w:rsidR="000D2DAF" w:rsidRPr="00750182">
        <w:rPr>
          <w:rFonts w:ascii="Times New Roman" w:hAnsi="Times New Roman" w:cs="Times New Roman"/>
          <w:sz w:val="24"/>
          <w:szCs w:val="24"/>
        </w:rPr>
        <w:t xml:space="preserve">with zero-inflated </w:t>
      </w:r>
      <w:r w:rsidR="00760FBC">
        <w:rPr>
          <w:rFonts w:ascii="Times New Roman" w:hAnsi="Times New Roman" w:cs="Times New Roman"/>
          <w:sz w:val="24"/>
          <w:szCs w:val="24"/>
        </w:rPr>
        <w:t xml:space="preserve">negative binomial </w:t>
      </w:r>
      <w:r w:rsidR="000D2DAF" w:rsidRPr="00750182">
        <w:rPr>
          <w:rFonts w:ascii="Times New Roman" w:hAnsi="Times New Roman" w:cs="Times New Roman"/>
          <w:sz w:val="24"/>
          <w:szCs w:val="24"/>
        </w:rPr>
        <w:t xml:space="preserve">models </w:t>
      </w:r>
      <w:r w:rsidR="00152856" w:rsidRPr="00750182">
        <w:rPr>
          <w:rFonts w:ascii="Times New Roman" w:hAnsi="Times New Roman" w:cs="Times New Roman"/>
          <w:sz w:val="24"/>
          <w:szCs w:val="24"/>
        </w:rPr>
        <w:t xml:space="preserve">is technically very challenging and </w:t>
      </w:r>
      <w:r w:rsidR="00441BB0" w:rsidRPr="00750182">
        <w:rPr>
          <w:rFonts w:ascii="Times New Roman" w:hAnsi="Times New Roman" w:cs="Times New Roman"/>
          <w:sz w:val="24"/>
          <w:szCs w:val="24"/>
        </w:rPr>
        <w:t>somewhat</w:t>
      </w:r>
      <w:r w:rsidR="00152856" w:rsidRPr="00750182">
        <w:rPr>
          <w:rFonts w:ascii="Times New Roman" w:hAnsi="Times New Roman" w:cs="Times New Roman"/>
          <w:sz w:val="24"/>
          <w:szCs w:val="24"/>
        </w:rPr>
        <w:t xml:space="preserve"> beyond the current econometric frontier.  </w:t>
      </w:r>
    </w:p>
    <w:p w14:paraId="53DE056B" w14:textId="61509E16" w:rsidR="00FE1095" w:rsidRPr="00750182" w:rsidRDefault="00441BB0" w:rsidP="00441B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0182">
        <w:rPr>
          <w:rFonts w:ascii="Times New Roman" w:hAnsi="Times New Roman" w:cs="Times New Roman"/>
          <w:sz w:val="24"/>
          <w:szCs w:val="24"/>
        </w:rPr>
        <w:t>In our case, t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he </w:t>
      </w:r>
      <w:r w:rsidR="00EE5FE0" w:rsidRPr="00750182">
        <w:rPr>
          <w:rFonts w:ascii="Times New Roman" w:hAnsi="Times New Roman" w:cs="Times New Roman"/>
          <w:sz w:val="24"/>
          <w:szCs w:val="24"/>
        </w:rPr>
        <w:t xml:space="preserve">AD filings 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data are very </w:t>
      </w:r>
      <w:proofErr w:type="spellStart"/>
      <w:r w:rsidR="00A53819" w:rsidRPr="00750182">
        <w:rPr>
          <w:rFonts w:ascii="Times New Roman" w:hAnsi="Times New Roman" w:cs="Times New Roman"/>
          <w:sz w:val="24"/>
          <w:szCs w:val="24"/>
        </w:rPr>
        <w:t>overdispersed</w:t>
      </w:r>
      <w:proofErr w:type="spellEnd"/>
      <w:r w:rsidR="00A53819" w:rsidRPr="00750182">
        <w:rPr>
          <w:rFonts w:ascii="Times New Roman" w:hAnsi="Times New Roman" w:cs="Times New Roman"/>
          <w:sz w:val="24"/>
          <w:szCs w:val="24"/>
        </w:rPr>
        <w:t xml:space="preserve"> count data (i.e., zeroes dominate the count)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.  In </w:t>
      </w:r>
      <w:proofErr w:type="spellStart"/>
      <w:r w:rsidR="00BA3662" w:rsidRPr="00750182">
        <w:rPr>
          <w:rFonts w:ascii="Times New Roman" w:hAnsi="Times New Roman" w:cs="Times New Roman"/>
          <w:sz w:val="24"/>
          <w:szCs w:val="24"/>
        </w:rPr>
        <w:t>overdispersed</w:t>
      </w:r>
      <w:proofErr w:type="spellEnd"/>
      <w:r w:rsidR="00BA3662" w:rsidRPr="00750182">
        <w:rPr>
          <w:rFonts w:ascii="Times New Roman" w:hAnsi="Times New Roman" w:cs="Times New Roman"/>
          <w:sz w:val="24"/>
          <w:szCs w:val="24"/>
        </w:rPr>
        <w:t xml:space="preserve"> count data</w:t>
      </w:r>
      <w:r w:rsidR="00A53819" w:rsidRPr="00750182">
        <w:rPr>
          <w:rFonts w:ascii="Times New Roman" w:hAnsi="Times New Roman" w:cs="Times New Roman"/>
          <w:sz w:val="24"/>
          <w:szCs w:val="24"/>
        </w:rPr>
        <w:t>, we face a t</w:t>
      </w:r>
      <w:r w:rsidR="00FE1095" w:rsidRPr="00750182">
        <w:rPr>
          <w:rFonts w:ascii="Times New Roman" w:hAnsi="Times New Roman" w:cs="Times New Roman"/>
          <w:sz w:val="24"/>
          <w:szCs w:val="24"/>
        </w:rPr>
        <w:t xml:space="preserve">radeoff between instrumenting 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for potentially endogenous variables </w:t>
      </w:r>
      <w:r w:rsidR="00FE1095" w:rsidRPr="00750182">
        <w:rPr>
          <w:rFonts w:ascii="Times New Roman" w:hAnsi="Times New Roman" w:cs="Times New Roman"/>
          <w:sz w:val="24"/>
          <w:szCs w:val="24"/>
        </w:rPr>
        <w:t>and accounting for excess zeroes in the model.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  </w:t>
      </w:r>
      <w:r w:rsidR="00BA3662" w:rsidRPr="00750182">
        <w:rPr>
          <w:rFonts w:ascii="Times New Roman" w:hAnsi="Times New Roman" w:cs="Times New Roman"/>
          <w:sz w:val="24"/>
          <w:szCs w:val="24"/>
        </w:rPr>
        <w:t>In z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ero inflated </w:t>
      </w:r>
      <w:r w:rsidR="00EE5FE0" w:rsidRPr="00750182">
        <w:rPr>
          <w:rFonts w:ascii="Times New Roman" w:hAnsi="Times New Roman" w:cs="Times New Roman"/>
          <w:sz w:val="24"/>
          <w:szCs w:val="24"/>
        </w:rPr>
        <w:t xml:space="preserve">negative </w:t>
      </w:r>
      <w:r w:rsidR="00BA3662" w:rsidRPr="00750182">
        <w:rPr>
          <w:rFonts w:ascii="Times New Roman" w:hAnsi="Times New Roman" w:cs="Times New Roman"/>
          <w:sz w:val="24"/>
          <w:szCs w:val="24"/>
        </w:rPr>
        <w:t>binominal</w:t>
      </w:r>
      <w:r w:rsidR="00374F90">
        <w:rPr>
          <w:rFonts w:ascii="Times New Roman" w:hAnsi="Times New Roman" w:cs="Times New Roman"/>
          <w:sz w:val="24"/>
          <w:szCs w:val="24"/>
        </w:rPr>
        <w:t xml:space="preserve"> (ZINB) </w:t>
      </w:r>
      <w:r w:rsidR="00BA3662" w:rsidRPr="00750182">
        <w:rPr>
          <w:rFonts w:ascii="Times New Roman" w:hAnsi="Times New Roman" w:cs="Times New Roman"/>
          <w:sz w:val="24"/>
          <w:szCs w:val="24"/>
        </w:rPr>
        <w:t>models,</w:t>
      </w:r>
      <w:r w:rsidR="00EC5361" w:rsidRPr="00750182">
        <w:rPr>
          <w:rFonts w:ascii="Times New Roman" w:hAnsi="Times New Roman" w:cs="Times New Roman"/>
          <w:sz w:val="24"/>
          <w:szCs w:val="24"/>
        </w:rPr>
        <w:t xml:space="preserve"> which we show are most appropriate for our data,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 the 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first stage 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is used to account for </w:t>
      </w:r>
      <w:r w:rsidR="00EE5FE0" w:rsidRPr="00750182">
        <w:rPr>
          <w:rFonts w:ascii="Times New Roman" w:hAnsi="Times New Roman" w:cs="Times New Roman"/>
          <w:sz w:val="24"/>
          <w:szCs w:val="24"/>
        </w:rPr>
        <w:t xml:space="preserve">the </w:t>
      </w:r>
      <w:r w:rsidR="00CE277A" w:rsidRPr="00750182">
        <w:rPr>
          <w:rFonts w:ascii="Times New Roman" w:hAnsi="Times New Roman" w:cs="Times New Roman"/>
          <w:sz w:val="24"/>
          <w:szCs w:val="24"/>
        </w:rPr>
        <w:t>excess zero</w:t>
      </w:r>
      <w:r w:rsidR="00BA3662" w:rsidRPr="00750182">
        <w:rPr>
          <w:rFonts w:ascii="Times New Roman" w:hAnsi="Times New Roman" w:cs="Times New Roman"/>
          <w:sz w:val="24"/>
          <w:szCs w:val="24"/>
        </w:rPr>
        <w:t>e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s problem, and excess zeroes dominate these data.  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Currently, to our knowledge, there are no </w:t>
      </w:r>
      <w:r w:rsidR="00CE277A" w:rsidRPr="00750182">
        <w:rPr>
          <w:rFonts w:ascii="Times New Roman" w:hAnsi="Times New Roman" w:cs="Times New Roman"/>
          <w:sz w:val="24"/>
          <w:szCs w:val="24"/>
        </w:rPr>
        <w:t>I</w:t>
      </w:r>
      <w:r w:rsidR="00750182">
        <w:rPr>
          <w:rFonts w:ascii="Times New Roman" w:hAnsi="Times New Roman" w:cs="Times New Roman"/>
          <w:sz w:val="24"/>
          <w:szCs w:val="24"/>
        </w:rPr>
        <w:t xml:space="preserve">nstrumental </w:t>
      </w:r>
      <w:r w:rsidR="00CE277A" w:rsidRPr="00750182">
        <w:rPr>
          <w:rFonts w:ascii="Times New Roman" w:hAnsi="Times New Roman" w:cs="Times New Roman"/>
          <w:sz w:val="24"/>
          <w:szCs w:val="24"/>
        </w:rPr>
        <w:t>V</w:t>
      </w:r>
      <w:r w:rsidR="00750182">
        <w:rPr>
          <w:rFonts w:ascii="Times New Roman" w:hAnsi="Times New Roman" w:cs="Times New Roman"/>
          <w:sz w:val="24"/>
          <w:szCs w:val="24"/>
        </w:rPr>
        <w:t>ariable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 zero inflated</w:t>
      </w:r>
      <w:r w:rsidR="003D5EB9">
        <w:rPr>
          <w:rFonts w:ascii="Times New Roman" w:hAnsi="Times New Roman" w:cs="Times New Roman"/>
          <w:sz w:val="24"/>
          <w:szCs w:val="24"/>
        </w:rPr>
        <w:t xml:space="preserve"> negative binomial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 models.</w:t>
      </w:r>
    </w:p>
    <w:p w14:paraId="46853ACF" w14:textId="6DCAA7F6" w:rsidR="00441BB0" w:rsidRPr="00750182" w:rsidRDefault="00441BB0" w:rsidP="00441B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0182">
        <w:rPr>
          <w:rFonts w:ascii="Times New Roman" w:hAnsi="Times New Roman" w:cs="Times New Roman"/>
          <w:sz w:val="24"/>
          <w:szCs w:val="24"/>
        </w:rPr>
        <w:t>Two alternat</w:t>
      </w:r>
      <w:r w:rsidR="00750182">
        <w:rPr>
          <w:rFonts w:ascii="Times New Roman" w:hAnsi="Times New Roman" w:cs="Times New Roman"/>
          <w:sz w:val="24"/>
          <w:szCs w:val="24"/>
        </w:rPr>
        <w:t xml:space="preserve">ive </w:t>
      </w:r>
      <w:r w:rsidR="00760FBC">
        <w:rPr>
          <w:rFonts w:ascii="Times New Roman" w:hAnsi="Times New Roman" w:cs="Times New Roman"/>
          <w:sz w:val="24"/>
          <w:szCs w:val="24"/>
        </w:rPr>
        <w:t>instrumental variables (IV)</w:t>
      </w:r>
      <w:r w:rsidR="00750182">
        <w:rPr>
          <w:rFonts w:ascii="Times New Roman" w:hAnsi="Times New Roman" w:cs="Times New Roman"/>
          <w:sz w:val="24"/>
          <w:szCs w:val="24"/>
        </w:rPr>
        <w:t xml:space="preserve"> strategies are available.  T</w:t>
      </w:r>
      <w:r w:rsidRPr="00750182">
        <w:rPr>
          <w:rFonts w:ascii="Times New Roman" w:hAnsi="Times New Roman" w:cs="Times New Roman"/>
          <w:sz w:val="24"/>
          <w:szCs w:val="24"/>
        </w:rPr>
        <w:t>he control function IV Poisson procedure</w:t>
      </w:r>
      <w:r w:rsidR="00750182" w:rsidRPr="00750182">
        <w:rPr>
          <w:rFonts w:ascii="Times New Roman" w:hAnsi="Times New Roman" w:cs="Times New Roman"/>
          <w:sz w:val="24"/>
          <w:szCs w:val="24"/>
        </w:rPr>
        <w:t xml:space="preserve"> </w:t>
      </w:r>
      <w:r w:rsidRPr="00750182">
        <w:rPr>
          <w:rFonts w:ascii="Times New Roman" w:hAnsi="Times New Roman" w:cs="Times New Roman"/>
          <w:sz w:val="24"/>
          <w:szCs w:val="24"/>
        </w:rPr>
        <w:t>is outlined in Cameron and Trivedi (</w:t>
      </w:r>
      <w:r w:rsidR="00E11BFB">
        <w:rPr>
          <w:rFonts w:ascii="Times New Roman" w:hAnsi="Times New Roman" w:cs="Times New Roman"/>
          <w:sz w:val="24"/>
          <w:szCs w:val="24"/>
        </w:rPr>
        <w:t xml:space="preserve">2013; </w:t>
      </w:r>
      <w:r w:rsidRPr="00750182">
        <w:rPr>
          <w:rFonts w:ascii="Times New Roman" w:hAnsi="Times New Roman" w:cs="Times New Roman"/>
          <w:sz w:val="24"/>
          <w:szCs w:val="24"/>
        </w:rPr>
        <w:t>2010, 607-610)</w:t>
      </w:r>
      <w:r w:rsidR="00750182" w:rsidRPr="00750182">
        <w:rPr>
          <w:rFonts w:ascii="Times New Roman" w:hAnsi="Times New Roman" w:cs="Times New Roman"/>
          <w:sz w:val="24"/>
          <w:szCs w:val="24"/>
        </w:rPr>
        <w:t xml:space="preserve">, and was due originally to </w:t>
      </w:r>
      <w:proofErr w:type="spellStart"/>
      <w:r w:rsidR="00750182" w:rsidRPr="00750182">
        <w:rPr>
          <w:rFonts w:ascii="Times New Roman" w:eastAsia="Times New Roman" w:hAnsi="Times New Roman" w:cs="Times New Roman"/>
          <w:sz w:val="24"/>
          <w:szCs w:val="24"/>
        </w:rPr>
        <w:t>Windmeijer</w:t>
      </w:r>
      <w:proofErr w:type="spellEnd"/>
      <w:r w:rsidR="0075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BF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50182" w:rsidRPr="00750182">
        <w:rPr>
          <w:rFonts w:ascii="Times New Roman" w:eastAsia="Times New Roman" w:hAnsi="Times New Roman" w:cs="Times New Roman"/>
          <w:sz w:val="24"/>
          <w:szCs w:val="24"/>
        </w:rPr>
        <w:t>Santos Silva</w:t>
      </w:r>
      <w:r w:rsidR="007501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50182" w:rsidRPr="00750182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7501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0182">
        <w:rPr>
          <w:rFonts w:ascii="Times New Roman" w:hAnsi="Times New Roman" w:cs="Times New Roman"/>
          <w:sz w:val="24"/>
          <w:szCs w:val="24"/>
        </w:rPr>
        <w:t xml:space="preserve">. </w:t>
      </w:r>
      <w:r w:rsidR="00750182">
        <w:rPr>
          <w:rFonts w:ascii="Times New Roman" w:hAnsi="Times New Roman" w:cs="Times New Roman"/>
          <w:sz w:val="24"/>
          <w:szCs w:val="24"/>
        </w:rPr>
        <w:t>The commands can be implemented in STATA 13 (</w:t>
      </w:r>
      <w:r w:rsidR="003D5EB9"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="00750182">
        <w:rPr>
          <w:rFonts w:ascii="Times New Roman" w:hAnsi="Times New Roman" w:cs="Times New Roman"/>
          <w:sz w:val="24"/>
          <w:szCs w:val="24"/>
        </w:rPr>
        <w:t>ivpoisson</w:t>
      </w:r>
      <w:proofErr w:type="spellEnd"/>
      <w:r w:rsidR="003D5EB9">
        <w:rPr>
          <w:rFonts w:ascii="Times New Roman" w:hAnsi="Times New Roman" w:cs="Times New Roman"/>
          <w:sz w:val="24"/>
          <w:szCs w:val="24"/>
        </w:rPr>
        <w:t>”</w:t>
      </w:r>
      <w:r w:rsidR="00750182">
        <w:rPr>
          <w:rFonts w:ascii="Times New Roman" w:hAnsi="Times New Roman" w:cs="Times New Roman"/>
          <w:sz w:val="24"/>
          <w:szCs w:val="24"/>
        </w:rPr>
        <w:t xml:space="preserve"> command).</w:t>
      </w:r>
      <w:r w:rsidR="003D5EB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50182">
        <w:rPr>
          <w:rFonts w:ascii="Times New Roman" w:hAnsi="Times New Roman" w:cs="Times New Roman"/>
          <w:sz w:val="24"/>
          <w:szCs w:val="24"/>
        </w:rPr>
        <w:t xml:space="preserve"> </w:t>
      </w:r>
      <w:r w:rsidRPr="00750182">
        <w:rPr>
          <w:rFonts w:ascii="Times New Roman" w:hAnsi="Times New Roman" w:cs="Times New Roman"/>
          <w:sz w:val="24"/>
          <w:szCs w:val="24"/>
        </w:rPr>
        <w:t xml:space="preserve">The IV Poisson procedure contains a test for </w:t>
      </w:r>
      <w:proofErr w:type="spellStart"/>
      <w:r w:rsidRPr="00750182">
        <w:rPr>
          <w:rFonts w:ascii="Times New Roman" w:hAnsi="Times New Roman" w:cs="Times New Roman"/>
          <w:sz w:val="24"/>
          <w:szCs w:val="24"/>
        </w:rPr>
        <w:t>exogeneity</w:t>
      </w:r>
      <w:proofErr w:type="spellEnd"/>
      <w:r w:rsidRPr="0075018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50182">
        <w:rPr>
          <w:rFonts w:ascii="Times New Roman" w:hAnsi="Times New Roman" w:cs="Times New Roman"/>
          <w:sz w:val="24"/>
          <w:szCs w:val="24"/>
        </w:rPr>
        <w:t>regressors</w:t>
      </w:r>
      <w:proofErr w:type="spellEnd"/>
      <w:r w:rsidRPr="00750182">
        <w:rPr>
          <w:rFonts w:ascii="Times New Roman" w:hAnsi="Times New Roman" w:cs="Times New Roman"/>
          <w:sz w:val="24"/>
          <w:szCs w:val="24"/>
        </w:rPr>
        <w:t xml:space="preserve">.  The IV Poisson procedure, however, has difficulty in estimating models with more than two plausibly endogenous variables.  </w:t>
      </w:r>
    </w:p>
    <w:p w14:paraId="002E04C0" w14:textId="291D3476" w:rsidR="00441BB0" w:rsidRPr="00750182" w:rsidRDefault="00750182" w:rsidP="00441B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1BB0" w:rsidRPr="00750182">
        <w:rPr>
          <w:rFonts w:ascii="Times New Roman" w:hAnsi="Times New Roman" w:cs="Times New Roman"/>
          <w:sz w:val="24"/>
          <w:szCs w:val="24"/>
        </w:rPr>
        <w:t>e truncate the sample for countries with sustained undervaluation</w:t>
      </w:r>
      <w:r w:rsidR="00441BB0" w:rsidRPr="0075018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, and test for the </w:t>
      </w:r>
      <w:proofErr w:type="spellStart"/>
      <w:r w:rsidR="00441BB0" w:rsidRPr="00750182">
        <w:rPr>
          <w:rFonts w:ascii="Times New Roman" w:hAnsi="Times New Roman" w:cs="Times New Roman"/>
          <w:sz w:val="24"/>
          <w:szCs w:val="24"/>
        </w:rPr>
        <w:t>exogeneity</w:t>
      </w:r>
      <w:proofErr w:type="spellEnd"/>
      <w:r w:rsidR="00441BB0" w:rsidRPr="00750182">
        <w:rPr>
          <w:rFonts w:ascii="Times New Roman" w:hAnsi="Times New Roman" w:cs="Times New Roman"/>
          <w:sz w:val="24"/>
          <w:szCs w:val="24"/>
        </w:rPr>
        <w:t xml:space="preserve"> of arm’s length and related party imports to trade disputes.  We find valid instruments for both types of imports</w:t>
      </w:r>
      <w:r>
        <w:rPr>
          <w:rFonts w:ascii="Times New Roman" w:hAnsi="Times New Roman" w:cs="Times New Roman"/>
          <w:sz w:val="24"/>
          <w:szCs w:val="24"/>
        </w:rPr>
        <w:t xml:space="preserve"> (details available from the author)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.  In </w:t>
      </w:r>
      <w:r>
        <w:rPr>
          <w:rFonts w:ascii="Times New Roman" w:hAnsi="Times New Roman" w:cs="Times New Roman"/>
          <w:sz w:val="24"/>
          <w:szCs w:val="24"/>
        </w:rPr>
        <w:t>the online appendix Table below (model 2)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, we report the results.  The test for </w:t>
      </w:r>
      <w:proofErr w:type="spellStart"/>
      <w:r w:rsidR="00441BB0" w:rsidRPr="00750182">
        <w:rPr>
          <w:rFonts w:ascii="Times New Roman" w:hAnsi="Times New Roman" w:cs="Times New Roman"/>
          <w:sz w:val="24"/>
          <w:szCs w:val="24"/>
        </w:rPr>
        <w:t>exogeneity</w:t>
      </w:r>
      <w:proofErr w:type="spellEnd"/>
      <w:r w:rsidR="00441BB0" w:rsidRPr="00750182">
        <w:rPr>
          <w:rFonts w:ascii="Times New Roman" w:hAnsi="Times New Roman" w:cs="Times New Roman"/>
          <w:sz w:val="24"/>
          <w:szCs w:val="24"/>
        </w:rPr>
        <w:t xml:space="preserve"> fails to reject the null hypothesis of </w:t>
      </w:r>
      <w:proofErr w:type="spellStart"/>
      <w:r w:rsidR="00441BB0" w:rsidRPr="00750182">
        <w:rPr>
          <w:rFonts w:ascii="Times New Roman" w:hAnsi="Times New Roman" w:cs="Times New Roman"/>
          <w:sz w:val="24"/>
          <w:szCs w:val="24"/>
        </w:rPr>
        <w:lastRenderedPageBreak/>
        <w:t>exogeneity</w:t>
      </w:r>
      <w:proofErr w:type="spellEnd"/>
      <w:r w:rsidR="00441BB0" w:rsidRPr="00750182">
        <w:rPr>
          <w:rFonts w:ascii="Times New Roman" w:hAnsi="Times New Roman" w:cs="Times New Roman"/>
          <w:sz w:val="24"/>
          <w:szCs w:val="24"/>
        </w:rPr>
        <w:t xml:space="preserve">, which indicates that trade is plausibly exogenous to filings. The results in </w:t>
      </w:r>
      <w:r>
        <w:rPr>
          <w:rFonts w:ascii="Times New Roman" w:hAnsi="Times New Roman" w:cs="Times New Roman"/>
          <w:sz w:val="24"/>
          <w:szCs w:val="24"/>
        </w:rPr>
        <w:t>model 2, moreover,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 shows that arm’s length and related party coefficient estimates have similar signs and levels of statistical significance as in the ZINB model, though the coefficient estimates are much larger. </w:t>
      </w:r>
    </w:p>
    <w:p w14:paraId="37A7F8F9" w14:textId="7E44A49F" w:rsidR="00441BB0" w:rsidRPr="00750182" w:rsidRDefault="00750182" w:rsidP="00441B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41BB0" w:rsidRPr="00750182">
        <w:rPr>
          <w:rFonts w:ascii="Times New Roman" w:hAnsi="Times New Roman" w:cs="Times New Roman"/>
          <w:sz w:val="24"/>
          <w:szCs w:val="24"/>
        </w:rPr>
        <w:t>he zero-inflated negative binomial models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 have much better estimation properties than the identical IV Poisson models on identical samples.  The sum of squared errors for the ZINB models are 20% the size of the SSEs for the IV Poisson models.  For comparison purposes, the full ZINB models with all relevant </w:t>
      </w:r>
      <w:proofErr w:type="spellStart"/>
      <w:r w:rsidR="00441BB0" w:rsidRPr="00750182">
        <w:rPr>
          <w:rFonts w:ascii="Times New Roman" w:hAnsi="Times New Roman" w:cs="Times New Roman"/>
          <w:sz w:val="24"/>
          <w:szCs w:val="24"/>
        </w:rPr>
        <w:t>regressors</w:t>
      </w:r>
      <w:proofErr w:type="spellEnd"/>
      <w:r w:rsidR="00441BB0" w:rsidRPr="00750182">
        <w:rPr>
          <w:rFonts w:ascii="Times New Roman" w:hAnsi="Times New Roman" w:cs="Times New Roman"/>
          <w:sz w:val="24"/>
          <w:szCs w:val="24"/>
        </w:rPr>
        <w:t xml:space="preserve"> for the undervalued sample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 reported below (</w:t>
      </w:r>
      <w:r>
        <w:rPr>
          <w:rFonts w:ascii="Times New Roman" w:hAnsi="Times New Roman" w:cs="Times New Roman"/>
          <w:sz w:val="24"/>
          <w:szCs w:val="24"/>
        </w:rPr>
        <w:t>online appendix Table models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 3 and 4).</w:t>
      </w:r>
      <w:r w:rsidR="00760FBC">
        <w:rPr>
          <w:rFonts w:ascii="Times New Roman" w:hAnsi="Times New Roman" w:cs="Times New Roman"/>
          <w:sz w:val="24"/>
          <w:szCs w:val="24"/>
        </w:rPr>
        <w:t xml:space="preserve">  The signs and levels of statistical significance of the ZINB parameter estimates on the truncated undervaluation samples are close to those reported in the paper.</w:t>
      </w:r>
    </w:p>
    <w:p w14:paraId="438D5DB2" w14:textId="309D1CC4" w:rsidR="00BA3662" w:rsidRPr="00750182" w:rsidRDefault="00750182" w:rsidP="00441B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alternative estimation strategy is to use </w:t>
      </w:r>
      <w:r w:rsidR="00200A1C" w:rsidRPr="00750182">
        <w:rPr>
          <w:rFonts w:ascii="Times New Roman" w:hAnsi="Times New Roman" w:cs="Times New Roman"/>
          <w:sz w:val="24"/>
          <w:szCs w:val="24"/>
        </w:rPr>
        <w:t>G</w:t>
      </w:r>
      <w:r w:rsidR="000B354F" w:rsidRPr="00750182">
        <w:rPr>
          <w:rFonts w:ascii="Times New Roman" w:hAnsi="Times New Roman" w:cs="Times New Roman"/>
          <w:sz w:val="24"/>
          <w:szCs w:val="24"/>
        </w:rPr>
        <w:t>MM-system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 estimations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 allow for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 the </w:t>
      </w:r>
      <w:r w:rsidR="00200A1C" w:rsidRPr="00750182">
        <w:rPr>
          <w:rFonts w:ascii="Times New Roman" w:hAnsi="Times New Roman" w:cs="Times New Roman"/>
          <w:sz w:val="24"/>
          <w:szCs w:val="24"/>
        </w:rPr>
        <w:t>instrumenting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 of multiple endogenous </w:t>
      </w:r>
      <w:proofErr w:type="spellStart"/>
      <w:r w:rsidR="00CE277A" w:rsidRPr="00750182">
        <w:rPr>
          <w:rFonts w:ascii="Times New Roman" w:hAnsi="Times New Roman" w:cs="Times New Roman"/>
          <w:sz w:val="24"/>
          <w:szCs w:val="24"/>
        </w:rPr>
        <w:t>regressors</w:t>
      </w:r>
      <w:proofErr w:type="spellEnd"/>
      <w:r w:rsidR="00CE277A" w:rsidRPr="00750182">
        <w:rPr>
          <w:rFonts w:ascii="Times New Roman" w:hAnsi="Times New Roman" w:cs="Times New Roman"/>
          <w:sz w:val="24"/>
          <w:szCs w:val="24"/>
        </w:rPr>
        <w:t>.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  In the reviewers’ table below, model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 is a GMM-system (two step estimator).  The estimates are “d</w:t>
      </w:r>
      <w:r w:rsidR="00CE277A" w:rsidRPr="00750182">
        <w:rPr>
          <w:rFonts w:ascii="Times New Roman" w:hAnsi="Times New Roman" w:cs="Times New Roman"/>
          <w:sz w:val="24"/>
          <w:szCs w:val="24"/>
        </w:rPr>
        <w:t>ifference transformed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.”  The </w:t>
      </w:r>
      <w:proofErr w:type="spellStart"/>
      <w:r w:rsidR="00BA3662" w:rsidRPr="00750182">
        <w:rPr>
          <w:rFonts w:ascii="Times New Roman" w:hAnsi="Times New Roman" w:cs="Times New Roman"/>
          <w:sz w:val="24"/>
          <w:szCs w:val="24"/>
        </w:rPr>
        <w:t>Sargan</w:t>
      </w:r>
      <w:proofErr w:type="spellEnd"/>
      <w:r w:rsidR="00BA3662" w:rsidRPr="00750182">
        <w:rPr>
          <w:rFonts w:ascii="Times New Roman" w:hAnsi="Times New Roman" w:cs="Times New Roman"/>
          <w:sz w:val="24"/>
          <w:szCs w:val="24"/>
        </w:rPr>
        <w:t xml:space="preserve"> statistic suggests that we have </w:t>
      </w:r>
      <w:r w:rsidR="00CE277A" w:rsidRPr="00750182">
        <w:rPr>
          <w:rFonts w:ascii="Times New Roman" w:hAnsi="Times New Roman" w:cs="Times New Roman"/>
          <w:sz w:val="24"/>
          <w:szCs w:val="24"/>
        </w:rPr>
        <w:t>v</w:t>
      </w:r>
      <w:r w:rsidR="00914BA4" w:rsidRPr="00750182">
        <w:rPr>
          <w:rFonts w:ascii="Times New Roman" w:hAnsi="Times New Roman" w:cs="Times New Roman"/>
          <w:sz w:val="24"/>
          <w:szCs w:val="24"/>
        </w:rPr>
        <w:t>alid instruments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, and the </w:t>
      </w:r>
      <w:r w:rsidR="00914BA4" w:rsidRPr="00750182">
        <w:rPr>
          <w:rFonts w:ascii="Times New Roman" w:hAnsi="Times New Roman" w:cs="Times New Roman"/>
          <w:sz w:val="24"/>
          <w:szCs w:val="24"/>
        </w:rPr>
        <w:t xml:space="preserve">AB1 and AB2 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tests jointly </w:t>
      </w:r>
      <w:r w:rsidR="00914BA4" w:rsidRPr="00750182">
        <w:rPr>
          <w:rFonts w:ascii="Times New Roman" w:hAnsi="Times New Roman" w:cs="Times New Roman"/>
          <w:sz w:val="24"/>
          <w:szCs w:val="24"/>
        </w:rPr>
        <w:t xml:space="preserve">reject the presence of serial correlation.  </w:t>
      </w:r>
    </w:p>
    <w:p w14:paraId="1399C98C" w14:textId="13D87B06" w:rsidR="00BF1826" w:rsidRPr="00750182" w:rsidRDefault="00EC5361" w:rsidP="007501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0182">
        <w:rPr>
          <w:rFonts w:ascii="Times New Roman" w:hAnsi="Times New Roman" w:cs="Times New Roman"/>
          <w:sz w:val="24"/>
          <w:szCs w:val="24"/>
        </w:rPr>
        <w:t>T</w:t>
      </w:r>
      <w:r w:rsidR="00BF1826" w:rsidRPr="00750182">
        <w:rPr>
          <w:rFonts w:ascii="Times New Roman" w:hAnsi="Times New Roman" w:cs="Times New Roman"/>
          <w:sz w:val="24"/>
          <w:szCs w:val="24"/>
        </w:rPr>
        <w:t>he GMM</w:t>
      </w:r>
      <w:r w:rsidR="000B354F" w:rsidRPr="00750182">
        <w:rPr>
          <w:rFonts w:ascii="Times New Roman" w:hAnsi="Times New Roman" w:cs="Times New Roman"/>
          <w:sz w:val="24"/>
          <w:szCs w:val="24"/>
        </w:rPr>
        <w:t>-</w:t>
      </w:r>
      <w:r w:rsidR="00BF1826" w:rsidRPr="00750182">
        <w:rPr>
          <w:rFonts w:ascii="Times New Roman" w:hAnsi="Times New Roman" w:cs="Times New Roman"/>
          <w:sz w:val="24"/>
          <w:szCs w:val="24"/>
        </w:rPr>
        <w:t>sys</w:t>
      </w:r>
      <w:r w:rsidRPr="00750182">
        <w:rPr>
          <w:rFonts w:ascii="Times New Roman" w:hAnsi="Times New Roman" w:cs="Times New Roman"/>
          <w:sz w:val="24"/>
          <w:szCs w:val="24"/>
        </w:rPr>
        <w:t>tem</w:t>
      </w:r>
      <w:r w:rsidR="00BF1826" w:rsidRPr="00750182">
        <w:rPr>
          <w:rFonts w:ascii="Times New Roman" w:hAnsi="Times New Roman" w:cs="Times New Roman"/>
          <w:sz w:val="24"/>
          <w:szCs w:val="24"/>
        </w:rPr>
        <w:t xml:space="preserve"> </w:t>
      </w:r>
      <w:r w:rsidRPr="00750182">
        <w:rPr>
          <w:rFonts w:ascii="Times New Roman" w:hAnsi="Times New Roman" w:cs="Times New Roman"/>
          <w:sz w:val="24"/>
          <w:szCs w:val="24"/>
        </w:rPr>
        <w:t>estimates</w:t>
      </w:r>
      <w:r w:rsidR="0006284B" w:rsidRPr="00750182">
        <w:rPr>
          <w:rFonts w:ascii="Times New Roman" w:hAnsi="Times New Roman" w:cs="Times New Roman"/>
          <w:sz w:val="24"/>
          <w:szCs w:val="24"/>
        </w:rPr>
        <w:t>, however,</w:t>
      </w:r>
      <w:r w:rsidRPr="00750182">
        <w:rPr>
          <w:rFonts w:ascii="Times New Roman" w:hAnsi="Times New Roman" w:cs="Times New Roman"/>
          <w:sz w:val="24"/>
          <w:szCs w:val="24"/>
        </w:rPr>
        <w:t xml:space="preserve"> </w:t>
      </w:r>
      <w:r w:rsidR="00750182">
        <w:rPr>
          <w:rFonts w:ascii="Times New Roman" w:hAnsi="Times New Roman" w:cs="Times New Roman"/>
          <w:sz w:val="24"/>
          <w:szCs w:val="24"/>
        </w:rPr>
        <w:t xml:space="preserve">provide poor predicted values of these highly </w:t>
      </w:r>
      <w:proofErr w:type="spellStart"/>
      <w:r w:rsidR="00750182">
        <w:rPr>
          <w:rFonts w:ascii="Times New Roman" w:hAnsi="Times New Roman" w:cs="Times New Roman"/>
          <w:sz w:val="24"/>
          <w:szCs w:val="24"/>
        </w:rPr>
        <w:t>overdispersed</w:t>
      </w:r>
      <w:proofErr w:type="spellEnd"/>
      <w:r w:rsidR="00750182">
        <w:rPr>
          <w:rFonts w:ascii="Times New Roman" w:hAnsi="Times New Roman" w:cs="Times New Roman"/>
          <w:sz w:val="24"/>
          <w:szCs w:val="24"/>
        </w:rPr>
        <w:t xml:space="preserve"> count data, </w:t>
      </w:r>
      <w:r w:rsidR="00BF1826" w:rsidRPr="00750182">
        <w:rPr>
          <w:rFonts w:ascii="Times New Roman" w:hAnsi="Times New Roman" w:cs="Times New Roman"/>
          <w:sz w:val="24"/>
          <w:szCs w:val="24"/>
        </w:rPr>
        <w:t>giv</w:t>
      </w:r>
      <w:r w:rsidR="00750182">
        <w:rPr>
          <w:rFonts w:ascii="Times New Roman" w:hAnsi="Times New Roman" w:cs="Times New Roman"/>
          <w:sz w:val="24"/>
          <w:szCs w:val="24"/>
        </w:rPr>
        <w:t>ing</w:t>
      </w:r>
      <w:r w:rsidR="00BF1826" w:rsidRPr="00750182">
        <w:rPr>
          <w:rFonts w:ascii="Times New Roman" w:hAnsi="Times New Roman" w:cs="Times New Roman"/>
          <w:sz w:val="24"/>
          <w:szCs w:val="24"/>
        </w:rPr>
        <w:t xml:space="preserve"> rise to negative predictions for trade disputes</w:t>
      </w:r>
      <w:r w:rsidRPr="00750182">
        <w:rPr>
          <w:rFonts w:ascii="Times New Roman" w:hAnsi="Times New Roman" w:cs="Times New Roman"/>
          <w:sz w:val="24"/>
          <w:szCs w:val="24"/>
        </w:rPr>
        <w:t>, which are of course impossible</w:t>
      </w:r>
      <w:r w:rsidR="00BF1826" w:rsidRPr="00750182">
        <w:rPr>
          <w:rFonts w:ascii="Times New Roman" w:hAnsi="Times New Roman" w:cs="Times New Roman"/>
          <w:sz w:val="24"/>
          <w:szCs w:val="24"/>
        </w:rPr>
        <w:t>. Forty percent of the predicted trade disputes from the GMM</w:t>
      </w:r>
      <w:r w:rsidR="000B354F" w:rsidRPr="00750182">
        <w:rPr>
          <w:rFonts w:ascii="Times New Roman" w:hAnsi="Times New Roman" w:cs="Times New Roman"/>
          <w:sz w:val="24"/>
          <w:szCs w:val="24"/>
        </w:rPr>
        <w:t>-</w:t>
      </w:r>
      <w:r w:rsidR="00BF1826" w:rsidRPr="00750182">
        <w:rPr>
          <w:rFonts w:ascii="Times New Roman" w:hAnsi="Times New Roman" w:cs="Times New Roman"/>
          <w:sz w:val="24"/>
          <w:szCs w:val="24"/>
        </w:rPr>
        <w:t>sys</w:t>
      </w:r>
      <w:r w:rsidR="00D11E8C" w:rsidRPr="00750182">
        <w:rPr>
          <w:rFonts w:ascii="Times New Roman" w:hAnsi="Times New Roman" w:cs="Times New Roman"/>
          <w:sz w:val="24"/>
          <w:szCs w:val="24"/>
        </w:rPr>
        <w:t>tem</w:t>
      </w:r>
      <w:r w:rsidR="00BF1826" w:rsidRPr="00750182">
        <w:rPr>
          <w:rFonts w:ascii="Times New Roman" w:hAnsi="Times New Roman" w:cs="Times New Roman"/>
          <w:sz w:val="24"/>
          <w:szCs w:val="24"/>
        </w:rPr>
        <w:t xml:space="preserve"> estimator in the sample have a negative value.  </w:t>
      </w:r>
      <w:r w:rsidR="00750182">
        <w:rPr>
          <w:rFonts w:ascii="Times New Roman" w:hAnsi="Times New Roman" w:cs="Times New Roman"/>
          <w:sz w:val="24"/>
          <w:szCs w:val="24"/>
        </w:rPr>
        <w:t xml:space="preserve">Neither the </w:t>
      </w:r>
      <w:r w:rsidR="00BF1826" w:rsidRPr="00750182">
        <w:rPr>
          <w:rFonts w:ascii="Times New Roman" w:hAnsi="Times New Roman" w:cs="Times New Roman"/>
          <w:sz w:val="24"/>
          <w:szCs w:val="24"/>
        </w:rPr>
        <w:t>ZINB</w:t>
      </w:r>
      <w:r w:rsidRPr="00750182">
        <w:rPr>
          <w:rFonts w:ascii="Times New Roman" w:hAnsi="Times New Roman" w:cs="Times New Roman"/>
          <w:sz w:val="24"/>
          <w:szCs w:val="24"/>
        </w:rPr>
        <w:t xml:space="preserve"> model</w:t>
      </w:r>
      <w:r w:rsidR="00750182">
        <w:rPr>
          <w:rFonts w:ascii="Times New Roman" w:hAnsi="Times New Roman" w:cs="Times New Roman"/>
          <w:sz w:val="24"/>
          <w:szCs w:val="24"/>
        </w:rPr>
        <w:t>s nor the IV Poisson models</w:t>
      </w:r>
      <w:r w:rsidR="00EE5FE0" w:rsidRPr="00750182">
        <w:rPr>
          <w:rFonts w:ascii="Times New Roman" w:hAnsi="Times New Roman" w:cs="Times New Roman"/>
          <w:sz w:val="24"/>
          <w:szCs w:val="24"/>
        </w:rPr>
        <w:t>, by contrast,</w:t>
      </w:r>
      <w:r w:rsidR="00BF1826" w:rsidRPr="00750182">
        <w:rPr>
          <w:rFonts w:ascii="Times New Roman" w:hAnsi="Times New Roman" w:cs="Times New Roman"/>
          <w:sz w:val="24"/>
          <w:szCs w:val="24"/>
        </w:rPr>
        <w:t xml:space="preserve"> ever predicts a negative trade dispute, which is reassuring</w:t>
      </w:r>
      <w:r w:rsidRPr="00750182">
        <w:rPr>
          <w:rFonts w:ascii="Times New Roman" w:hAnsi="Times New Roman" w:cs="Times New Roman"/>
          <w:sz w:val="24"/>
          <w:szCs w:val="24"/>
        </w:rPr>
        <w:t xml:space="preserve">. </w:t>
      </w:r>
      <w:r w:rsidR="00BF1826" w:rsidRPr="00750182">
        <w:rPr>
          <w:rFonts w:ascii="Times New Roman" w:hAnsi="Times New Roman" w:cs="Times New Roman"/>
          <w:sz w:val="24"/>
          <w:szCs w:val="24"/>
        </w:rPr>
        <w:t>Moreover, the sum of squared errors for the ZINB predictions is half of that for the GMM</w:t>
      </w:r>
      <w:r w:rsidR="000B354F" w:rsidRPr="00750182">
        <w:rPr>
          <w:rFonts w:ascii="Times New Roman" w:hAnsi="Times New Roman" w:cs="Times New Roman"/>
          <w:sz w:val="24"/>
          <w:szCs w:val="24"/>
        </w:rPr>
        <w:t>-</w:t>
      </w:r>
      <w:r w:rsidR="00BF1826" w:rsidRPr="00750182">
        <w:rPr>
          <w:rFonts w:ascii="Times New Roman" w:hAnsi="Times New Roman" w:cs="Times New Roman"/>
          <w:sz w:val="24"/>
          <w:szCs w:val="24"/>
        </w:rPr>
        <w:t>sys</w:t>
      </w:r>
      <w:r w:rsidR="000B354F" w:rsidRPr="00750182">
        <w:rPr>
          <w:rFonts w:ascii="Times New Roman" w:hAnsi="Times New Roman" w:cs="Times New Roman"/>
          <w:sz w:val="24"/>
          <w:szCs w:val="24"/>
        </w:rPr>
        <w:t>tem</w:t>
      </w:r>
      <w:r w:rsidR="00BF1826" w:rsidRPr="00750182">
        <w:rPr>
          <w:rFonts w:ascii="Times New Roman" w:hAnsi="Times New Roman" w:cs="Times New Roman"/>
          <w:sz w:val="24"/>
          <w:szCs w:val="24"/>
        </w:rPr>
        <w:t xml:space="preserve"> estimators.  The </w:t>
      </w:r>
      <w:r w:rsidR="00BF1826" w:rsidRPr="00750182">
        <w:rPr>
          <w:rFonts w:ascii="Times New Roman" w:hAnsi="Times New Roman" w:cs="Times New Roman"/>
          <w:sz w:val="24"/>
          <w:szCs w:val="24"/>
        </w:rPr>
        <w:lastRenderedPageBreak/>
        <w:t xml:space="preserve">ZINB estimator has much better estimation properties and gives a much better approximation of the data.  </w:t>
      </w:r>
    </w:p>
    <w:p w14:paraId="711138D3" w14:textId="22A6D243" w:rsidR="00914BA4" w:rsidRPr="00750182" w:rsidRDefault="00EC5361" w:rsidP="006068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0182">
        <w:rPr>
          <w:rFonts w:ascii="Times New Roman" w:hAnsi="Times New Roman" w:cs="Times New Roman"/>
          <w:sz w:val="24"/>
          <w:szCs w:val="24"/>
        </w:rPr>
        <w:t>We note that</w:t>
      </w:r>
      <w:r w:rsidR="00BF1826" w:rsidRPr="00750182">
        <w:rPr>
          <w:rFonts w:ascii="Times New Roman" w:hAnsi="Times New Roman" w:cs="Times New Roman"/>
          <w:sz w:val="24"/>
          <w:szCs w:val="24"/>
        </w:rPr>
        <w:t xml:space="preserve"> t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he signs, levels of statistical significance, and the size </w:t>
      </w:r>
      <w:r w:rsidR="00374F90">
        <w:rPr>
          <w:rFonts w:ascii="Times New Roman" w:hAnsi="Times New Roman" w:cs="Times New Roman"/>
          <w:sz w:val="24"/>
          <w:szCs w:val="24"/>
        </w:rPr>
        <w:t xml:space="preserve">of the </w:t>
      </w:r>
      <w:r w:rsidR="00BA3662" w:rsidRPr="00750182">
        <w:rPr>
          <w:rFonts w:ascii="Times New Roman" w:hAnsi="Times New Roman" w:cs="Times New Roman"/>
          <w:sz w:val="24"/>
          <w:szCs w:val="24"/>
        </w:rPr>
        <w:t>p</w:t>
      </w:r>
      <w:r w:rsidR="00914BA4" w:rsidRPr="00750182">
        <w:rPr>
          <w:rFonts w:ascii="Times New Roman" w:hAnsi="Times New Roman" w:cs="Times New Roman"/>
          <w:sz w:val="24"/>
          <w:szCs w:val="24"/>
        </w:rPr>
        <w:t xml:space="preserve">arameter estimates </w:t>
      </w:r>
      <w:r w:rsidRPr="00750182">
        <w:rPr>
          <w:rFonts w:ascii="Times New Roman" w:hAnsi="Times New Roman" w:cs="Times New Roman"/>
          <w:sz w:val="24"/>
          <w:szCs w:val="24"/>
        </w:rPr>
        <w:t>of the GMM</w:t>
      </w:r>
      <w:r w:rsidR="000B354F" w:rsidRPr="00750182">
        <w:rPr>
          <w:rFonts w:ascii="Times New Roman" w:hAnsi="Times New Roman" w:cs="Times New Roman"/>
          <w:sz w:val="24"/>
          <w:szCs w:val="24"/>
        </w:rPr>
        <w:t>-</w:t>
      </w:r>
      <w:r w:rsidRPr="00750182">
        <w:rPr>
          <w:rFonts w:ascii="Times New Roman" w:hAnsi="Times New Roman" w:cs="Times New Roman"/>
          <w:sz w:val="24"/>
          <w:szCs w:val="24"/>
        </w:rPr>
        <w:t xml:space="preserve">system model 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are relatively </w:t>
      </w:r>
      <w:r w:rsidR="00914BA4" w:rsidRPr="00750182">
        <w:rPr>
          <w:rFonts w:ascii="Times New Roman" w:hAnsi="Times New Roman" w:cs="Times New Roman"/>
          <w:sz w:val="24"/>
          <w:szCs w:val="24"/>
        </w:rPr>
        <w:t>similar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 to the ZINB estimates reported</w:t>
      </w:r>
      <w:r w:rsidRPr="00750182">
        <w:rPr>
          <w:rFonts w:ascii="Times New Roman" w:hAnsi="Times New Roman" w:cs="Times New Roman"/>
          <w:sz w:val="24"/>
          <w:szCs w:val="24"/>
        </w:rPr>
        <w:t xml:space="preserve"> in the paper</w:t>
      </w:r>
      <w:r w:rsidR="00BA3662" w:rsidRPr="00750182">
        <w:rPr>
          <w:rFonts w:ascii="Times New Roman" w:hAnsi="Times New Roman" w:cs="Times New Roman"/>
          <w:sz w:val="24"/>
          <w:szCs w:val="24"/>
        </w:rPr>
        <w:t>.  The one differ</w:t>
      </w:r>
      <w:r w:rsidR="00B54D59" w:rsidRPr="00750182">
        <w:rPr>
          <w:rFonts w:ascii="Times New Roman" w:hAnsi="Times New Roman" w:cs="Times New Roman"/>
          <w:sz w:val="24"/>
          <w:szCs w:val="24"/>
        </w:rPr>
        <w:t>ence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 is that the arms</w:t>
      </w:r>
      <w:r w:rsidRPr="00750182">
        <w:rPr>
          <w:rFonts w:ascii="Times New Roman" w:hAnsi="Times New Roman" w:cs="Times New Roman"/>
          <w:sz w:val="24"/>
          <w:szCs w:val="24"/>
        </w:rPr>
        <w:t>-length trade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*undervaluation </w:t>
      </w:r>
      <w:r w:rsidRPr="00750182">
        <w:rPr>
          <w:rFonts w:ascii="Times New Roman" w:hAnsi="Times New Roman" w:cs="Times New Roman"/>
          <w:sz w:val="24"/>
          <w:szCs w:val="24"/>
        </w:rPr>
        <w:t xml:space="preserve">interaction 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is </w:t>
      </w:r>
      <w:r w:rsidR="0038770B" w:rsidRPr="00750182">
        <w:rPr>
          <w:rFonts w:ascii="Times New Roman" w:hAnsi="Times New Roman" w:cs="Times New Roman"/>
          <w:sz w:val="24"/>
          <w:szCs w:val="24"/>
        </w:rPr>
        <w:t>not</w:t>
      </w:r>
      <w:r w:rsidR="00BA3662" w:rsidRPr="00750182">
        <w:rPr>
          <w:rFonts w:ascii="Times New Roman" w:hAnsi="Times New Roman" w:cs="Times New Roman"/>
          <w:sz w:val="24"/>
          <w:szCs w:val="24"/>
        </w:rPr>
        <w:t xml:space="preserve"> statistically significant</w:t>
      </w:r>
      <w:r w:rsidR="00AE6360" w:rsidRPr="00750182">
        <w:rPr>
          <w:rFonts w:ascii="Times New Roman" w:hAnsi="Times New Roman" w:cs="Times New Roman"/>
          <w:sz w:val="24"/>
          <w:szCs w:val="24"/>
        </w:rPr>
        <w:t xml:space="preserve"> and is not reported</w:t>
      </w:r>
      <w:r w:rsidR="00EC69B0" w:rsidRPr="00750182">
        <w:rPr>
          <w:rFonts w:ascii="Times New Roman" w:hAnsi="Times New Roman" w:cs="Times New Roman"/>
          <w:sz w:val="24"/>
          <w:szCs w:val="24"/>
        </w:rPr>
        <w:t xml:space="preserve">. </w:t>
      </w:r>
      <w:r w:rsidR="00B54D59" w:rsidRPr="00750182">
        <w:rPr>
          <w:rFonts w:ascii="Times New Roman" w:hAnsi="Times New Roman" w:cs="Times New Roman"/>
          <w:sz w:val="24"/>
          <w:szCs w:val="24"/>
        </w:rPr>
        <w:t xml:space="preserve">The estimated </w:t>
      </w:r>
      <w:r w:rsidR="00914BA4" w:rsidRPr="00750182">
        <w:rPr>
          <w:rFonts w:ascii="Times New Roman" w:hAnsi="Times New Roman" w:cs="Times New Roman"/>
          <w:sz w:val="24"/>
          <w:szCs w:val="24"/>
        </w:rPr>
        <w:t xml:space="preserve">BIT </w:t>
      </w:r>
      <w:r w:rsidR="00B54D59" w:rsidRPr="00750182">
        <w:rPr>
          <w:rFonts w:ascii="Times New Roman" w:hAnsi="Times New Roman" w:cs="Times New Roman"/>
          <w:sz w:val="24"/>
          <w:szCs w:val="24"/>
        </w:rPr>
        <w:t xml:space="preserve">coefficient is </w:t>
      </w:r>
      <w:r w:rsidR="0038770B" w:rsidRPr="00750182">
        <w:rPr>
          <w:rFonts w:ascii="Times New Roman" w:hAnsi="Times New Roman" w:cs="Times New Roman"/>
          <w:sz w:val="24"/>
          <w:szCs w:val="24"/>
        </w:rPr>
        <w:t xml:space="preserve">also not </w:t>
      </w:r>
      <w:r w:rsidR="00B54D59" w:rsidRPr="00750182">
        <w:rPr>
          <w:rFonts w:ascii="Times New Roman" w:hAnsi="Times New Roman" w:cs="Times New Roman"/>
          <w:sz w:val="24"/>
          <w:szCs w:val="24"/>
        </w:rPr>
        <w:t>statistically significant.</w:t>
      </w:r>
      <w:r w:rsidR="00CE277A" w:rsidRPr="00750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AB13" w14:textId="4EA26614" w:rsidR="00441BB0" w:rsidRPr="00750182" w:rsidRDefault="006068C2" w:rsidP="006068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1BB0" w:rsidRPr="00750182">
        <w:rPr>
          <w:rFonts w:ascii="Times New Roman" w:hAnsi="Times New Roman" w:cs="Times New Roman"/>
          <w:sz w:val="24"/>
          <w:szCs w:val="24"/>
        </w:rPr>
        <w:t xml:space="preserve">n summary, the possible </w:t>
      </w:r>
      <w:proofErr w:type="spellStart"/>
      <w:r w:rsidR="00441BB0" w:rsidRPr="00750182">
        <w:rPr>
          <w:rFonts w:ascii="Times New Roman" w:hAnsi="Times New Roman" w:cs="Times New Roman"/>
          <w:sz w:val="24"/>
          <w:szCs w:val="24"/>
        </w:rPr>
        <w:t>endogeneity</w:t>
      </w:r>
      <w:proofErr w:type="spellEnd"/>
      <w:r w:rsidR="00441BB0" w:rsidRPr="00750182">
        <w:rPr>
          <w:rFonts w:ascii="Times New Roman" w:hAnsi="Times New Roman" w:cs="Times New Roman"/>
          <w:sz w:val="24"/>
          <w:szCs w:val="24"/>
        </w:rPr>
        <w:t xml:space="preserve"> between imports and AD filings is a difficult problem. Instrumenting over-dispersed data is technically very challenging and beyond the current econometric frontier.  </w:t>
      </w:r>
    </w:p>
    <w:p w14:paraId="2D6F7608" w14:textId="77777777" w:rsidR="00750182" w:rsidRDefault="00750182" w:rsidP="00B1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7FD8E" w14:textId="5D262C6D" w:rsidR="00750182" w:rsidRPr="006068C2" w:rsidRDefault="00750182" w:rsidP="006068C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0182">
        <w:rPr>
          <w:rFonts w:ascii="Times New Roman" w:eastAsia="Times New Roman" w:hAnsi="Times New Roman" w:cs="Times New Roman"/>
          <w:sz w:val="24"/>
          <w:szCs w:val="24"/>
        </w:rPr>
        <w:t>Cameron, A. C., and P. K. Trivedi. 2013.</w:t>
      </w:r>
      <w:r w:rsidRPr="0060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82">
        <w:rPr>
          <w:rFonts w:ascii="Times New Roman" w:eastAsia="Times New Roman" w:hAnsi="Times New Roman" w:cs="Times New Roman"/>
          <w:i/>
          <w:sz w:val="24"/>
          <w:szCs w:val="24"/>
        </w:rPr>
        <w:t>Regression Analysis of Count Data</w:t>
      </w:r>
      <w:r w:rsidRPr="00750182">
        <w:rPr>
          <w:rFonts w:ascii="Times New Roman" w:eastAsia="Times New Roman" w:hAnsi="Times New Roman" w:cs="Times New Roman"/>
          <w:sz w:val="24"/>
          <w:szCs w:val="24"/>
        </w:rPr>
        <w:t xml:space="preserve">. 2nd </w:t>
      </w:r>
      <w:proofErr w:type="gramStart"/>
      <w:r w:rsidRPr="00750182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750182">
        <w:rPr>
          <w:rFonts w:ascii="Times New Roman" w:eastAsia="Times New Roman" w:hAnsi="Times New Roman" w:cs="Times New Roman"/>
          <w:sz w:val="24"/>
          <w:szCs w:val="24"/>
        </w:rPr>
        <w:t xml:space="preserve">. New York: </w:t>
      </w:r>
      <w:r w:rsidRPr="006068C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750182">
        <w:rPr>
          <w:rFonts w:ascii="Times New Roman" w:eastAsia="Times New Roman" w:hAnsi="Times New Roman" w:cs="Times New Roman"/>
          <w:sz w:val="24"/>
          <w:szCs w:val="24"/>
        </w:rPr>
        <w:t>ambridge</w:t>
      </w:r>
      <w:r w:rsidRPr="0060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82">
        <w:rPr>
          <w:rFonts w:ascii="Times New Roman" w:eastAsia="Times New Roman" w:hAnsi="Times New Roman" w:cs="Times New Roman"/>
          <w:sz w:val="24"/>
          <w:szCs w:val="24"/>
        </w:rPr>
        <w:t>University Press</w:t>
      </w:r>
    </w:p>
    <w:p w14:paraId="60CD6AF6" w14:textId="67A23C63" w:rsidR="00750182" w:rsidRPr="00750182" w:rsidRDefault="00750182" w:rsidP="006068C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182">
        <w:rPr>
          <w:rFonts w:ascii="Times New Roman" w:eastAsia="Times New Roman" w:hAnsi="Times New Roman" w:cs="Times New Roman"/>
          <w:sz w:val="24"/>
          <w:szCs w:val="24"/>
        </w:rPr>
        <w:t>Windmeijer</w:t>
      </w:r>
      <w:proofErr w:type="spellEnd"/>
      <w:r w:rsidRPr="00750182">
        <w:rPr>
          <w:rFonts w:ascii="Times New Roman" w:eastAsia="Times New Roman" w:hAnsi="Times New Roman" w:cs="Times New Roman"/>
          <w:sz w:val="24"/>
          <w:szCs w:val="24"/>
        </w:rPr>
        <w:t xml:space="preserve">, F., and J. M. C. Santos Silva. 1997. </w:t>
      </w:r>
      <w:proofErr w:type="spellStart"/>
      <w:r w:rsidRPr="00750182">
        <w:rPr>
          <w:rFonts w:ascii="Times New Roman" w:eastAsia="Times New Roman" w:hAnsi="Times New Roman" w:cs="Times New Roman"/>
          <w:sz w:val="24"/>
          <w:szCs w:val="24"/>
        </w:rPr>
        <w:t>Endogeneity</w:t>
      </w:r>
      <w:proofErr w:type="spellEnd"/>
      <w:r w:rsidRPr="00750182">
        <w:rPr>
          <w:rFonts w:ascii="Times New Roman" w:eastAsia="Times New Roman" w:hAnsi="Times New Roman" w:cs="Times New Roman"/>
          <w:sz w:val="24"/>
          <w:szCs w:val="24"/>
        </w:rPr>
        <w:t xml:space="preserve"> in count data models: An application to demand for</w:t>
      </w:r>
      <w:r w:rsidRPr="0060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82">
        <w:rPr>
          <w:rFonts w:ascii="Times New Roman" w:eastAsia="Times New Roman" w:hAnsi="Times New Roman" w:cs="Times New Roman"/>
          <w:sz w:val="24"/>
          <w:szCs w:val="24"/>
        </w:rPr>
        <w:t>health care.</w:t>
      </w:r>
      <w:r w:rsidRPr="006068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0182">
        <w:rPr>
          <w:rFonts w:ascii="Times New Roman" w:eastAsia="Times New Roman" w:hAnsi="Times New Roman" w:cs="Times New Roman"/>
          <w:i/>
          <w:sz w:val="24"/>
          <w:szCs w:val="24"/>
        </w:rPr>
        <w:t>Journal of Applied Econometrics</w:t>
      </w:r>
      <w:r w:rsidRPr="0060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82">
        <w:rPr>
          <w:rFonts w:ascii="Times New Roman" w:eastAsia="Times New Roman" w:hAnsi="Times New Roman" w:cs="Times New Roman"/>
          <w:sz w:val="24"/>
          <w:szCs w:val="24"/>
        </w:rPr>
        <w:t>12: 281–294.</w:t>
      </w:r>
    </w:p>
    <w:p w14:paraId="1C8330D6" w14:textId="77777777" w:rsidR="00750182" w:rsidRPr="00750182" w:rsidRDefault="00750182" w:rsidP="0075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FEB46" w14:textId="77777777" w:rsidR="00750182" w:rsidRPr="00750182" w:rsidRDefault="00750182" w:rsidP="00B1151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1BBA7D" w14:textId="77777777" w:rsidR="00B11514" w:rsidRPr="00750182" w:rsidRDefault="00B11514" w:rsidP="00B1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D5E823" w14:textId="77777777" w:rsidR="00846EA7" w:rsidRDefault="00846EA7" w:rsidP="00673DBB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Helvetica" w:hAnsi="Helvetica" w:cs="Times New Roman"/>
          <w:color w:val="222222"/>
        </w:rPr>
        <w:sectPr w:rsidR="00846EA7" w:rsidSect="008209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09242" w14:textId="6D9A8464" w:rsidR="00B20D32" w:rsidRPr="00423220" w:rsidRDefault="0016630D" w:rsidP="00673DBB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Helvetica" w:hAnsi="Helvetica" w:cs="Times New Roman"/>
          <w:color w:val="222222"/>
        </w:rPr>
      </w:pPr>
      <w:r>
        <w:rPr>
          <w:rFonts w:ascii="Helvetica" w:hAnsi="Helvetica" w:cs="Times New Roman"/>
          <w:color w:val="222222"/>
        </w:rPr>
        <w:lastRenderedPageBreak/>
        <w:t xml:space="preserve">Online Appendix </w:t>
      </w:r>
      <w:r w:rsidR="00F446C2">
        <w:rPr>
          <w:rFonts w:ascii="Helvetica" w:hAnsi="Helvetica" w:cs="Times New Roman"/>
          <w:color w:val="222222"/>
        </w:rPr>
        <w:t>Table</w:t>
      </w:r>
    </w:p>
    <w:tbl>
      <w:tblPr>
        <w:tblW w:w="13386" w:type="dxa"/>
        <w:jc w:val="center"/>
        <w:tblLayout w:type="fixed"/>
        <w:tblLook w:val="04A0" w:firstRow="1" w:lastRow="0" w:firstColumn="1" w:lastColumn="0" w:noHBand="0" w:noVBand="1"/>
      </w:tblPr>
      <w:tblGrid>
        <w:gridCol w:w="2197"/>
        <w:gridCol w:w="1864"/>
        <w:gridCol w:w="1865"/>
        <w:gridCol w:w="1865"/>
        <w:gridCol w:w="1865"/>
        <w:gridCol w:w="1865"/>
        <w:gridCol w:w="1865"/>
      </w:tblGrid>
      <w:tr w:rsidR="001403AD" w:rsidRPr="00F446C2" w14:paraId="2035129C" w14:textId="6C5C565C" w:rsidTr="00B50195">
        <w:trPr>
          <w:trHeight w:val="300"/>
          <w:jc w:val="center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8600B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70F7A1" w14:textId="2D4EDDF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1942D7" w14:textId="7A60A5DA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9B636" w14:textId="79E5555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(3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78555C0" w14:textId="3CA6088A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(4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4597A1F" w14:textId="5E18AD57" w:rsid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D69FC89" w14:textId="2533EEB6" w:rsid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58742E3B" w14:textId="5609EA03" w:rsidTr="00B50195">
        <w:trPr>
          <w:trHeight w:val="576"/>
          <w:jc w:val="center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7B155" w14:textId="6F062760" w:rsidR="001403AD" w:rsidRPr="00F446C2" w:rsidRDefault="001403AD" w:rsidP="001403AD">
            <w:pPr>
              <w:widowControl w:val="0"/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Sample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 xml:space="preserve"> &amp; estimator</w:t>
            </w:r>
            <w:r w:rsidRPr="00F446C2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9C18A0" w14:textId="77777777" w:rsidR="001403AD" w:rsidRDefault="001403AD" w:rsidP="001403AD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RP imports</w:t>
            </w:r>
          </w:p>
          <w:p w14:paraId="574D3F7B" w14:textId="77777777" w:rsidR="001403AD" w:rsidRDefault="001403AD" w:rsidP="001403AD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Orthogonalized</w:t>
            </w:r>
            <w:proofErr w:type="spellEnd"/>
          </w:p>
          <w:p w14:paraId="3C0ED46D" w14:textId="49894825" w:rsidR="003D5EB9" w:rsidRPr="00F446C2" w:rsidRDefault="003D5EB9" w:rsidP="001403AD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ZINB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FAC85F" w14:textId="64B359CE" w:rsidR="001403AD" w:rsidRPr="00F446C2" w:rsidRDefault="001403AD" w:rsidP="007C6A9E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Undervalued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(&gt;20%) IV Poisson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33641" w14:textId="6467593B" w:rsidR="001403AD" w:rsidRPr="00F446C2" w:rsidRDefault="001403AD" w:rsidP="007C6A9E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Undervalued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(&gt;20%) ZINB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27EB3B" w14:textId="7590A84B" w:rsidR="001403AD" w:rsidRPr="00CC58F5" w:rsidRDefault="001403AD" w:rsidP="007C6A9E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Undervalued (&gt;10%)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ZINB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7D80E4" w14:textId="33F4F44F" w:rsidR="001403AD" w:rsidRPr="00CC58F5" w:rsidRDefault="001403AD" w:rsidP="003D5EB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GMM-2 Step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(difference</w:t>
            </w:r>
            <w:r w:rsidR="003D5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-transformed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63518D" w14:textId="07AEC9B9" w:rsidR="001403AD" w:rsidRPr="00CC58F5" w:rsidRDefault="001403AD" w:rsidP="001403AD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05E259AB" w14:textId="5E3C6D9B" w:rsidTr="00B50195">
        <w:trPr>
          <w:trHeight w:val="330"/>
          <w:jc w:val="center"/>
        </w:trPr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67CC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Disputes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E9CDC5" w14:textId="71E9FC3A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152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9AB587" w14:textId="312B5FF9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93D6E" w14:textId="1E4B2700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82F9AB" w14:textId="6ED46633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A7FA14" w14:textId="4DC6F49D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0.359***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45B5EA" w14:textId="04C69DFF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452D6D05" w14:textId="4060AD58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9770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EBD701" w14:textId="5B1EB97D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(0.072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3C84DF" w14:textId="6EE957D9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D5027" w14:textId="45CD4600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(0.105)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FA4E7B" w14:textId="706B9DBE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664F7A" w14:textId="64A3041F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(0.097)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E6F2EB" w14:textId="1131C52F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53DABC17" w14:textId="5201F511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3593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Disputes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CD9C5B" w14:textId="3E4E958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6043A9" w14:textId="7F69CF2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90A8" w14:textId="7777777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541779" w14:textId="15A1FB13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D0B1B1" w14:textId="5CE21857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-0.435***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2362E5" w14:textId="1903C607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51F9775F" w14:textId="5895BD3D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980C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4CBD9F" w14:textId="104B4E83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CBC817" w14:textId="53A8475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A43F" w14:textId="7777777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FD12C7" w14:textId="0229BD1B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5C2471" w14:textId="68CC9DD7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(0.115)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9A308" w14:textId="213DA127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45A52BBE" w14:textId="52402386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5505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Undervaluation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68B8FE" w14:textId="66256DA3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B9508" w14:textId="1E2F877C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7C4A" w14:textId="7777777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1FA51A" w14:textId="164866F0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9F9CDD" w14:textId="0CD031F3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9FBFAC" w14:textId="6DEEE3A2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465CC41B" w14:textId="6888E3DA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BE19A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25019B" w14:textId="29669A98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(0.403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AB905" w14:textId="1DC5465F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80CA" w14:textId="7777777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D97117" w14:textId="72A1CC8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29DE4F" w14:textId="2A18FFE2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(0.195)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A0F24" w14:textId="06518A0E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678947AE" w14:textId="3F43C16D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2CAD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Related-party Imports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050698" w14:textId="65A0B538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AAE620" w14:textId="331B782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-103.228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FF6C" w14:textId="3F9CD4F1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-45.392***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DCE4FC" w14:textId="0B65CEFF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-13.123***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5A77D3" w14:textId="1C1D5B51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-3.530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605B46" w14:textId="3E42238C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3F4BFB64" w14:textId="7C9A5CC0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CAC9" w14:textId="7777777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948EAC" w14:textId="15B7554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(0.602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633C10" w14:textId="3C8ECD02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54.032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4E8C" w14:textId="276F7A6A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(7.66)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5CA502" w14:textId="6D9F5604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(2.835)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FABF81" w14:textId="2D450094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(2.6334)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E5272A" w14:textId="4BB38B7B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72E851FB" w14:textId="1A1C4203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6E0AFB" w14:textId="62DE49B0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Undervaluation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x 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80EC2F" w14:textId="6F1E5408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497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A7FFED" w14:textId="4DFCDB3F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9F0F37" w14:textId="2C47DAFC" w:rsidR="001403AD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4D9EB3" w14:textId="402E68D4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94E0C9" w14:textId="4B33F28D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-6.885*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1D3911" w14:textId="4B919F30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0AB4284A" w14:textId="01232210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DDA28" w14:textId="5BA8B7B5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  U.S. Related-party Imports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C2ADAC" w14:textId="1AE7AE6C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(2.52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70F04" w14:textId="0EB6CEC8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1279AF" w14:textId="02E4A08A" w:rsidR="001403AD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82E2A5" w14:textId="4F786A73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DE189D" w14:textId="22ECDB53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(3.532)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DE6DF8" w14:textId="66804B8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61D4D591" w14:textId="5F2D98BD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559E9C" w14:textId="193A3E66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Arm's-length Imports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266ECE" w14:textId="3D8C98E6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4.312**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29CD7" w14:textId="052B1EDB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84.018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80617" w14:textId="65376347" w:rsidR="001403AD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55.312***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8D664A" w14:textId="5308F25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48.081***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5F13CE" w14:textId="73A6B94B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6.214**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496133" w14:textId="7D631D11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61DD2C07" w14:textId="6122D9DC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925BE5" w14:textId="0B0242BA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9DDECA" w14:textId="36EA4565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(7.367)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C34B7" w14:textId="008FDE61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34.262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6A6EC" w14:textId="2C1F3660" w:rsidR="001403AD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(9.662)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B1C036" w14:textId="19457B8D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(7.501)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E30312" w14:textId="5E1F70A6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(2.503)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0CC256" w14:textId="00879EC8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723E328A" w14:textId="318828EC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E711B1" w14:textId="43518174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Undervaluation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x 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A22EDD" w14:textId="09599D9A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16.42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9E5F6E" w14:textId="7278E97C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98A0D6" w14:textId="77777777" w:rsidR="001403AD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5F019D" w14:textId="77777777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95CB29" w14:textId="77777777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6AABE" w14:textId="38F9AE0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1F9CA297" w14:textId="62212006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237EB6" w14:textId="7E97323A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  U.S.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Arm’s-length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Imports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29899D" w14:textId="21E1167A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(4.877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10F64" w14:textId="1FEC8EA8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F4B8C6" w14:textId="77777777" w:rsidR="001403AD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616185" w14:textId="77777777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9ACE57" w14:textId="77777777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680B0" w14:textId="569FB976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28F1D778" w14:textId="5F13B91A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80BE9" w14:textId="04DD715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Capital Account Openness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020D0F" w14:textId="40C64BD9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-0.019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EDC8A8" w14:textId="4896DABD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41FB0" w14:textId="0125485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-0.035***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9012FF" w14:textId="752EE133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-0.02**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7CF4B7" w14:textId="77317AA0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-0.007**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B0FA22" w14:textId="75EABDB6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4642EA46" w14:textId="2A789C1B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E737" w14:textId="44A29A59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52E3FF" w14:textId="6E0FD0DC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(0.005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2A13E8" w14:textId="1B82994F" w:rsidR="001403AD" w:rsidRPr="009C7B3A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1CD5" w14:textId="7E82BAD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0.01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8CBA55" w14:textId="7EBB36F3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9AA641" w14:textId="403A42A9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0982A9" w14:textId="59C4E539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3D5D515A" w14:textId="37E678D8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602A" w14:textId="19EE830C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Polity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A50C5D" w14:textId="116A299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0.063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CFF1D8" w14:textId="43604E5D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B499" w14:textId="49B42F6A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22FA06" w14:textId="74E86850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-0.044*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66917E" w14:textId="161C3506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B6BC3B" w14:textId="54E8F0B1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262C82AB" w14:textId="405FDB08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BE11" w14:textId="41820E64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048DEF" w14:textId="54B6753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(0.03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659E1" w14:textId="20A1068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367A" w14:textId="31A3983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(0.058)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6F9431" w14:textId="1D68512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(0.023)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95BF2B" w14:textId="532AE2AC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629334" w14:textId="04E8446D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416014C6" w14:textId="38B60ECD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DA55A" w14:textId="1395E002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GDP/capita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5B3766" w14:textId="1181746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0.523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DD2F41" w14:textId="4E2DE6B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D804" w14:textId="3C7116E2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0.951***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C926F9" w14:textId="29C42E54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0.521*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DD9CBB" w14:textId="2F46C2DE" w:rsidR="001403AD" w:rsidRPr="001403AD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403A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62B14E" w14:textId="54D3CFF4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48EEA66B" w14:textId="5438C737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BD8F" w14:textId="6AE4785B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2BA8B3" w14:textId="7E0F189F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(0.12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9D151" w14:textId="3F52762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8038D" w14:textId="4605741A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(0.303)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BEE480" w14:textId="2D57FE56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(0.309)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1DDE8A" w14:textId="48AE851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(0.047)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3F6691" w14:textId="3CD28AA6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1F84CCFC" w14:textId="184E9D7F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2AB8" w14:textId="27C9D1BA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Bilateral Investment Treaty</w:t>
            </w: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DADC01" w14:textId="7234B9F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-0.468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3A9223" w14:textId="4AA7609C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4EF0" w14:textId="5A1A9261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0.852*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0FAEA7" w14:textId="350F981C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1.087***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35F393" w14:textId="6A344693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FCDC4B" w14:textId="38EF44FA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1348002B" w14:textId="719BE3D6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9DAA" w14:textId="3F55D79C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BF59CF" w14:textId="1AE17E8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(0.308</w:t>
            </w: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54C7C" w14:textId="2746E43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B4796" w14:textId="53B0F80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(0.452)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04DE19" w14:textId="0918DFD2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(0.404)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0FAB7F" w14:textId="72846E5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(0.416)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08A99" w14:textId="06CE368E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5150A611" w14:textId="5251BAD1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86D007" w14:textId="77777777" w:rsidR="003D5EB9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 xml:space="preserve">RP Imports </w:t>
            </w:r>
          </w:p>
          <w:p w14:paraId="4C3B29F7" w14:textId="41E76586" w:rsidR="001403AD" w:rsidRPr="00F446C2" w:rsidRDefault="001403AD" w:rsidP="003D5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Exogeneity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Test [p-value</w:t>
            </w:r>
            <w:r w:rsidR="003D5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for the null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702CDC" w14:textId="3770DD08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C5D95A" w14:textId="6E3999C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[1.03]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4BDA45" w14:textId="3B38A8A2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C84036" w14:textId="07C9C784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AE4B8B" w14:textId="5D89B986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78B659" w14:textId="6432ECAB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0B1A6097" w14:textId="45F846AE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FFC1BB" w14:textId="652E9C5F" w:rsidR="001403AD" w:rsidRPr="00F446C2" w:rsidRDefault="001403AD" w:rsidP="003D5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hypothesis of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exogeneity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BCF685" w14:textId="7777777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7D775" w14:textId="7FDC4F13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834C9" w14:textId="7D4648AC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1C2318" w14:textId="62F7D8A2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34A989" w14:textId="079F3342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BC4C96" w14:textId="0994CACC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79B6C4FC" w14:textId="32D30C5B" w:rsidTr="00B50195">
        <w:trPr>
          <w:trHeight w:val="33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1C86B" w14:textId="77777777" w:rsidR="003D5EB9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 Imports</w:t>
            </w:r>
          </w:p>
          <w:p w14:paraId="0DF838E8" w14:textId="223F9CA4" w:rsidR="001403AD" w:rsidRPr="00F446C2" w:rsidRDefault="001403AD" w:rsidP="003D5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Exogeneity</w:t>
            </w:r>
            <w:proofErr w:type="spellEnd"/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Test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[p-value</w:t>
            </w:r>
            <w:r w:rsidR="003D5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for the null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218A9B" w14:textId="432812A5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ABCAAA" w14:textId="2AF9F025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[-1.03]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C5A0" w14:textId="2B0317A2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100376" w14:textId="593EBC3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F6A0CF" w14:textId="017E1BD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8DCE2E" w14:textId="7B58B3CC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5F70C1AB" w14:textId="0C2BB3B9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FDF7" w14:textId="3F43E61E" w:rsidR="001403AD" w:rsidRPr="00F446C2" w:rsidRDefault="001403AD" w:rsidP="003D5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hypothesis of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exogeneity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5B1B27" w14:textId="7777777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AEE7D6" w14:textId="73601E2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C6D5" w14:textId="398C90A7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989538" w14:textId="56C712AC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D7399F" w14:textId="5DFE7E56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9A8119" w14:textId="5483D6E0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53F0E6E6" w14:textId="59575B18" w:rsidTr="00B50195">
        <w:trPr>
          <w:trHeight w:val="300"/>
          <w:jc w:val="center"/>
        </w:trPr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C0BF" w14:textId="257DDEBB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E53FE8" w14:textId="60C4D90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A334F" w14:textId="26B349D1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A00D" w14:textId="18B4EFB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0DB7C8" w14:textId="08965634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771A1C" w14:textId="07419FC9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74E9EB5" w14:textId="3BCA785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595E5A24" w14:textId="6E2B4A50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E217" w14:textId="251C0E32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Countries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A06DEA" w14:textId="6217023D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AC72B5" w14:textId="3A1F877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C7DF" w14:textId="2113C6F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FC9DE0" w14:textId="58574607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C58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8A5369" w14:textId="7B9B883B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CEC09F" w14:textId="31319E15" w:rsidR="001403AD" w:rsidRPr="00CC58F5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6B89BB5E" w14:textId="4FC05A6B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EEAC" w14:textId="2D087770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Sargan</w:t>
            </w:r>
            <w:proofErr w:type="spellEnd"/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Test p- value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5614D1" w14:textId="4F5908E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4FCED" w14:textId="398390E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D221B" w14:textId="5E5ED58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B2A390" w14:textId="03608ABF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A62071" w14:textId="18C631B4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[0.58]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599FBA" w14:textId="70AEBD6E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4184362B" w14:textId="065168C8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5FA90" w14:textId="602F79AD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AB(1) p-value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A61932" w14:textId="325CC0C4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CA3211" w14:textId="25B7FA56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0F30D" w14:textId="6DA0D94B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ECCF9B" w14:textId="29B7807A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B9ADD1" w14:textId="066D7A05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[0.001***]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2D7BB2" w14:textId="52377614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1403AD" w:rsidRPr="00F446C2" w14:paraId="02EF42AF" w14:textId="77EF60F5" w:rsidTr="00B50195">
        <w:trPr>
          <w:trHeight w:val="300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DAB4" w14:textId="677D9F57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AB(2) p-value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78ED57" w14:textId="2B5BF7D8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B8DF05" w14:textId="1E0B7C5A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442F7" w14:textId="3D394F7D" w:rsidR="001403AD" w:rsidRPr="00F446C2" w:rsidRDefault="001403AD" w:rsidP="001403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D91AA1" w14:textId="7FC89FE8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DDF5A2" w14:textId="30EECB10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446C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[0.292]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679C9A" w14:textId="524DE884" w:rsidR="001403AD" w:rsidRPr="00F446C2" w:rsidRDefault="001403AD" w:rsidP="001403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54286F05" w14:textId="4F4F8724" w:rsidR="00504BAB" w:rsidRPr="00EC5361" w:rsidRDefault="00C77A6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Notes:  Model 1 estimates a model with the residuals of a model of related party trade from using lagged values of U.S. FDI into the host country plus all the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regressors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in Table 4, model 5.  The interpretation is that, controlling for the predicted effects of FDI and other covariates, the estimate of the related party trade coefficient is the </w:t>
      </w:r>
      <w:r w:rsidR="001403AD">
        <w:rPr>
          <w:rFonts w:ascii="Helvetica" w:eastAsia="Times New Roman" w:hAnsi="Helvetica" w:cs="Helvetica"/>
          <w:color w:val="000000"/>
          <w:sz w:val="20"/>
          <w:szCs w:val="20"/>
        </w:rPr>
        <w:t>unique identifying variance of related party imports, controlling for the imports’ dependence on FDI, undervaluation, and other covariates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 </w:t>
      </w:r>
      <w:r w:rsidR="003D5EB9">
        <w:rPr>
          <w:rFonts w:ascii="Helvetica" w:eastAsia="Times New Roman" w:hAnsi="Helvetica" w:cs="Helvetica"/>
          <w:color w:val="000000"/>
          <w:sz w:val="20"/>
          <w:szCs w:val="20"/>
        </w:rPr>
        <w:t>Sustained u</w:t>
      </w:r>
      <w:r w:rsidR="001106AE" w:rsidRPr="00F446C2">
        <w:rPr>
          <w:rFonts w:ascii="Helvetica" w:eastAsia="Times New Roman" w:hAnsi="Helvetica" w:cs="Helvetica"/>
          <w:color w:val="000000"/>
          <w:sz w:val="20"/>
          <w:szCs w:val="20"/>
        </w:rPr>
        <w:t>ndervaluation is defined as three conse</w:t>
      </w:r>
      <w:r w:rsidR="001106AE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1106AE" w:rsidRPr="00F446C2">
        <w:rPr>
          <w:rFonts w:ascii="Helvetica" w:eastAsia="Times New Roman" w:hAnsi="Helvetica" w:cs="Helvetica"/>
          <w:color w:val="000000"/>
          <w:sz w:val="20"/>
          <w:szCs w:val="20"/>
        </w:rPr>
        <w:t xml:space="preserve">utive years </w:t>
      </w:r>
      <w:r w:rsidR="001106AE">
        <w:rPr>
          <w:rFonts w:ascii="Helvetica" w:eastAsia="Times New Roman" w:hAnsi="Helvetica" w:cs="Helvetica"/>
          <w:color w:val="000000"/>
          <w:sz w:val="20"/>
          <w:szCs w:val="20"/>
        </w:rPr>
        <w:t xml:space="preserve">(t-1, t-2, t-3) </w:t>
      </w:r>
      <w:r w:rsidR="001106AE" w:rsidRPr="00F446C2">
        <w:rPr>
          <w:rFonts w:ascii="Helvetica" w:eastAsia="Times New Roman" w:hAnsi="Helvetica" w:cs="Helvetica"/>
          <w:color w:val="000000"/>
          <w:sz w:val="20"/>
          <w:szCs w:val="20"/>
        </w:rPr>
        <w:t xml:space="preserve">with a currency that is 20% </w:t>
      </w:r>
      <w:r w:rsidR="001106AE">
        <w:rPr>
          <w:rFonts w:ascii="Helvetica" w:eastAsia="Times New Roman" w:hAnsi="Helvetica" w:cs="Helvetica"/>
          <w:color w:val="000000"/>
          <w:sz w:val="20"/>
          <w:szCs w:val="20"/>
        </w:rPr>
        <w:t xml:space="preserve">(model 3) </w:t>
      </w:r>
      <w:r w:rsidR="001106AE" w:rsidRPr="00F446C2">
        <w:rPr>
          <w:rFonts w:ascii="Helvetica" w:eastAsia="Times New Roman" w:hAnsi="Helvetica" w:cs="Helvetica"/>
          <w:color w:val="000000"/>
          <w:sz w:val="20"/>
          <w:szCs w:val="20"/>
        </w:rPr>
        <w:t xml:space="preserve">or </w:t>
      </w:r>
      <w:r w:rsidR="001106AE">
        <w:rPr>
          <w:rFonts w:ascii="Helvetica" w:eastAsia="Times New Roman" w:hAnsi="Helvetica" w:cs="Helvetica"/>
          <w:color w:val="000000"/>
          <w:sz w:val="20"/>
          <w:szCs w:val="20"/>
        </w:rPr>
        <w:t xml:space="preserve">10% (model 4) or </w:t>
      </w:r>
      <w:r w:rsidR="001106AE" w:rsidRPr="00F446C2">
        <w:rPr>
          <w:rFonts w:ascii="Helvetica" w:eastAsia="Times New Roman" w:hAnsi="Helvetica" w:cs="Helvetica"/>
          <w:color w:val="000000"/>
          <w:sz w:val="20"/>
          <w:szCs w:val="20"/>
        </w:rPr>
        <w:t>more</w:t>
      </w:r>
      <w:r w:rsidR="001106AE">
        <w:rPr>
          <w:rFonts w:ascii="Helvetica" w:eastAsia="Times New Roman" w:hAnsi="Helvetica" w:cs="Helvetica"/>
          <w:color w:val="000000"/>
          <w:sz w:val="20"/>
          <w:szCs w:val="20"/>
        </w:rPr>
        <w:t xml:space="preserve"> under-</w:t>
      </w:r>
      <w:r w:rsidR="001106AE" w:rsidRPr="00F446C2">
        <w:rPr>
          <w:rFonts w:ascii="Helvetica" w:eastAsia="Times New Roman" w:hAnsi="Helvetica" w:cs="Helvetica"/>
          <w:color w:val="000000"/>
          <w:sz w:val="20"/>
          <w:szCs w:val="20"/>
        </w:rPr>
        <w:t>valued using the indicators described in the appendix</w:t>
      </w:r>
      <w:r w:rsidR="00473D06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sectPr w:rsidR="00504BAB" w:rsidRPr="00EC5361" w:rsidSect="00846E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4C06" w14:textId="77777777" w:rsidR="00376936" w:rsidRDefault="00376936" w:rsidP="00B54D59">
      <w:pPr>
        <w:spacing w:after="0" w:line="240" w:lineRule="auto"/>
      </w:pPr>
      <w:r>
        <w:separator/>
      </w:r>
    </w:p>
  </w:endnote>
  <w:endnote w:type="continuationSeparator" w:id="0">
    <w:p w14:paraId="2E091EB6" w14:textId="77777777" w:rsidR="00376936" w:rsidRDefault="00376936" w:rsidP="00B5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06FE" w14:textId="77777777" w:rsidR="004167BA" w:rsidRDefault="00416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AA2B" w14:textId="77777777" w:rsidR="004167BA" w:rsidRDefault="004167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D1C4" w14:textId="77777777" w:rsidR="004167BA" w:rsidRDefault="004167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2FD77" w14:textId="77777777" w:rsidR="00376936" w:rsidRDefault="00376936" w:rsidP="00B54D59">
      <w:pPr>
        <w:spacing w:after="0" w:line="240" w:lineRule="auto"/>
      </w:pPr>
      <w:r>
        <w:separator/>
      </w:r>
    </w:p>
  </w:footnote>
  <w:footnote w:type="continuationSeparator" w:id="0">
    <w:p w14:paraId="3CBD8B79" w14:textId="77777777" w:rsidR="00376936" w:rsidRDefault="00376936" w:rsidP="00B54D59">
      <w:pPr>
        <w:spacing w:after="0" w:line="240" w:lineRule="auto"/>
      </w:pPr>
      <w:r>
        <w:continuationSeparator/>
      </w:r>
    </w:p>
  </w:footnote>
  <w:footnote w:id="1">
    <w:p w14:paraId="129A74B7" w14:textId="313CEA6F" w:rsidR="003D5EB9" w:rsidRPr="003D5EB9" w:rsidRDefault="003D5EB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3D5EB9">
        <w:rPr>
          <w:rStyle w:val="FootnoteReference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3D5EB9">
        <w:rPr>
          <w:rFonts w:ascii="Times New Roman" w:hAnsi="Times New Roman" w:cs="Times New Roman"/>
          <w:sz w:val="24"/>
          <w:szCs w:val="24"/>
        </w:rPr>
        <w:t xml:space="preserve">, See </w:t>
      </w:r>
      <w:hyperlink r:id="rId1" w:history="1">
        <w:r w:rsidRPr="003D5EB9">
          <w:rPr>
            <w:rStyle w:val="Hyperlink"/>
            <w:rFonts w:ascii="Times New Roman" w:hAnsi="Times New Roman" w:cs="Times New Roman"/>
            <w:sz w:val="24"/>
            <w:szCs w:val="24"/>
          </w:rPr>
          <w:t>www.stata.com/manuals13/rivpoisson.pdf</w:t>
        </w:r>
      </w:hyperlink>
      <w:r w:rsidRPr="003D5EB9">
        <w:rPr>
          <w:rFonts w:ascii="Times New Roman" w:hAnsi="Times New Roman" w:cs="Times New Roman"/>
          <w:sz w:val="24"/>
          <w:szCs w:val="24"/>
        </w:rPr>
        <w:t xml:space="preserve"> for details.</w:t>
      </w:r>
    </w:p>
  </w:footnote>
  <w:footnote w:id="2">
    <w:p w14:paraId="2975C89A" w14:textId="08FA6404" w:rsidR="00441BB0" w:rsidRPr="00F04A28" w:rsidRDefault="00441BB0" w:rsidP="00441BB0">
      <w:pPr>
        <w:pStyle w:val="FootnoteText"/>
        <w:rPr>
          <w:rFonts w:cs="Helvetica"/>
        </w:rPr>
      </w:pPr>
      <w:r w:rsidRPr="003D5EB9">
        <w:rPr>
          <w:rStyle w:val="FootnoteReference"/>
          <w:rFonts w:ascii="Times New Roman" w:hAnsi="Times New Roman" w:cs="Times New Roman"/>
          <w:sz w:val="24"/>
          <w:szCs w:val="24"/>
          <w:vertAlign w:val="baseline"/>
        </w:rPr>
        <w:footnoteRef/>
      </w:r>
      <w:r w:rsidR="003D5EB9" w:rsidRPr="003D5EB9">
        <w:rPr>
          <w:rFonts w:ascii="Times New Roman" w:hAnsi="Times New Roman" w:cs="Times New Roman"/>
          <w:sz w:val="24"/>
          <w:szCs w:val="24"/>
        </w:rPr>
        <w:t>,</w:t>
      </w:r>
      <w:r w:rsidRPr="003D5EB9">
        <w:rPr>
          <w:rFonts w:ascii="Times New Roman" w:hAnsi="Times New Roman" w:cs="Times New Roman"/>
          <w:sz w:val="24"/>
          <w:szCs w:val="24"/>
        </w:rPr>
        <w:t xml:space="preserve"> Where undervaluation (overvaluation) for three consecutive years was under 20%.  Similar results are obtained using a 10% threshold.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12CF" w14:textId="77777777" w:rsidR="004167BA" w:rsidRDefault="004167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561E" w14:textId="77777777" w:rsidR="004167BA" w:rsidRDefault="004167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8D83" w14:textId="77777777" w:rsidR="004167BA" w:rsidRDefault="00416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4B"/>
    <w:rsid w:val="00001CD6"/>
    <w:rsid w:val="00002ABB"/>
    <w:rsid w:val="00013C6D"/>
    <w:rsid w:val="00016A06"/>
    <w:rsid w:val="00046C4C"/>
    <w:rsid w:val="0005090B"/>
    <w:rsid w:val="0005124C"/>
    <w:rsid w:val="000515BB"/>
    <w:rsid w:val="00055707"/>
    <w:rsid w:val="00060195"/>
    <w:rsid w:val="0006284B"/>
    <w:rsid w:val="00072012"/>
    <w:rsid w:val="00074F81"/>
    <w:rsid w:val="00083F4C"/>
    <w:rsid w:val="000A44AA"/>
    <w:rsid w:val="000B354F"/>
    <w:rsid w:val="000B3B1E"/>
    <w:rsid w:val="000B42BE"/>
    <w:rsid w:val="000C692C"/>
    <w:rsid w:val="000D2DAF"/>
    <w:rsid w:val="000D52DC"/>
    <w:rsid w:val="000D67BB"/>
    <w:rsid w:val="000E08DD"/>
    <w:rsid w:val="000E15F6"/>
    <w:rsid w:val="000E1E35"/>
    <w:rsid w:val="000E4203"/>
    <w:rsid w:val="000E6E10"/>
    <w:rsid w:val="000F42AE"/>
    <w:rsid w:val="000F4704"/>
    <w:rsid w:val="00102A02"/>
    <w:rsid w:val="001106AE"/>
    <w:rsid w:val="001253D6"/>
    <w:rsid w:val="0013555C"/>
    <w:rsid w:val="001403AD"/>
    <w:rsid w:val="00142DEB"/>
    <w:rsid w:val="00152856"/>
    <w:rsid w:val="00154B0C"/>
    <w:rsid w:val="0016630D"/>
    <w:rsid w:val="001A30C8"/>
    <w:rsid w:val="001A4074"/>
    <w:rsid w:val="00200A1C"/>
    <w:rsid w:val="00204D20"/>
    <w:rsid w:val="00211D56"/>
    <w:rsid w:val="00220396"/>
    <w:rsid w:val="00225C3E"/>
    <w:rsid w:val="0027364A"/>
    <w:rsid w:val="0028308D"/>
    <w:rsid w:val="0029029C"/>
    <w:rsid w:val="002972C4"/>
    <w:rsid w:val="002A0AF7"/>
    <w:rsid w:val="002A0FEE"/>
    <w:rsid w:val="002B4162"/>
    <w:rsid w:val="002B6138"/>
    <w:rsid w:val="002C049D"/>
    <w:rsid w:val="002C229B"/>
    <w:rsid w:val="002D7A93"/>
    <w:rsid w:val="002E3254"/>
    <w:rsid w:val="002E6219"/>
    <w:rsid w:val="002F3F18"/>
    <w:rsid w:val="0031499D"/>
    <w:rsid w:val="00333835"/>
    <w:rsid w:val="003378BE"/>
    <w:rsid w:val="00371D64"/>
    <w:rsid w:val="00373DB7"/>
    <w:rsid w:val="00374F90"/>
    <w:rsid w:val="00376936"/>
    <w:rsid w:val="0038770B"/>
    <w:rsid w:val="00393A13"/>
    <w:rsid w:val="00395307"/>
    <w:rsid w:val="003A408B"/>
    <w:rsid w:val="003B19DD"/>
    <w:rsid w:val="003B3ABD"/>
    <w:rsid w:val="003C69A4"/>
    <w:rsid w:val="003C7B5F"/>
    <w:rsid w:val="003D0101"/>
    <w:rsid w:val="003D3D44"/>
    <w:rsid w:val="003D4DDA"/>
    <w:rsid w:val="003D5EB9"/>
    <w:rsid w:val="003D6C19"/>
    <w:rsid w:val="003E2DED"/>
    <w:rsid w:val="003E5A6E"/>
    <w:rsid w:val="003F6ED7"/>
    <w:rsid w:val="004167BA"/>
    <w:rsid w:val="00420B54"/>
    <w:rsid w:val="0042192C"/>
    <w:rsid w:val="00423220"/>
    <w:rsid w:val="004244FB"/>
    <w:rsid w:val="00441BB0"/>
    <w:rsid w:val="00454C11"/>
    <w:rsid w:val="00462AA6"/>
    <w:rsid w:val="00470A60"/>
    <w:rsid w:val="00473D06"/>
    <w:rsid w:val="004B7AEC"/>
    <w:rsid w:val="004C07ED"/>
    <w:rsid w:val="004C6C55"/>
    <w:rsid w:val="004C7F75"/>
    <w:rsid w:val="004E1076"/>
    <w:rsid w:val="00504BAB"/>
    <w:rsid w:val="00522BA9"/>
    <w:rsid w:val="005301EC"/>
    <w:rsid w:val="00533590"/>
    <w:rsid w:val="00552B58"/>
    <w:rsid w:val="00552BAF"/>
    <w:rsid w:val="00554626"/>
    <w:rsid w:val="00572817"/>
    <w:rsid w:val="00577ED6"/>
    <w:rsid w:val="00580797"/>
    <w:rsid w:val="0058714D"/>
    <w:rsid w:val="005945C5"/>
    <w:rsid w:val="00596A5E"/>
    <w:rsid w:val="005A622C"/>
    <w:rsid w:val="005B138A"/>
    <w:rsid w:val="005B73E8"/>
    <w:rsid w:val="005C4136"/>
    <w:rsid w:val="005D6B27"/>
    <w:rsid w:val="005F6DCC"/>
    <w:rsid w:val="00605E47"/>
    <w:rsid w:val="006068C2"/>
    <w:rsid w:val="00614519"/>
    <w:rsid w:val="00616A7E"/>
    <w:rsid w:val="00621CB9"/>
    <w:rsid w:val="00632BDD"/>
    <w:rsid w:val="00635B87"/>
    <w:rsid w:val="00640911"/>
    <w:rsid w:val="00644D86"/>
    <w:rsid w:val="0065521E"/>
    <w:rsid w:val="006614DE"/>
    <w:rsid w:val="00673DBB"/>
    <w:rsid w:val="006858C1"/>
    <w:rsid w:val="0069049C"/>
    <w:rsid w:val="00691D04"/>
    <w:rsid w:val="00696050"/>
    <w:rsid w:val="006B0681"/>
    <w:rsid w:val="006B4539"/>
    <w:rsid w:val="006D1344"/>
    <w:rsid w:val="006D1C13"/>
    <w:rsid w:val="006E25E8"/>
    <w:rsid w:val="006E6A0F"/>
    <w:rsid w:val="006F6EC4"/>
    <w:rsid w:val="00700EA6"/>
    <w:rsid w:val="007111D8"/>
    <w:rsid w:val="00711A54"/>
    <w:rsid w:val="00713D45"/>
    <w:rsid w:val="007207FE"/>
    <w:rsid w:val="00743F4E"/>
    <w:rsid w:val="00747683"/>
    <w:rsid w:val="00750182"/>
    <w:rsid w:val="00751062"/>
    <w:rsid w:val="0075321C"/>
    <w:rsid w:val="00760BBF"/>
    <w:rsid w:val="00760FBC"/>
    <w:rsid w:val="00777768"/>
    <w:rsid w:val="00784DF7"/>
    <w:rsid w:val="007853C2"/>
    <w:rsid w:val="007C04AE"/>
    <w:rsid w:val="007C2B12"/>
    <w:rsid w:val="007C6A9E"/>
    <w:rsid w:val="007C7CFD"/>
    <w:rsid w:val="007D03DC"/>
    <w:rsid w:val="007D6B01"/>
    <w:rsid w:val="00803E57"/>
    <w:rsid w:val="00813F7D"/>
    <w:rsid w:val="008209BB"/>
    <w:rsid w:val="00846EA7"/>
    <w:rsid w:val="00854E43"/>
    <w:rsid w:val="008606C0"/>
    <w:rsid w:val="00864796"/>
    <w:rsid w:val="00866539"/>
    <w:rsid w:val="00877708"/>
    <w:rsid w:val="00880751"/>
    <w:rsid w:val="00881E43"/>
    <w:rsid w:val="008922EF"/>
    <w:rsid w:val="0089351C"/>
    <w:rsid w:val="008A1D7C"/>
    <w:rsid w:val="008A603E"/>
    <w:rsid w:val="008A7731"/>
    <w:rsid w:val="008D2A2C"/>
    <w:rsid w:val="008E2EFD"/>
    <w:rsid w:val="009020BC"/>
    <w:rsid w:val="00902BD5"/>
    <w:rsid w:val="0090737E"/>
    <w:rsid w:val="00914BA4"/>
    <w:rsid w:val="009438D8"/>
    <w:rsid w:val="00954416"/>
    <w:rsid w:val="00955512"/>
    <w:rsid w:val="00982E8F"/>
    <w:rsid w:val="009A7F09"/>
    <w:rsid w:val="009B2E69"/>
    <w:rsid w:val="009B437D"/>
    <w:rsid w:val="009C7B3A"/>
    <w:rsid w:val="009D6046"/>
    <w:rsid w:val="009E2C47"/>
    <w:rsid w:val="00A23F0B"/>
    <w:rsid w:val="00A2510D"/>
    <w:rsid w:val="00A25301"/>
    <w:rsid w:val="00A51CCA"/>
    <w:rsid w:val="00A53819"/>
    <w:rsid w:val="00A55DC0"/>
    <w:rsid w:val="00A6413E"/>
    <w:rsid w:val="00A679CC"/>
    <w:rsid w:val="00A67D69"/>
    <w:rsid w:val="00A72509"/>
    <w:rsid w:val="00A879E2"/>
    <w:rsid w:val="00A9478D"/>
    <w:rsid w:val="00AA1A56"/>
    <w:rsid w:val="00AA34F4"/>
    <w:rsid w:val="00AB0CC1"/>
    <w:rsid w:val="00AB0E9D"/>
    <w:rsid w:val="00AC04F3"/>
    <w:rsid w:val="00AC6DAA"/>
    <w:rsid w:val="00AC785B"/>
    <w:rsid w:val="00AD028B"/>
    <w:rsid w:val="00AD1989"/>
    <w:rsid w:val="00AE6360"/>
    <w:rsid w:val="00B05D69"/>
    <w:rsid w:val="00B06695"/>
    <w:rsid w:val="00B11514"/>
    <w:rsid w:val="00B152B4"/>
    <w:rsid w:val="00B20D32"/>
    <w:rsid w:val="00B21DD1"/>
    <w:rsid w:val="00B4174A"/>
    <w:rsid w:val="00B437FF"/>
    <w:rsid w:val="00B43C1C"/>
    <w:rsid w:val="00B44AA3"/>
    <w:rsid w:val="00B54511"/>
    <w:rsid w:val="00B54D59"/>
    <w:rsid w:val="00B61B09"/>
    <w:rsid w:val="00B65D2C"/>
    <w:rsid w:val="00B73DC1"/>
    <w:rsid w:val="00B83C2A"/>
    <w:rsid w:val="00B85B3D"/>
    <w:rsid w:val="00BA31AB"/>
    <w:rsid w:val="00BA3662"/>
    <w:rsid w:val="00BC3136"/>
    <w:rsid w:val="00BD2F74"/>
    <w:rsid w:val="00BD64DD"/>
    <w:rsid w:val="00BF1826"/>
    <w:rsid w:val="00C009F0"/>
    <w:rsid w:val="00C12912"/>
    <w:rsid w:val="00C14E9C"/>
    <w:rsid w:val="00C15821"/>
    <w:rsid w:val="00C204C9"/>
    <w:rsid w:val="00C63DF5"/>
    <w:rsid w:val="00C66664"/>
    <w:rsid w:val="00C772B2"/>
    <w:rsid w:val="00C77A6E"/>
    <w:rsid w:val="00C902FB"/>
    <w:rsid w:val="00C927C3"/>
    <w:rsid w:val="00CA6AD4"/>
    <w:rsid w:val="00CB7E87"/>
    <w:rsid w:val="00CC540B"/>
    <w:rsid w:val="00CC58F5"/>
    <w:rsid w:val="00CD778F"/>
    <w:rsid w:val="00CE277A"/>
    <w:rsid w:val="00CE48A2"/>
    <w:rsid w:val="00CE5A19"/>
    <w:rsid w:val="00CE6C0D"/>
    <w:rsid w:val="00CF1558"/>
    <w:rsid w:val="00CF72DE"/>
    <w:rsid w:val="00CF765B"/>
    <w:rsid w:val="00D047C4"/>
    <w:rsid w:val="00D06ADF"/>
    <w:rsid w:val="00D11E8C"/>
    <w:rsid w:val="00D15C7F"/>
    <w:rsid w:val="00D170AE"/>
    <w:rsid w:val="00D35D80"/>
    <w:rsid w:val="00D37105"/>
    <w:rsid w:val="00D538E4"/>
    <w:rsid w:val="00D760F4"/>
    <w:rsid w:val="00D7637B"/>
    <w:rsid w:val="00D842D7"/>
    <w:rsid w:val="00D865E3"/>
    <w:rsid w:val="00DA616B"/>
    <w:rsid w:val="00DC3F34"/>
    <w:rsid w:val="00DC4192"/>
    <w:rsid w:val="00DC6BEB"/>
    <w:rsid w:val="00DC6E0D"/>
    <w:rsid w:val="00DE3741"/>
    <w:rsid w:val="00DE477D"/>
    <w:rsid w:val="00DF3291"/>
    <w:rsid w:val="00E10F6A"/>
    <w:rsid w:val="00E11BFB"/>
    <w:rsid w:val="00E263F3"/>
    <w:rsid w:val="00E27F45"/>
    <w:rsid w:val="00E41D3F"/>
    <w:rsid w:val="00E51D42"/>
    <w:rsid w:val="00E54513"/>
    <w:rsid w:val="00E60C7A"/>
    <w:rsid w:val="00E62491"/>
    <w:rsid w:val="00E65D1C"/>
    <w:rsid w:val="00E72042"/>
    <w:rsid w:val="00E878EE"/>
    <w:rsid w:val="00E91D4B"/>
    <w:rsid w:val="00E9598D"/>
    <w:rsid w:val="00EA656B"/>
    <w:rsid w:val="00EC4033"/>
    <w:rsid w:val="00EC5361"/>
    <w:rsid w:val="00EC63BA"/>
    <w:rsid w:val="00EC69B0"/>
    <w:rsid w:val="00ED5E74"/>
    <w:rsid w:val="00ED7805"/>
    <w:rsid w:val="00EE13AC"/>
    <w:rsid w:val="00EE1D43"/>
    <w:rsid w:val="00EE2928"/>
    <w:rsid w:val="00EE5FE0"/>
    <w:rsid w:val="00EE74E9"/>
    <w:rsid w:val="00F0214B"/>
    <w:rsid w:val="00F04A28"/>
    <w:rsid w:val="00F059D6"/>
    <w:rsid w:val="00F06F95"/>
    <w:rsid w:val="00F446C2"/>
    <w:rsid w:val="00F57C7F"/>
    <w:rsid w:val="00F6194A"/>
    <w:rsid w:val="00F6675C"/>
    <w:rsid w:val="00F80332"/>
    <w:rsid w:val="00F80C2F"/>
    <w:rsid w:val="00F93076"/>
    <w:rsid w:val="00FB0E30"/>
    <w:rsid w:val="00FB1B8A"/>
    <w:rsid w:val="00FB26FC"/>
    <w:rsid w:val="00FB7C92"/>
    <w:rsid w:val="00FC696F"/>
    <w:rsid w:val="00FE1095"/>
    <w:rsid w:val="00FF5AC9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E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33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3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3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54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59"/>
    <w:rPr>
      <w:vertAlign w:val="superscript"/>
    </w:rPr>
  </w:style>
  <w:style w:type="character" w:customStyle="1" w:styleId="FootnoteTextChar4">
    <w:name w:val="Footnote Text Char4"/>
    <w:basedOn w:val="DefaultParagraphFont"/>
    <w:uiPriority w:val="99"/>
    <w:rsid w:val="004C6C55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E42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83F4C"/>
    <w:pPr>
      <w:tabs>
        <w:tab w:val="left" w:pos="4320"/>
        <w:tab w:val="left" w:pos="720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3F4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BA"/>
  </w:style>
  <w:style w:type="paragraph" w:styleId="Footer">
    <w:name w:val="footer"/>
    <w:basedOn w:val="Normal"/>
    <w:link w:val="FooterChar"/>
    <w:uiPriority w:val="99"/>
    <w:unhideWhenUsed/>
    <w:rsid w:val="004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BA"/>
  </w:style>
  <w:style w:type="character" w:styleId="Hyperlink">
    <w:name w:val="Hyperlink"/>
    <w:basedOn w:val="DefaultParagraphFont"/>
    <w:uiPriority w:val="99"/>
    <w:unhideWhenUsed/>
    <w:rsid w:val="003D5E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33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3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3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54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59"/>
    <w:rPr>
      <w:vertAlign w:val="superscript"/>
    </w:rPr>
  </w:style>
  <w:style w:type="character" w:customStyle="1" w:styleId="FootnoteTextChar4">
    <w:name w:val="Footnote Text Char4"/>
    <w:basedOn w:val="DefaultParagraphFont"/>
    <w:uiPriority w:val="99"/>
    <w:rsid w:val="004C6C55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E42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83F4C"/>
    <w:pPr>
      <w:tabs>
        <w:tab w:val="left" w:pos="4320"/>
        <w:tab w:val="left" w:pos="720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3F4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BA"/>
  </w:style>
  <w:style w:type="paragraph" w:styleId="Footer">
    <w:name w:val="footer"/>
    <w:basedOn w:val="Normal"/>
    <w:link w:val="FooterChar"/>
    <w:uiPriority w:val="99"/>
    <w:unhideWhenUsed/>
    <w:rsid w:val="004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BA"/>
  </w:style>
  <w:style w:type="character" w:styleId="Hyperlink">
    <w:name w:val="Hyperlink"/>
    <w:basedOn w:val="DefaultParagraphFont"/>
    <w:uiPriority w:val="99"/>
    <w:unhideWhenUsed/>
    <w:rsid w:val="003D5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a.com/manuals13/rivpoiss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4DA2-A9BD-844A-ABAE-B47F61E1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2015-06-08T14:02:00Z</dcterms:created>
  <dcterms:modified xsi:type="dcterms:W3CDTF">2015-06-08T14:02:00Z</dcterms:modified>
</cp:coreProperties>
</file>