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4EB1" w14:textId="77777777" w:rsidR="0000600D" w:rsidRPr="005B352B" w:rsidRDefault="0000600D" w:rsidP="0000600D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B352B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</w:t>
      </w:r>
    </w:p>
    <w:p w14:paraId="6EB1D7B5" w14:textId="77777777" w:rsidR="0000600D" w:rsidRDefault="0000600D" w:rsidP="000060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D8263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Tab.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A</w:t>
      </w:r>
      <w:r w:rsidRPr="00D8263D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C</w:t>
      </w:r>
      <w:r w:rsidRPr="00D8263D">
        <w:rPr>
          <w:rFonts w:ascii="Times New Roman" w:hAnsi="Times New Roman" w:cs="Times New Roman"/>
          <w:b/>
          <w:bCs/>
          <w:sz w:val="18"/>
          <w:szCs w:val="18"/>
          <w:lang w:val="en-US"/>
        </w:rPr>
        <w:t>abinet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 (country) by institutional features and number of reshuffles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709"/>
        <w:gridCol w:w="709"/>
        <w:gridCol w:w="1842"/>
        <w:gridCol w:w="2127"/>
        <w:gridCol w:w="1264"/>
      </w:tblGrid>
      <w:tr w:rsidR="0000600D" w:rsidRPr="005929EE" w14:paraId="55A80BF5" w14:textId="77777777" w:rsidTr="0017245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D1AE3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Cabinet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521B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38EE7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1D7E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PM power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E41FE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Share of</w:t>
            </w:r>
          </w:p>
          <w:p w14:paraId="6336713B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non-partisan ministers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DAF9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Consensus democracy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4393" w14:textId="77777777" w:rsidR="0000600D" w:rsidRPr="005929EE" w:rsidRDefault="0000600D" w:rsidP="0017245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5929E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Reshuffles (N)</w:t>
            </w:r>
          </w:p>
        </w:tc>
      </w:tr>
      <w:tr w:rsidR="0000600D" w:rsidRPr="001A6660" w14:paraId="0D61F0E7" w14:textId="77777777" w:rsidTr="0017245F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14:paraId="2ADFA0A1" w14:textId="77777777" w:rsidR="0000600D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bookmarkStart w:id="0" w:name="_Hlk92215408"/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Schröder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 (GER)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22062C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2002-05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4539CFB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6B9F83D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077518B3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2414B04" w14:textId="77777777" w:rsidR="0000600D" w:rsidRPr="001D4772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0DE7B6F1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0600D" w:rsidRPr="001A6660" w14:paraId="43F50819" w14:textId="77777777" w:rsidTr="0017245F">
        <w:trPr>
          <w:jc w:val="center"/>
        </w:trPr>
        <w:tc>
          <w:tcPr>
            <w:tcW w:w="2127" w:type="dxa"/>
          </w:tcPr>
          <w:p w14:paraId="01638DFC" w14:textId="77777777" w:rsidR="0000600D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Merkel I (GER)</w:t>
            </w:r>
          </w:p>
        </w:tc>
        <w:tc>
          <w:tcPr>
            <w:tcW w:w="850" w:type="dxa"/>
            <w:vAlign w:val="center"/>
          </w:tcPr>
          <w:p w14:paraId="634ABBA2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2005-09</w:t>
            </w:r>
          </w:p>
        </w:tc>
        <w:tc>
          <w:tcPr>
            <w:tcW w:w="709" w:type="dxa"/>
            <w:vAlign w:val="center"/>
          </w:tcPr>
          <w:p w14:paraId="450D33CF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2689581A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vAlign w:val="center"/>
          </w:tcPr>
          <w:p w14:paraId="7E05B75B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</w:tcPr>
          <w:p w14:paraId="3C581D10" w14:textId="77777777" w:rsidR="0000600D" w:rsidRPr="001D4772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64" w:type="dxa"/>
            <w:vAlign w:val="center"/>
          </w:tcPr>
          <w:p w14:paraId="1B5FC429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00600D" w:rsidRPr="001A6660" w14:paraId="4EEF89B2" w14:textId="77777777" w:rsidTr="0017245F">
        <w:trPr>
          <w:jc w:val="center"/>
        </w:trPr>
        <w:tc>
          <w:tcPr>
            <w:tcW w:w="2127" w:type="dxa"/>
          </w:tcPr>
          <w:p w14:paraId="2A44918F" w14:textId="77777777" w:rsidR="0000600D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Merkel II (GER)</w:t>
            </w:r>
          </w:p>
        </w:tc>
        <w:tc>
          <w:tcPr>
            <w:tcW w:w="850" w:type="dxa"/>
            <w:vAlign w:val="center"/>
          </w:tcPr>
          <w:p w14:paraId="2390D2B3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2009-13</w:t>
            </w:r>
          </w:p>
        </w:tc>
        <w:tc>
          <w:tcPr>
            <w:tcW w:w="709" w:type="dxa"/>
            <w:vAlign w:val="center"/>
          </w:tcPr>
          <w:p w14:paraId="05EFD5E7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5CEDAD39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vAlign w:val="center"/>
          </w:tcPr>
          <w:p w14:paraId="251B474A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</w:tcPr>
          <w:p w14:paraId="228AA4B9" w14:textId="77777777" w:rsidR="0000600D" w:rsidRPr="001D4772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64" w:type="dxa"/>
            <w:vAlign w:val="center"/>
          </w:tcPr>
          <w:p w14:paraId="3BDE0195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0600D" w:rsidRPr="001A6660" w14:paraId="709D87F9" w14:textId="77777777" w:rsidTr="0017245F">
        <w:trPr>
          <w:jc w:val="center"/>
        </w:trPr>
        <w:tc>
          <w:tcPr>
            <w:tcW w:w="2127" w:type="dxa"/>
          </w:tcPr>
          <w:p w14:paraId="56823FF7" w14:textId="77777777" w:rsidR="0000600D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Merkel III (GER)</w:t>
            </w:r>
          </w:p>
        </w:tc>
        <w:tc>
          <w:tcPr>
            <w:tcW w:w="850" w:type="dxa"/>
            <w:vAlign w:val="center"/>
          </w:tcPr>
          <w:p w14:paraId="5DDCB973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2013-18</w:t>
            </w:r>
          </w:p>
        </w:tc>
        <w:tc>
          <w:tcPr>
            <w:tcW w:w="709" w:type="dxa"/>
            <w:vAlign w:val="center"/>
          </w:tcPr>
          <w:p w14:paraId="77C35EFE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1D203DE5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vAlign w:val="center"/>
          </w:tcPr>
          <w:p w14:paraId="78F34B56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</w:tcPr>
          <w:p w14:paraId="289E1795" w14:textId="77777777" w:rsidR="0000600D" w:rsidRPr="001D4772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D47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264" w:type="dxa"/>
            <w:vAlign w:val="center"/>
          </w:tcPr>
          <w:p w14:paraId="53FB73FD" w14:textId="77777777" w:rsidR="0000600D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bookmarkEnd w:id="0"/>
      <w:tr w:rsidR="0000600D" w:rsidRPr="00CE5B49" w14:paraId="23EAA0D5" w14:textId="77777777" w:rsidTr="0017245F">
        <w:trPr>
          <w:jc w:val="center"/>
        </w:trPr>
        <w:tc>
          <w:tcPr>
            <w:tcW w:w="2127" w:type="dxa"/>
          </w:tcPr>
          <w:p w14:paraId="66765E34" w14:textId="77777777" w:rsidR="0000600D" w:rsidRPr="00CE5B49" w:rsidRDefault="0000600D" w:rsidP="0017245F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Mean </w:t>
            </w:r>
            <w:r w:rsidRPr="00CE5B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Germany</w:t>
            </w:r>
          </w:p>
        </w:tc>
        <w:tc>
          <w:tcPr>
            <w:tcW w:w="850" w:type="dxa"/>
            <w:vAlign w:val="center"/>
          </w:tcPr>
          <w:p w14:paraId="6608EFBE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FE239B7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4CD1EB0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vAlign w:val="center"/>
          </w:tcPr>
          <w:p w14:paraId="6C1F0D7E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</w:tcPr>
          <w:p w14:paraId="7E558684" w14:textId="77777777" w:rsidR="0000600D" w:rsidRPr="00FF773B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0.36</w:t>
            </w:r>
          </w:p>
        </w:tc>
        <w:tc>
          <w:tcPr>
            <w:tcW w:w="1264" w:type="dxa"/>
            <w:vAlign w:val="center"/>
          </w:tcPr>
          <w:p w14:paraId="32167DF3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2.8 (tot. 11)</w:t>
            </w:r>
          </w:p>
        </w:tc>
      </w:tr>
      <w:tr w:rsidR="0000600D" w:rsidRPr="001A6660" w14:paraId="0504005C" w14:textId="77777777" w:rsidTr="0017245F">
        <w:trPr>
          <w:jc w:val="center"/>
        </w:trPr>
        <w:tc>
          <w:tcPr>
            <w:tcW w:w="2127" w:type="dxa"/>
          </w:tcPr>
          <w:p w14:paraId="7B28BEC7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Berlusconi II (ITA)</w:t>
            </w:r>
          </w:p>
        </w:tc>
        <w:tc>
          <w:tcPr>
            <w:tcW w:w="850" w:type="dxa"/>
            <w:vAlign w:val="center"/>
          </w:tcPr>
          <w:p w14:paraId="652BC95C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2001-05</w:t>
            </w:r>
          </w:p>
        </w:tc>
        <w:tc>
          <w:tcPr>
            <w:tcW w:w="709" w:type="dxa"/>
            <w:vAlign w:val="center"/>
          </w:tcPr>
          <w:p w14:paraId="5BD8AC02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224B9D8C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49E7CF0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8.3%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D870C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264" w:type="dxa"/>
            <w:vAlign w:val="center"/>
          </w:tcPr>
          <w:p w14:paraId="0532B2DA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00600D" w:rsidRPr="001A6660" w14:paraId="4469B50A" w14:textId="77777777" w:rsidTr="0017245F">
        <w:trPr>
          <w:jc w:val="center"/>
        </w:trPr>
        <w:tc>
          <w:tcPr>
            <w:tcW w:w="2127" w:type="dxa"/>
          </w:tcPr>
          <w:p w14:paraId="058E6E84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Berlusconi II (ITA)</w:t>
            </w:r>
          </w:p>
        </w:tc>
        <w:tc>
          <w:tcPr>
            <w:tcW w:w="850" w:type="dxa"/>
            <w:vAlign w:val="center"/>
          </w:tcPr>
          <w:p w14:paraId="44326E0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2005-06</w:t>
            </w:r>
          </w:p>
        </w:tc>
        <w:tc>
          <w:tcPr>
            <w:tcW w:w="709" w:type="dxa"/>
            <w:vAlign w:val="center"/>
          </w:tcPr>
          <w:p w14:paraId="5DB5007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03DF352A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250749A0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04FE6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264" w:type="dxa"/>
            <w:vAlign w:val="center"/>
          </w:tcPr>
          <w:p w14:paraId="5825FD0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00600D" w:rsidRPr="001A6660" w14:paraId="0A3D2B7B" w14:textId="77777777" w:rsidTr="0017245F">
        <w:trPr>
          <w:jc w:val="center"/>
        </w:trPr>
        <w:tc>
          <w:tcPr>
            <w:tcW w:w="2127" w:type="dxa"/>
          </w:tcPr>
          <w:p w14:paraId="265307E4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Prodi II (ITA)</w:t>
            </w:r>
          </w:p>
        </w:tc>
        <w:tc>
          <w:tcPr>
            <w:tcW w:w="850" w:type="dxa"/>
            <w:vAlign w:val="center"/>
          </w:tcPr>
          <w:p w14:paraId="5A6285B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2006-08</w:t>
            </w:r>
          </w:p>
        </w:tc>
        <w:tc>
          <w:tcPr>
            <w:tcW w:w="709" w:type="dxa"/>
            <w:vAlign w:val="center"/>
          </w:tcPr>
          <w:p w14:paraId="10B015F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4E4895A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51A2F6F9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20.8%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98239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64" w:type="dxa"/>
            <w:vAlign w:val="center"/>
          </w:tcPr>
          <w:p w14:paraId="6035C7C1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0600D" w:rsidRPr="001A6660" w14:paraId="060A1250" w14:textId="77777777" w:rsidTr="0017245F">
        <w:trPr>
          <w:jc w:val="center"/>
        </w:trPr>
        <w:tc>
          <w:tcPr>
            <w:tcW w:w="2127" w:type="dxa"/>
          </w:tcPr>
          <w:p w14:paraId="67B9C487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Berlusconi IV (ITA)</w:t>
            </w:r>
          </w:p>
        </w:tc>
        <w:tc>
          <w:tcPr>
            <w:tcW w:w="850" w:type="dxa"/>
            <w:vAlign w:val="center"/>
          </w:tcPr>
          <w:p w14:paraId="5CB56DB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2008-11</w:t>
            </w:r>
          </w:p>
        </w:tc>
        <w:tc>
          <w:tcPr>
            <w:tcW w:w="709" w:type="dxa"/>
            <w:vAlign w:val="center"/>
          </w:tcPr>
          <w:p w14:paraId="3740182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30EB228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47985BC6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A6C1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64" w:type="dxa"/>
            <w:vAlign w:val="center"/>
          </w:tcPr>
          <w:p w14:paraId="62DAFC3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00600D" w:rsidRPr="001A6660" w14:paraId="463FC01C" w14:textId="77777777" w:rsidTr="0017245F">
        <w:trPr>
          <w:jc w:val="center"/>
        </w:trPr>
        <w:tc>
          <w:tcPr>
            <w:tcW w:w="2127" w:type="dxa"/>
          </w:tcPr>
          <w:p w14:paraId="4B6D3C1D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Monti (ITA)</w:t>
            </w:r>
          </w:p>
        </w:tc>
        <w:tc>
          <w:tcPr>
            <w:tcW w:w="850" w:type="dxa"/>
            <w:vAlign w:val="center"/>
          </w:tcPr>
          <w:p w14:paraId="38A7EF1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2011-13</w:t>
            </w:r>
          </w:p>
        </w:tc>
        <w:tc>
          <w:tcPr>
            <w:tcW w:w="709" w:type="dxa"/>
            <w:vAlign w:val="center"/>
          </w:tcPr>
          <w:p w14:paraId="1D8C14E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Tech.</w:t>
            </w:r>
          </w:p>
        </w:tc>
        <w:tc>
          <w:tcPr>
            <w:tcW w:w="709" w:type="dxa"/>
            <w:vAlign w:val="center"/>
          </w:tcPr>
          <w:p w14:paraId="220BC48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38804A1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7FBCD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64" w:type="dxa"/>
            <w:vAlign w:val="center"/>
          </w:tcPr>
          <w:p w14:paraId="4373A2F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1A6660" w14:paraId="21EF3EB8" w14:textId="77777777" w:rsidTr="0017245F">
        <w:trPr>
          <w:jc w:val="center"/>
        </w:trPr>
        <w:tc>
          <w:tcPr>
            <w:tcW w:w="2127" w:type="dxa"/>
          </w:tcPr>
          <w:p w14:paraId="16B9DEF8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Letta I (ITA)</w:t>
            </w:r>
          </w:p>
        </w:tc>
        <w:tc>
          <w:tcPr>
            <w:tcW w:w="850" w:type="dxa"/>
            <w:vAlign w:val="center"/>
          </w:tcPr>
          <w:p w14:paraId="73ABA00A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</w:t>
            </w:r>
          </w:p>
        </w:tc>
        <w:tc>
          <w:tcPr>
            <w:tcW w:w="709" w:type="dxa"/>
            <w:vAlign w:val="center"/>
          </w:tcPr>
          <w:p w14:paraId="1A279892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7C14D31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45F3AA3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FB0B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64" w:type="dxa"/>
            <w:vAlign w:val="center"/>
          </w:tcPr>
          <w:p w14:paraId="6569ABC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1A6660" w14:paraId="2999F1BC" w14:textId="77777777" w:rsidTr="0017245F">
        <w:trPr>
          <w:jc w:val="center"/>
        </w:trPr>
        <w:tc>
          <w:tcPr>
            <w:tcW w:w="2127" w:type="dxa"/>
          </w:tcPr>
          <w:p w14:paraId="7245DB61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Letta II (ITA)</w:t>
            </w:r>
          </w:p>
        </w:tc>
        <w:tc>
          <w:tcPr>
            <w:tcW w:w="850" w:type="dxa"/>
            <w:vAlign w:val="center"/>
          </w:tcPr>
          <w:p w14:paraId="7CFDFD7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2013-14</w:t>
            </w:r>
          </w:p>
        </w:tc>
        <w:tc>
          <w:tcPr>
            <w:tcW w:w="709" w:type="dxa"/>
            <w:vAlign w:val="center"/>
          </w:tcPr>
          <w:p w14:paraId="36F1A75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6FAE21E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06577E94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15.0%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975B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64" w:type="dxa"/>
            <w:vAlign w:val="center"/>
          </w:tcPr>
          <w:p w14:paraId="367E629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0600D" w:rsidRPr="001A6660" w14:paraId="3F2907F7" w14:textId="77777777" w:rsidTr="0017245F">
        <w:trPr>
          <w:jc w:val="center"/>
        </w:trPr>
        <w:tc>
          <w:tcPr>
            <w:tcW w:w="2127" w:type="dxa"/>
          </w:tcPr>
          <w:p w14:paraId="11DB84D4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Renzi (ITA)</w:t>
            </w:r>
          </w:p>
        </w:tc>
        <w:tc>
          <w:tcPr>
            <w:tcW w:w="850" w:type="dxa"/>
            <w:vAlign w:val="center"/>
          </w:tcPr>
          <w:p w14:paraId="2D83701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2014-16</w:t>
            </w:r>
          </w:p>
        </w:tc>
        <w:tc>
          <w:tcPr>
            <w:tcW w:w="709" w:type="dxa"/>
            <w:vAlign w:val="center"/>
          </w:tcPr>
          <w:p w14:paraId="266FE93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2E539C8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58A9D3C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11.8%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F548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64" w:type="dxa"/>
            <w:vAlign w:val="center"/>
          </w:tcPr>
          <w:p w14:paraId="52847929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0600D" w:rsidRPr="001A6660" w14:paraId="740AB9CF" w14:textId="77777777" w:rsidTr="0017245F">
        <w:trPr>
          <w:jc w:val="center"/>
        </w:trPr>
        <w:tc>
          <w:tcPr>
            <w:tcW w:w="2127" w:type="dxa"/>
          </w:tcPr>
          <w:p w14:paraId="2423620E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Gentiloni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(ITA)</w:t>
            </w:r>
          </w:p>
        </w:tc>
        <w:tc>
          <w:tcPr>
            <w:tcW w:w="850" w:type="dxa"/>
            <w:vAlign w:val="center"/>
          </w:tcPr>
          <w:p w14:paraId="7C7565F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2016-18</w:t>
            </w:r>
          </w:p>
        </w:tc>
        <w:tc>
          <w:tcPr>
            <w:tcW w:w="709" w:type="dxa"/>
            <w:vAlign w:val="center"/>
          </w:tcPr>
          <w:p w14:paraId="3ED5750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14:paraId="1DF714F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2AEBFA89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10.5%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1317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64" w:type="dxa"/>
            <w:vAlign w:val="center"/>
          </w:tcPr>
          <w:p w14:paraId="56A43178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1A6660" w14:paraId="76339DC2" w14:textId="77777777" w:rsidTr="0017245F">
        <w:trPr>
          <w:jc w:val="center"/>
        </w:trPr>
        <w:tc>
          <w:tcPr>
            <w:tcW w:w="2127" w:type="dxa"/>
          </w:tcPr>
          <w:p w14:paraId="5A8725A5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Conte I (ITA)</w:t>
            </w:r>
          </w:p>
        </w:tc>
        <w:tc>
          <w:tcPr>
            <w:tcW w:w="850" w:type="dxa"/>
            <w:vAlign w:val="center"/>
          </w:tcPr>
          <w:p w14:paraId="0DBC1711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2018-19</w:t>
            </w:r>
          </w:p>
        </w:tc>
        <w:tc>
          <w:tcPr>
            <w:tcW w:w="709" w:type="dxa"/>
            <w:vAlign w:val="center"/>
          </w:tcPr>
          <w:p w14:paraId="03CD9EC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  <w:vAlign w:val="center"/>
          </w:tcPr>
          <w:p w14:paraId="0250E33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742A04F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31.6%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DF405" w14:textId="77777777" w:rsidR="0000600D" w:rsidRPr="00FF773B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F773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64" w:type="dxa"/>
            <w:vAlign w:val="center"/>
          </w:tcPr>
          <w:p w14:paraId="31571E56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CE5B49" w14:paraId="50086158" w14:textId="77777777" w:rsidTr="0017245F">
        <w:trPr>
          <w:jc w:val="center"/>
        </w:trPr>
        <w:tc>
          <w:tcPr>
            <w:tcW w:w="2127" w:type="dxa"/>
          </w:tcPr>
          <w:p w14:paraId="3538177C" w14:textId="77777777" w:rsidR="0000600D" w:rsidRPr="00CE5B49" w:rsidRDefault="0000600D" w:rsidP="0017245F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Mean </w:t>
            </w:r>
            <w:r w:rsidRPr="00CE5B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Italy</w:t>
            </w:r>
          </w:p>
        </w:tc>
        <w:tc>
          <w:tcPr>
            <w:tcW w:w="850" w:type="dxa"/>
            <w:vAlign w:val="center"/>
          </w:tcPr>
          <w:p w14:paraId="43E9BB33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BF747B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E49488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0.57</w:t>
            </w:r>
          </w:p>
        </w:tc>
        <w:tc>
          <w:tcPr>
            <w:tcW w:w="1842" w:type="dxa"/>
            <w:vAlign w:val="center"/>
          </w:tcPr>
          <w:p w14:paraId="53231D5E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21.7%</w:t>
            </w:r>
          </w:p>
        </w:tc>
        <w:tc>
          <w:tcPr>
            <w:tcW w:w="2127" w:type="dxa"/>
          </w:tcPr>
          <w:p w14:paraId="052A7193" w14:textId="77777777" w:rsidR="0000600D" w:rsidRPr="00FF773B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FF773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0.99</w:t>
            </w:r>
          </w:p>
        </w:tc>
        <w:tc>
          <w:tcPr>
            <w:tcW w:w="1264" w:type="dxa"/>
            <w:vAlign w:val="center"/>
          </w:tcPr>
          <w:p w14:paraId="4853C063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2.2 (tot. 22*)</w:t>
            </w:r>
          </w:p>
        </w:tc>
      </w:tr>
      <w:tr w:rsidR="0000600D" w:rsidRPr="001A6660" w14:paraId="5443A5FF" w14:textId="77777777" w:rsidTr="0017245F">
        <w:trPr>
          <w:jc w:val="center"/>
        </w:trPr>
        <w:tc>
          <w:tcPr>
            <w:tcW w:w="2127" w:type="dxa"/>
          </w:tcPr>
          <w:p w14:paraId="6C8B3C77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Aznar II (SPA)</w:t>
            </w:r>
          </w:p>
        </w:tc>
        <w:tc>
          <w:tcPr>
            <w:tcW w:w="850" w:type="dxa"/>
            <w:vAlign w:val="center"/>
          </w:tcPr>
          <w:p w14:paraId="349B96B8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2000-04</w:t>
            </w:r>
          </w:p>
        </w:tc>
        <w:tc>
          <w:tcPr>
            <w:tcW w:w="709" w:type="dxa"/>
            <w:vAlign w:val="center"/>
          </w:tcPr>
          <w:p w14:paraId="4FF1E37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0DB119AA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5E324DC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5.9%</w:t>
            </w:r>
          </w:p>
        </w:tc>
        <w:tc>
          <w:tcPr>
            <w:tcW w:w="2127" w:type="dxa"/>
          </w:tcPr>
          <w:p w14:paraId="4ADE758D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264" w:type="dxa"/>
            <w:vAlign w:val="center"/>
          </w:tcPr>
          <w:p w14:paraId="53508D2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0600D" w:rsidRPr="001A6660" w14:paraId="7B658F53" w14:textId="77777777" w:rsidTr="0017245F">
        <w:trPr>
          <w:jc w:val="center"/>
        </w:trPr>
        <w:tc>
          <w:tcPr>
            <w:tcW w:w="2127" w:type="dxa"/>
          </w:tcPr>
          <w:p w14:paraId="42441482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4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Rodríguez Zapatero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 (SPA)</w:t>
            </w:r>
          </w:p>
        </w:tc>
        <w:tc>
          <w:tcPr>
            <w:tcW w:w="850" w:type="dxa"/>
            <w:vAlign w:val="center"/>
          </w:tcPr>
          <w:p w14:paraId="48D3962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2004-08</w:t>
            </w:r>
          </w:p>
        </w:tc>
        <w:tc>
          <w:tcPr>
            <w:tcW w:w="709" w:type="dxa"/>
            <w:vAlign w:val="center"/>
          </w:tcPr>
          <w:p w14:paraId="7833D7E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  <w:proofErr w:type="spellEnd"/>
          </w:p>
        </w:tc>
        <w:tc>
          <w:tcPr>
            <w:tcW w:w="709" w:type="dxa"/>
          </w:tcPr>
          <w:p w14:paraId="77EE267C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0647492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5.9%</w:t>
            </w:r>
          </w:p>
        </w:tc>
        <w:tc>
          <w:tcPr>
            <w:tcW w:w="2127" w:type="dxa"/>
          </w:tcPr>
          <w:p w14:paraId="77CF0D00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64" w:type="dxa"/>
            <w:vAlign w:val="center"/>
          </w:tcPr>
          <w:p w14:paraId="5D32A80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0600D" w:rsidRPr="001A6660" w14:paraId="443D4C62" w14:textId="77777777" w:rsidTr="0017245F">
        <w:trPr>
          <w:jc w:val="center"/>
        </w:trPr>
        <w:tc>
          <w:tcPr>
            <w:tcW w:w="2127" w:type="dxa"/>
          </w:tcPr>
          <w:p w14:paraId="0238617C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64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Rodríguez Zapatero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II (SPA)</w:t>
            </w:r>
          </w:p>
        </w:tc>
        <w:tc>
          <w:tcPr>
            <w:tcW w:w="850" w:type="dxa"/>
            <w:vAlign w:val="center"/>
          </w:tcPr>
          <w:p w14:paraId="48008F1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2008-11</w:t>
            </w:r>
          </w:p>
        </w:tc>
        <w:tc>
          <w:tcPr>
            <w:tcW w:w="709" w:type="dxa"/>
            <w:vAlign w:val="center"/>
          </w:tcPr>
          <w:p w14:paraId="587F26C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  <w:proofErr w:type="spellEnd"/>
          </w:p>
        </w:tc>
        <w:tc>
          <w:tcPr>
            <w:tcW w:w="709" w:type="dxa"/>
          </w:tcPr>
          <w:p w14:paraId="21005A18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258D1978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11.1%</w:t>
            </w:r>
          </w:p>
        </w:tc>
        <w:tc>
          <w:tcPr>
            <w:tcW w:w="2127" w:type="dxa"/>
          </w:tcPr>
          <w:p w14:paraId="3116E6C3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64" w:type="dxa"/>
            <w:vAlign w:val="center"/>
          </w:tcPr>
          <w:p w14:paraId="569F9C5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00600D" w:rsidRPr="001A6660" w14:paraId="5A714BF3" w14:textId="77777777" w:rsidTr="0017245F">
        <w:trPr>
          <w:jc w:val="center"/>
        </w:trPr>
        <w:tc>
          <w:tcPr>
            <w:tcW w:w="2127" w:type="dxa"/>
          </w:tcPr>
          <w:p w14:paraId="7EA82DD4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Rajoy I (SPA)</w:t>
            </w:r>
          </w:p>
        </w:tc>
        <w:tc>
          <w:tcPr>
            <w:tcW w:w="850" w:type="dxa"/>
            <w:vAlign w:val="center"/>
          </w:tcPr>
          <w:p w14:paraId="14F3233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2011-16</w:t>
            </w:r>
          </w:p>
        </w:tc>
        <w:tc>
          <w:tcPr>
            <w:tcW w:w="709" w:type="dxa"/>
            <w:vAlign w:val="center"/>
          </w:tcPr>
          <w:p w14:paraId="4E9BB380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46421542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7036640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21.4%</w:t>
            </w:r>
          </w:p>
        </w:tc>
        <w:tc>
          <w:tcPr>
            <w:tcW w:w="2127" w:type="dxa"/>
          </w:tcPr>
          <w:p w14:paraId="71A9808B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64" w:type="dxa"/>
            <w:vAlign w:val="center"/>
          </w:tcPr>
          <w:p w14:paraId="0EB54052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00600D" w:rsidRPr="001A6660" w14:paraId="0AB79C91" w14:textId="77777777" w:rsidTr="0017245F">
        <w:trPr>
          <w:jc w:val="center"/>
        </w:trPr>
        <w:tc>
          <w:tcPr>
            <w:tcW w:w="2127" w:type="dxa"/>
          </w:tcPr>
          <w:p w14:paraId="477B9207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Rajoy II (SPA)</w:t>
            </w:r>
          </w:p>
        </w:tc>
        <w:tc>
          <w:tcPr>
            <w:tcW w:w="850" w:type="dxa"/>
            <w:vAlign w:val="center"/>
          </w:tcPr>
          <w:p w14:paraId="6A9DEDD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2016-18</w:t>
            </w:r>
          </w:p>
        </w:tc>
        <w:tc>
          <w:tcPr>
            <w:tcW w:w="709" w:type="dxa"/>
            <w:vAlign w:val="center"/>
          </w:tcPr>
          <w:p w14:paraId="47B9F5AC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44129389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17B2D69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14.3%</w:t>
            </w:r>
          </w:p>
        </w:tc>
        <w:tc>
          <w:tcPr>
            <w:tcW w:w="2127" w:type="dxa"/>
          </w:tcPr>
          <w:p w14:paraId="42E06229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64" w:type="dxa"/>
            <w:vAlign w:val="center"/>
          </w:tcPr>
          <w:p w14:paraId="352294EA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1A6660" w14:paraId="7EFCCC39" w14:textId="77777777" w:rsidTr="0017245F">
        <w:trPr>
          <w:jc w:val="center"/>
        </w:trPr>
        <w:tc>
          <w:tcPr>
            <w:tcW w:w="2127" w:type="dxa"/>
          </w:tcPr>
          <w:p w14:paraId="40FE2C0F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45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Sánchez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(SPA)</w:t>
            </w:r>
          </w:p>
        </w:tc>
        <w:tc>
          <w:tcPr>
            <w:tcW w:w="850" w:type="dxa"/>
            <w:vAlign w:val="center"/>
          </w:tcPr>
          <w:p w14:paraId="71ED1CE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2018-20</w:t>
            </w:r>
          </w:p>
        </w:tc>
        <w:tc>
          <w:tcPr>
            <w:tcW w:w="709" w:type="dxa"/>
            <w:vAlign w:val="center"/>
          </w:tcPr>
          <w:p w14:paraId="307BBC5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  <w:proofErr w:type="spellEnd"/>
          </w:p>
        </w:tc>
        <w:tc>
          <w:tcPr>
            <w:tcW w:w="709" w:type="dxa"/>
          </w:tcPr>
          <w:p w14:paraId="15F616D3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1CD66AB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33.3%</w:t>
            </w:r>
          </w:p>
        </w:tc>
        <w:tc>
          <w:tcPr>
            <w:tcW w:w="2127" w:type="dxa"/>
          </w:tcPr>
          <w:p w14:paraId="68C945BF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64" w:type="dxa"/>
            <w:vAlign w:val="center"/>
          </w:tcPr>
          <w:p w14:paraId="0C85AAF9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00600D" w:rsidRPr="00CE5B49" w14:paraId="47C0CF0F" w14:textId="77777777" w:rsidTr="0017245F">
        <w:trPr>
          <w:jc w:val="center"/>
        </w:trPr>
        <w:tc>
          <w:tcPr>
            <w:tcW w:w="2127" w:type="dxa"/>
          </w:tcPr>
          <w:p w14:paraId="4333A8A2" w14:textId="77777777" w:rsidR="0000600D" w:rsidRPr="00CE5B49" w:rsidRDefault="0000600D" w:rsidP="0017245F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Mean S</w:t>
            </w:r>
            <w:r w:rsidRPr="00CE5B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pain</w:t>
            </w:r>
          </w:p>
        </w:tc>
        <w:tc>
          <w:tcPr>
            <w:tcW w:w="850" w:type="dxa"/>
            <w:vAlign w:val="center"/>
          </w:tcPr>
          <w:p w14:paraId="2FD9277E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8CCE20B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7088E99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  <w:vAlign w:val="center"/>
          </w:tcPr>
          <w:p w14:paraId="0E534BD1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15.3%</w:t>
            </w:r>
          </w:p>
        </w:tc>
        <w:tc>
          <w:tcPr>
            <w:tcW w:w="2127" w:type="dxa"/>
          </w:tcPr>
          <w:p w14:paraId="2C90484D" w14:textId="77777777" w:rsidR="0000600D" w:rsidRPr="00E40961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-0.48</w:t>
            </w:r>
          </w:p>
        </w:tc>
        <w:tc>
          <w:tcPr>
            <w:tcW w:w="1264" w:type="dxa"/>
            <w:vAlign w:val="center"/>
          </w:tcPr>
          <w:p w14:paraId="36326E5E" w14:textId="77777777" w:rsidR="0000600D" w:rsidRPr="00CE5B49" w:rsidRDefault="0000600D" w:rsidP="0017245F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3.2 (tot. 19)</w:t>
            </w:r>
          </w:p>
        </w:tc>
      </w:tr>
      <w:tr w:rsidR="0000600D" w:rsidRPr="001A6660" w14:paraId="4C9F829B" w14:textId="77777777" w:rsidTr="0017245F">
        <w:trPr>
          <w:jc w:val="center"/>
        </w:trPr>
        <w:tc>
          <w:tcPr>
            <w:tcW w:w="2127" w:type="dxa"/>
          </w:tcPr>
          <w:p w14:paraId="4AD45428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Blair II (UK)</w:t>
            </w:r>
          </w:p>
        </w:tc>
        <w:tc>
          <w:tcPr>
            <w:tcW w:w="850" w:type="dxa"/>
            <w:vAlign w:val="center"/>
          </w:tcPr>
          <w:p w14:paraId="4EAD56FA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2001-05</w:t>
            </w:r>
          </w:p>
        </w:tc>
        <w:tc>
          <w:tcPr>
            <w:tcW w:w="709" w:type="dxa"/>
            <w:vAlign w:val="center"/>
          </w:tcPr>
          <w:p w14:paraId="6AEE837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5B376E56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  <w:vAlign w:val="center"/>
          </w:tcPr>
          <w:p w14:paraId="7890B2E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3E8F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64" w:type="dxa"/>
            <w:vAlign w:val="center"/>
          </w:tcPr>
          <w:p w14:paraId="7CC5D594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00600D" w:rsidRPr="001A6660" w14:paraId="5D7C4299" w14:textId="77777777" w:rsidTr="0017245F">
        <w:trPr>
          <w:jc w:val="center"/>
        </w:trPr>
        <w:tc>
          <w:tcPr>
            <w:tcW w:w="2127" w:type="dxa"/>
          </w:tcPr>
          <w:p w14:paraId="1E624742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Blair III (UK)</w:t>
            </w:r>
          </w:p>
        </w:tc>
        <w:tc>
          <w:tcPr>
            <w:tcW w:w="850" w:type="dxa"/>
            <w:vAlign w:val="center"/>
          </w:tcPr>
          <w:p w14:paraId="3B546560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2005-07</w:t>
            </w:r>
          </w:p>
        </w:tc>
        <w:tc>
          <w:tcPr>
            <w:tcW w:w="709" w:type="dxa"/>
            <w:vAlign w:val="center"/>
          </w:tcPr>
          <w:p w14:paraId="2FC1E8C5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3D0B9FB0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01F9FFC7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2ACA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264" w:type="dxa"/>
            <w:vAlign w:val="center"/>
          </w:tcPr>
          <w:p w14:paraId="29347BC0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00600D" w:rsidRPr="001A6660" w14:paraId="6FD94004" w14:textId="77777777" w:rsidTr="0017245F">
        <w:trPr>
          <w:jc w:val="center"/>
        </w:trPr>
        <w:tc>
          <w:tcPr>
            <w:tcW w:w="2127" w:type="dxa"/>
          </w:tcPr>
          <w:p w14:paraId="0313DD39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Brown (UK)</w:t>
            </w:r>
          </w:p>
        </w:tc>
        <w:tc>
          <w:tcPr>
            <w:tcW w:w="850" w:type="dxa"/>
            <w:vAlign w:val="center"/>
          </w:tcPr>
          <w:p w14:paraId="2C1A8DEE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2007-10</w:t>
            </w:r>
          </w:p>
        </w:tc>
        <w:tc>
          <w:tcPr>
            <w:tcW w:w="709" w:type="dxa"/>
            <w:vAlign w:val="center"/>
          </w:tcPr>
          <w:p w14:paraId="11C39C1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1848B4F1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38524211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48B6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64" w:type="dxa"/>
            <w:vAlign w:val="center"/>
          </w:tcPr>
          <w:p w14:paraId="669B5358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00600D" w:rsidRPr="001A6660" w14:paraId="1336A465" w14:textId="77777777" w:rsidTr="0017245F">
        <w:trPr>
          <w:jc w:val="center"/>
        </w:trPr>
        <w:tc>
          <w:tcPr>
            <w:tcW w:w="2127" w:type="dxa"/>
          </w:tcPr>
          <w:p w14:paraId="7C79CC9D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Cameron I (UK)</w:t>
            </w:r>
          </w:p>
        </w:tc>
        <w:tc>
          <w:tcPr>
            <w:tcW w:w="850" w:type="dxa"/>
            <w:vAlign w:val="center"/>
          </w:tcPr>
          <w:p w14:paraId="67ABAA4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2010-15</w:t>
            </w:r>
          </w:p>
        </w:tc>
        <w:tc>
          <w:tcPr>
            <w:tcW w:w="709" w:type="dxa"/>
            <w:vAlign w:val="center"/>
          </w:tcPr>
          <w:p w14:paraId="3FB060C0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</w:tcPr>
          <w:p w14:paraId="6C7C825C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7FA1F0BD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D8377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64" w:type="dxa"/>
            <w:vAlign w:val="center"/>
          </w:tcPr>
          <w:p w14:paraId="6FC928FF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</w:tr>
      <w:tr w:rsidR="0000600D" w:rsidRPr="001A6660" w14:paraId="5398FFBA" w14:textId="77777777" w:rsidTr="0017245F">
        <w:trPr>
          <w:jc w:val="center"/>
        </w:trPr>
        <w:tc>
          <w:tcPr>
            <w:tcW w:w="2127" w:type="dxa"/>
          </w:tcPr>
          <w:p w14:paraId="324D7482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Cameron II (UK)</w:t>
            </w:r>
          </w:p>
        </w:tc>
        <w:tc>
          <w:tcPr>
            <w:tcW w:w="850" w:type="dxa"/>
            <w:vAlign w:val="center"/>
          </w:tcPr>
          <w:p w14:paraId="607B7372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2015-16</w:t>
            </w:r>
          </w:p>
        </w:tc>
        <w:tc>
          <w:tcPr>
            <w:tcW w:w="709" w:type="dxa"/>
            <w:vAlign w:val="center"/>
          </w:tcPr>
          <w:p w14:paraId="7B08BC8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MW</w:t>
            </w:r>
          </w:p>
        </w:tc>
        <w:tc>
          <w:tcPr>
            <w:tcW w:w="709" w:type="dxa"/>
          </w:tcPr>
          <w:p w14:paraId="1936226D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4CD361E0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EA3A4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64" w:type="dxa"/>
            <w:vAlign w:val="center"/>
          </w:tcPr>
          <w:p w14:paraId="1DB8BF8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</w:tr>
      <w:tr w:rsidR="0000600D" w:rsidRPr="001A6660" w14:paraId="3B8E4905" w14:textId="77777777" w:rsidTr="0017245F">
        <w:trPr>
          <w:jc w:val="center"/>
        </w:trPr>
        <w:tc>
          <w:tcPr>
            <w:tcW w:w="2127" w:type="dxa"/>
          </w:tcPr>
          <w:p w14:paraId="2F97604F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 I (UK)</w:t>
            </w:r>
          </w:p>
        </w:tc>
        <w:tc>
          <w:tcPr>
            <w:tcW w:w="850" w:type="dxa"/>
            <w:vAlign w:val="center"/>
          </w:tcPr>
          <w:p w14:paraId="5D56731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2016-17</w:t>
            </w:r>
          </w:p>
        </w:tc>
        <w:tc>
          <w:tcPr>
            <w:tcW w:w="709" w:type="dxa"/>
            <w:vAlign w:val="center"/>
          </w:tcPr>
          <w:p w14:paraId="588A22A1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</w:p>
        </w:tc>
        <w:tc>
          <w:tcPr>
            <w:tcW w:w="709" w:type="dxa"/>
          </w:tcPr>
          <w:p w14:paraId="465F5C32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5360BE9B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3559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64" w:type="dxa"/>
            <w:vAlign w:val="center"/>
          </w:tcPr>
          <w:p w14:paraId="7B74668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00600D" w:rsidRPr="001A6660" w14:paraId="3F2A0B65" w14:textId="77777777" w:rsidTr="0017245F">
        <w:trPr>
          <w:jc w:val="center"/>
        </w:trPr>
        <w:tc>
          <w:tcPr>
            <w:tcW w:w="2127" w:type="dxa"/>
          </w:tcPr>
          <w:p w14:paraId="5C9427F2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 II (UK)</w:t>
            </w:r>
          </w:p>
        </w:tc>
        <w:tc>
          <w:tcPr>
            <w:tcW w:w="850" w:type="dxa"/>
            <w:vAlign w:val="center"/>
          </w:tcPr>
          <w:p w14:paraId="3ACD54AB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2017-19</w:t>
            </w:r>
          </w:p>
        </w:tc>
        <w:tc>
          <w:tcPr>
            <w:tcW w:w="709" w:type="dxa"/>
            <w:vAlign w:val="center"/>
          </w:tcPr>
          <w:p w14:paraId="7235F138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  <w:proofErr w:type="spellEnd"/>
          </w:p>
        </w:tc>
        <w:tc>
          <w:tcPr>
            <w:tcW w:w="709" w:type="dxa"/>
          </w:tcPr>
          <w:p w14:paraId="1A73EE07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6C7F3F9B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81EEF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64" w:type="dxa"/>
            <w:vAlign w:val="center"/>
          </w:tcPr>
          <w:p w14:paraId="7A8799F3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</w:tr>
      <w:tr w:rsidR="0000600D" w:rsidRPr="001A6660" w14:paraId="0C3A23DA" w14:textId="77777777" w:rsidTr="0017245F">
        <w:trPr>
          <w:jc w:val="center"/>
        </w:trPr>
        <w:tc>
          <w:tcPr>
            <w:tcW w:w="2127" w:type="dxa"/>
          </w:tcPr>
          <w:p w14:paraId="4B03EEF1" w14:textId="77777777" w:rsidR="0000600D" w:rsidRPr="001A6660" w:rsidRDefault="0000600D" w:rsidP="001724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Johnson I (UK)</w:t>
            </w:r>
          </w:p>
        </w:tc>
        <w:tc>
          <w:tcPr>
            <w:tcW w:w="850" w:type="dxa"/>
            <w:vAlign w:val="center"/>
          </w:tcPr>
          <w:p w14:paraId="70F277CD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709" w:type="dxa"/>
            <w:vAlign w:val="center"/>
          </w:tcPr>
          <w:p w14:paraId="20EAF507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SPm</w:t>
            </w:r>
            <w:proofErr w:type="spellEnd"/>
          </w:p>
        </w:tc>
        <w:tc>
          <w:tcPr>
            <w:tcW w:w="709" w:type="dxa"/>
          </w:tcPr>
          <w:p w14:paraId="70C6C344" w14:textId="77777777" w:rsidR="0000600D" w:rsidRPr="0001002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10024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1842" w:type="dxa"/>
          </w:tcPr>
          <w:p w14:paraId="143DEA9D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E3385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4096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264" w:type="dxa"/>
            <w:vAlign w:val="center"/>
          </w:tcPr>
          <w:p w14:paraId="06EB4EC9" w14:textId="77777777" w:rsidR="0000600D" w:rsidRPr="001A6660" w:rsidRDefault="0000600D" w:rsidP="0017245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</w:tr>
      <w:tr w:rsidR="0000600D" w:rsidRPr="00CE5B49" w14:paraId="3F70BCD5" w14:textId="77777777" w:rsidTr="0017245F">
        <w:trPr>
          <w:jc w:val="center"/>
        </w:trPr>
        <w:tc>
          <w:tcPr>
            <w:tcW w:w="2127" w:type="dxa"/>
          </w:tcPr>
          <w:p w14:paraId="2D7E29D4" w14:textId="77777777" w:rsidR="0000600D" w:rsidRPr="00CE5B49" w:rsidRDefault="0000600D" w:rsidP="0017245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Mean </w:t>
            </w:r>
            <w:r w:rsidRPr="00CE5B49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United Kingdom</w:t>
            </w:r>
          </w:p>
        </w:tc>
        <w:tc>
          <w:tcPr>
            <w:tcW w:w="850" w:type="dxa"/>
            <w:vAlign w:val="center"/>
          </w:tcPr>
          <w:p w14:paraId="5C17765E" w14:textId="77777777" w:rsidR="0000600D" w:rsidRPr="00CE5B49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24D183" w14:textId="77777777" w:rsidR="0000600D" w:rsidRPr="00CE5B49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E864E82" w14:textId="77777777" w:rsidR="0000600D" w:rsidRPr="00CE5B49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1.00</w:t>
            </w:r>
          </w:p>
        </w:tc>
        <w:tc>
          <w:tcPr>
            <w:tcW w:w="1842" w:type="dxa"/>
          </w:tcPr>
          <w:p w14:paraId="217E8262" w14:textId="77777777" w:rsidR="0000600D" w:rsidRPr="00651354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651354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5CA313" w14:textId="77777777" w:rsidR="0000600D" w:rsidRPr="00E40961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E4096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-2.06</w:t>
            </w:r>
          </w:p>
        </w:tc>
        <w:tc>
          <w:tcPr>
            <w:tcW w:w="1264" w:type="dxa"/>
            <w:vAlign w:val="center"/>
          </w:tcPr>
          <w:p w14:paraId="35E8CF98" w14:textId="77777777" w:rsidR="0000600D" w:rsidRPr="00CE5B49" w:rsidRDefault="0000600D" w:rsidP="0017245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3.8 (tot. 30)</w:t>
            </w:r>
          </w:p>
        </w:tc>
      </w:tr>
    </w:tbl>
    <w:p w14:paraId="6308FD36" w14:textId="77777777" w:rsidR="0000600D" w:rsidRDefault="0000600D" w:rsidP="000060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* 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This number does not include the case of the minister for </w:t>
      </w:r>
      <w:r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ubsidiarity and </w:t>
      </w:r>
      <w:r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>ecentralization Aldo Brancher. Brancher was appointed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minister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 on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18 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June 2010, but left 18 days later </w:t>
      </w:r>
      <w:r>
        <w:rPr>
          <w:rFonts w:ascii="Times New Roman" w:hAnsi="Times New Roman" w:cs="Times New Roman"/>
          <w:sz w:val="18"/>
          <w:szCs w:val="18"/>
          <w:lang w:val="en-US"/>
        </w:rPr>
        <w:t>in response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 to a judicial scandal</w:t>
      </w:r>
      <w:r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322207">
        <w:rPr>
          <w:rFonts w:ascii="Times New Roman" w:hAnsi="Times New Roman" w:cs="Times New Roman"/>
          <w:sz w:val="18"/>
          <w:szCs w:val="18"/>
          <w:lang w:val="en-US"/>
        </w:rPr>
        <w:t xml:space="preserve"> and his ministerial responsibilities were never formalized.</w:t>
      </w:r>
    </w:p>
    <w:p w14:paraId="6AE6E58B" w14:textId="77777777" w:rsidR="0000600D" w:rsidRPr="007D11BB" w:rsidRDefault="0000600D" w:rsidP="000060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11BB">
        <w:rPr>
          <w:rFonts w:ascii="Times New Roman" w:hAnsi="Times New Roman" w:cs="Times New Roman"/>
          <w:sz w:val="18"/>
          <w:szCs w:val="18"/>
          <w:lang w:val="en-US"/>
        </w:rPr>
        <w:t>Note: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7D11BB">
        <w:rPr>
          <w:rFonts w:ascii="Times New Roman" w:hAnsi="Times New Roman" w:cs="Times New Roman"/>
          <w:sz w:val="18"/>
          <w:szCs w:val="18"/>
          <w:lang w:val="en-US"/>
        </w:rPr>
        <w:t xml:space="preserve">Types of cabinets are as follows: MW, minimal winning coalition; S, surplus coalition; Tech., technocratic cabinet; SPM, single-party majority cabinet; </w:t>
      </w:r>
      <w:proofErr w:type="spellStart"/>
      <w:r w:rsidRPr="007D11BB">
        <w:rPr>
          <w:rFonts w:ascii="Times New Roman" w:hAnsi="Times New Roman" w:cs="Times New Roman"/>
          <w:sz w:val="18"/>
          <w:szCs w:val="18"/>
          <w:lang w:val="en-US"/>
        </w:rPr>
        <w:t>SPm</w:t>
      </w:r>
      <w:proofErr w:type="spellEnd"/>
      <w:r w:rsidRPr="007D11BB">
        <w:rPr>
          <w:rFonts w:ascii="Times New Roman" w:hAnsi="Times New Roman" w:cs="Times New Roman"/>
          <w:sz w:val="18"/>
          <w:szCs w:val="18"/>
          <w:lang w:val="en-US"/>
        </w:rPr>
        <w:t>, single-party minority cabinet. PM (prime ministerial) power is indicated by a composite index of the institutional power of prime ministers. The level of consensus democracy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(mean of yearly institutional values, from first year in office to the year before the change)</w:t>
      </w:r>
      <w:r w:rsidRPr="007D11BB">
        <w:rPr>
          <w:rFonts w:ascii="Times New Roman" w:hAnsi="Times New Roman" w:cs="Times New Roman"/>
          <w:sz w:val="18"/>
          <w:szCs w:val="18"/>
          <w:lang w:val="en-US"/>
        </w:rPr>
        <w:t xml:space="preserve"> refers to </w:t>
      </w:r>
      <w:proofErr w:type="spellStart"/>
      <w:r w:rsidRPr="007D11BB">
        <w:rPr>
          <w:rFonts w:ascii="Times New Roman" w:hAnsi="Times New Roman" w:cs="Times New Roman"/>
          <w:sz w:val="18"/>
          <w:szCs w:val="18"/>
          <w:lang w:val="en-US"/>
        </w:rPr>
        <w:t>Lijphart’s</w:t>
      </w:r>
      <w:proofErr w:type="spellEnd"/>
      <w:r w:rsidRPr="007D11B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(2012) </w:t>
      </w:r>
      <w:r w:rsidRPr="007D11BB">
        <w:rPr>
          <w:rFonts w:ascii="Times New Roman" w:hAnsi="Times New Roman" w:cs="Times New Roman"/>
          <w:sz w:val="18"/>
          <w:szCs w:val="18"/>
          <w:lang w:val="en-US"/>
        </w:rPr>
        <w:t>executive-parties dimension and ranges between -2 (fully majoritarian) and 2 (fully consensus).</w:t>
      </w:r>
    </w:p>
    <w:p w14:paraId="3700F909" w14:textId="77777777" w:rsidR="0000600D" w:rsidRPr="005B352B" w:rsidRDefault="0000600D" w:rsidP="000060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7D11BB">
        <w:rPr>
          <w:rFonts w:ascii="Times New Roman" w:hAnsi="Times New Roman" w:cs="Times New Roman"/>
          <w:i/>
          <w:iCs/>
          <w:sz w:val="18"/>
          <w:szCs w:val="18"/>
          <w:lang w:val="en-US"/>
        </w:rPr>
        <w:t>Sources</w:t>
      </w:r>
      <w:r w:rsidRPr="007D11BB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Armingeon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et al. (2021) for type and consensus democracy scores (see ‘</w:t>
      </w:r>
      <w:proofErr w:type="spellStart"/>
      <w:r w:rsidRPr="001D4772">
        <w:rPr>
          <w:rFonts w:ascii="Times New Roman" w:hAnsi="Times New Roman" w:cs="Times New Roman"/>
          <w:sz w:val="18"/>
          <w:szCs w:val="18"/>
          <w:lang w:val="en-US"/>
        </w:rPr>
        <w:t>lfirstpi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’ index); Bergman et al. (2013: 186-188) for the PM power;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Nyrup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and Bramwell (2020) for the names of non-partisan ministers at the time of cabinet investiture; own calculations and updates where necessary.</w:t>
      </w:r>
    </w:p>
    <w:p w14:paraId="0DC8E997" w14:textId="77777777" w:rsidR="00B05FA1" w:rsidRDefault="00B05FA1"/>
    <w:sectPr w:rsidR="00B05FA1" w:rsidSect="003000E4"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3A45" w14:textId="77777777" w:rsidR="00C66E85" w:rsidRDefault="00C66E85" w:rsidP="00660F45">
      <w:pPr>
        <w:spacing w:after="0" w:line="240" w:lineRule="auto"/>
      </w:pPr>
      <w:r>
        <w:separator/>
      </w:r>
    </w:p>
  </w:endnote>
  <w:endnote w:type="continuationSeparator" w:id="0">
    <w:p w14:paraId="5068BA60" w14:textId="77777777" w:rsidR="00C66E85" w:rsidRDefault="00C66E85" w:rsidP="0066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DBC5" w14:textId="77777777" w:rsidR="00C66E85" w:rsidRDefault="00C66E85" w:rsidP="00660F45">
      <w:pPr>
        <w:spacing w:after="0" w:line="240" w:lineRule="auto"/>
      </w:pPr>
      <w:r>
        <w:separator/>
      </w:r>
    </w:p>
  </w:footnote>
  <w:footnote w:type="continuationSeparator" w:id="0">
    <w:p w14:paraId="531577D6" w14:textId="77777777" w:rsidR="00C66E85" w:rsidRDefault="00C66E85" w:rsidP="00660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00D"/>
    <w:rsid w:val="0000600D"/>
    <w:rsid w:val="00035D37"/>
    <w:rsid w:val="00660F45"/>
    <w:rsid w:val="00B05FA1"/>
    <w:rsid w:val="00C66E85"/>
    <w:rsid w:val="00D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E5F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45"/>
  </w:style>
  <w:style w:type="paragraph" w:styleId="Footer">
    <w:name w:val="footer"/>
    <w:basedOn w:val="Normal"/>
    <w:link w:val="FooterChar"/>
    <w:uiPriority w:val="99"/>
    <w:unhideWhenUsed/>
    <w:rsid w:val="00660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2022-05-27T09:22:00Z</dcterms:created>
  <dcterms:modified xsi:type="dcterms:W3CDTF">2022-05-27T09:22:00Z</dcterms:modified>
</cp:coreProperties>
</file>