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96F" w14:textId="0B566060" w:rsidR="00501453" w:rsidRPr="00031556" w:rsidRDefault="00501453" w:rsidP="005014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31556">
        <w:rPr>
          <w:rFonts w:ascii="Times New Roman" w:hAnsi="Times New Roman" w:cs="Times New Roman"/>
          <w:b/>
          <w:bCs/>
          <w:sz w:val="24"/>
          <w:szCs w:val="24"/>
        </w:rPr>
        <w:t>upplementary sheet-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B084CB6" w14:textId="74B5D01D" w:rsidR="00501453" w:rsidRDefault="00501453" w:rsidP="00501453">
      <w:pPr>
        <w:keepNext/>
      </w:pPr>
    </w:p>
    <w:p w14:paraId="5A9F54A9" w14:textId="0AE74578" w:rsidR="002B7EB6" w:rsidRDefault="00501453" w:rsidP="00501453">
      <w:pPr>
        <w:pStyle w:val="Captio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4E6BCA" wp14:editId="3E68F909">
                <wp:simplePos x="0" y="0"/>
                <wp:positionH relativeFrom="column">
                  <wp:posOffset>807720</wp:posOffset>
                </wp:positionH>
                <wp:positionV relativeFrom="paragraph">
                  <wp:posOffset>5435600</wp:posOffset>
                </wp:positionV>
                <wp:extent cx="4846320" cy="1404620"/>
                <wp:effectExtent l="0" t="0" r="0" b="0"/>
                <wp:wrapThrough wrapText="bothSides">
                  <wp:wrapPolygon edited="0">
                    <wp:start x="0" y="0"/>
                    <wp:lineTo x="0" y="21416"/>
                    <wp:lineTo x="21481" y="21416"/>
                    <wp:lineTo x="2148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F3F1" w14:textId="3CB46A67" w:rsidR="00501453" w:rsidRDefault="00501453" w:rsidP="00501453">
                            <w:pPr>
                              <w:pStyle w:val="Caption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01453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Figure S2.</w:t>
                            </w:r>
                            <w:r w:rsidRPr="00536F09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 xml:space="preserve"> Bhowmick and Mondal</w:t>
                            </w:r>
                          </w:p>
                          <w:p w14:paraId="6118A277" w14:textId="79F128B9" w:rsidR="00501453" w:rsidRPr="00501453" w:rsidRDefault="00501453" w:rsidP="005014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</w:pP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Slip tendency variation with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driving pressure ratio (</w:t>
                            </w:r>
                            <w:r w:rsidRPr="00E150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 w:eastAsia="de-DE"/>
                              </w:rPr>
                              <w:t>Rˊ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) 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for the respective strike orientation of veins under both high and low 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 w:eastAsia="de-DE"/>
                              </w:rPr>
                              <w:t>P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  <w:lang w:val="en-US" w:eastAsia="de-DE"/>
                              </w:rPr>
                              <w:t>f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 conditions. The colored rectangles represent the ranges of strike orientation and </w:t>
                            </w:r>
                            <w:r w:rsidRPr="00E150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 w:eastAsia="de-DE"/>
                              </w:rPr>
                              <w:t>Rˊ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 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values for each stress state. Lower hemisphere equal area projection of vein pole data (red dots) showing slip tendency variation with </w:t>
                            </w:r>
                            <w:r w:rsidRPr="00E150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 w:eastAsia="de-DE"/>
                              </w:rPr>
                              <w:t>Rˊ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 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(</w:t>
                            </w:r>
                            <w:proofErr w:type="spellStart"/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Fractend</w:t>
                            </w:r>
                            <w:proofErr w:type="spellEnd"/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 code available via </w:t>
                            </w:r>
                            <w:proofErr w:type="spellStart"/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Github</w:t>
                            </w:r>
                            <w:proofErr w:type="spellEnd"/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, 2017). The warm color zones represent vein orientations with high slip tendency values (high shear to normal stress). ‘Thermal’ color scheme from </w:t>
                            </w:r>
                            <w:proofErr w:type="spellStart"/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Thyng</w:t>
                            </w:r>
                            <w:proofErr w:type="spellEnd"/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 et al., 2016. White square (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de-DE"/>
                              </w:rPr>
                              <w:t>σ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  <w:lang w:val="en-GB" w:eastAsia="de-DE"/>
                              </w:rPr>
                              <w:t>1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), white diamond (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de-DE"/>
                              </w:rPr>
                              <w:t>σ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  <w:lang w:val="en-GB" w:eastAsia="de-DE"/>
                              </w:rPr>
                              <w:t>2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>), white triangle (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de-DE"/>
                              </w:rPr>
                              <w:t>σ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  <w:lang w:val="en-GB" w:eastAsia="de-DE"/>
                              </w:rPr>
                              <w:t>3</w:t>
                            </w:r>
                            <w:r w:rsidRPr="005014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de-DE"/>
                              </w:rPr>
                              <w:t xml:space="preserve">). </w:t>
                            </w:r>
                          </w:p>
                          <w:p w14:paraId="7062CE1A" w14:textId="77777777" w:rsidR="00501453" w:rsidRPr="00501453" w:rsidRDefault="00501453" w:rsidP="005014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971D9DD" w14:textId="6DFDD4EA" w:rsidR="00501453" w:rsidRDefault="005014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4E6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pt;margin-top:428pt;width:38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4XIAIAAB4EAAAOAAAAZHJzL2Uyb0RvYy54bWysU81u2zAMvg/YOwi6L3Y8J02NOEWXLsOA&#10;7gdo9wCyLMfCJFGTlNjd04+S0zTbbsN0EEiR/ER+JNc3o1bkKJyXYGo6n+WUCMOhlWZf02+Puzcr&#10;SnxgpmUKjKjpk/D0ZvP61XqwlSigB9UKRxDE+GqwNe1DsFWWed4LzfwMrDBo7MBpFlB1+6x1bEB0&#10;rbIiz5fZAK61DrjwHl/vJiPdJPyuEzx86TovAlE1xdxCul26m3hnmzWr9o7ZXvJTGuwfstBMGvz0&#10;DHXHAiMHJ/+C0pI78NCFGQedQddJLlINWM08/6Oah55ZkWpBcrw90+T/Hyz/fPzqiGxrWsyvKDFM&#10;Y5MexRjIOxhJEfkZrK/Q7cGiYxjxGfucavX2Hvh3Twxse2b24tY5GHrBWsxvHiOzi9AJx0eQZvgE&#10;LX7DDgES0Ng5HclDOgiiY5+ezr2JqXB8LFfl8m2BJo62eZmXS1TiH6x6DrfOhw8CNIlCTR02P8Gz&#10;470Pk+uzS/zNg5LtTiqVFLdvtsqRI8NB2aVzQv/NTRky1PR6USwSsoEYj9Cs0jLgICupa7rK44nh&#10;rIp0vDdtkgOTapIxaWVO/ERKJnLC2IzoGElroH1CphxMA4sLhkIP7iclAw5rTf2PA3OCEvXRINvX&#10;87KM052UcnEVeXKXlubSwgxHqJoGSiZxG9JGJB7sLXZlJxNfL5mccsUhTIyfFiZO+aWevF7WevML&#10;AAD//wMAUEsDBBQABgAIAAAAIQDYEI7w3gAAAAwBAAAPAAAAZHJzL2Rvd25yZXYueG1sTI8xT8Mw&#10;FIR3JP6D9ZDYqE1E2zTEqSoqFgYkChId3diJI+Jny3bT8O95TDCe7nT3Xb2d3cgmE9PgUcL9QgAz&#10;2Ho9YC/h4/35rgSWskKtRo9GwrdJsG2ur2pVaX/BNzMdcs+oBFOlJNicQ8V5aq1xKi18MEhe56NT&#10;mWTsuY7qQuVu5IUQK+7UgLRgVTBP1rRfh7OT8OnsoPfx9djpcdq/dLtlmGOQ8vZm3j0Cy2bOf2H4&#10;xSd0aIjp5M+oExtJF+uCohLK5YpOUaLciAdgJ7LEmjze1Pz/ieYHAAD//wMAUEsBAi0AFAAGAAgA&#10;AAAhALaDOJL+AAAA4QEAABMAAAAAAAAAAAAAAAAAAAAAAFtDb250ZW50X1R5cGVzXS54bWxQSwEC&#10;LQAUAAYACAAAACEAOP0h/9YAAACUAQAACwAAAAAAAAAAAAAAAAAvAQAAX3JlbHMvLnJlbHNQSwEC&#10;LQAUAAYACAAAACEA/T+OFyACAAAeBAAADgAAAAAAAAAAAAAAAAAuAgAAZHJzL2Uyb0RvYy54bWxQ&#10;SwECLQAUAAYACAAAACEA2BCO8N4AAAAMAQAADwAAAAAAAAAAAAAAAAB6BAAAZHJzL2Rvd25yZXYu&#10;eG1sUEsFBgAAAAAEAAQA8wAAAIUFAAAAAA==&#10;" stroked="f">
                <v:textbox style="mso-fit-shape-to-text:t">
                  <w:txbxContent>
                    <w:p w14:paraId="3DDDF3F1" w14:textId="3CB46A67" w:rsidR="00501453" w:rsidRDefault="00501453" w:rsidP="00501453">
                      <w:pPr>
                        <w:pStyle w:val="Caption"/>
                        <w:jc w:val="both"/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 w:rsidRPr="00501453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iCs w:val="0"/>
                          <w:color w:val="auto"/>
                          <w:sz w:val="22"/>
                          <w:szCs w:val="22"/>
                          <w:lang w:val="en-US"/>
                        </w:rPr>
                        <w:t>Figure S2.</w:t>
                      </w:r>
                      <w:r w:rsidRPr="00536F09">
                        <w:rPr>
                          <w:rFonts w:ascii="Times New Roman" w:hAnsi="Times New Roman" w:cs="Times New Roman"/>
                          <w:i w:val="0"/>
                          <w:iCs w:val="0"/>
                          <w:color w:val="auto"/>
                          <w:sz w:val="22"/>
                          <w:szCs w:val="22"/>
                          <w:lang w:val="en-US"/>
                        </w:rPr>
                        <w:t xml:space="preserve"> Bhowmick and Mondal</w:t>
                      </w:r>
                    </w:p>
                    <w:p w14:paraId="6118A277" w14:textId="79F128B9" w:rsidR="00501453" w:rsidRPr="00501453" w:rsidRDefault="00501453" w:rsidP="0050145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</w:pP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Slip tendency variation with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driving pressure ratio (</w:t>
                      </w:r>
                      <w:r w:rsidRPr="00E150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US" w:eastAsia="de-DE"/>
                        </w:rPr>
                        <w:t>Rˊ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) 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for the respective strike orientation of veins under both high and low 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US" w:eastAsia="de-DE"/>
                        </w:rPr>
                        <w:t>P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  <w:lang w:val="en-US" w:eastAsia="de-DE"/>
                        </w:rPr>
                        <w:t>f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 conditions. The colored rectangles represent the ranges of strike orientation and </w:t>
                      </w:r>
                      <w:r w:rsidRPr="00E150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US" w:eastAsia="de-DE"/>
                        </w:rPr>
                        <w:t>Rˊ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 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values for each stress state. Lower hemisphere equal area projection of vein pole data (red dots) showing slip tendency variation with </w:t>
                      </w:r>
                      <w:r w:rsidRPr="00E150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US" w:eastAsia="de-DE"/>
                        </w:rPr>
                        <w:t>Rˊ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 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(</w:t>
                      </w:r>
                      <w:proofErr w:type="spellStart"/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Fractend</w:t>
                      </w:r>
                      <w:proofErr w:type="spellEnd"/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 code available via </w:t>
                      </w:r>
                      <w:proofErr w:type="spellStart"/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Github</w:t>
                      </w:r>
                      <w:proofErr w:type="spellEnd"/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, 2017). The warm color zones represent vein orientations with high slip tendency values (high shear to normal stress). ‘Thermal’ color scheme from </w:t>
                      </w:r>
                      <w:proofErr w:type="spellStart"/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Thyng</w:t>
                      </w:r>
                      <w:proofErr w:type="spellEnd"/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 et al., 2016. White square (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de-DE"/>
                        </w:rPr>
                        <w:t>σ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  <w:lang w:val="en-GB" w:eastAsia="de-DE"/>
                        </w:rPr>
                        <w:t>1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), white diamond (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de-DE"/>
                        </w:rPr>
                        <w:t>σ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  <w:lang w:val="en-GB" w:eastAsia="de-DE"/>
                        </w:rPr>
                        <w:t>2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>), white triangle (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de-DE"/>
                        </w:rPr>
                        <w:t>σ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vertAlign w:val="subscript"/>
                          <w:lang w:val="en-GB" w:eastAsia="de-DE"/>
                        </w:rPr>
                        <w:t>3</w:t>
                      </w:r>
                      <w:r w:rsidRPr="005014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de-DE"/>
                        </w:rPr>
                        <w:t xml:space="preserve">). </w:t>
                      </w:r>
                    </w:p>
                    <w:p w14:paraId="7062CE1A" w14:textId="77777777" w:rsidR="00501453" w:rsidRPr="00501453" w:rsidRDefault="00501453" w:rsidP="00501453">
                      <w:pPr>
                        <w:rPr>
                          <w:lang w:val="en-US"/>
                        </w:rPr>
                      </w:pPr>
                    </w:p>
                    <w:p w14:paraId="6971D9DD" w14:textId="6DFDD4EA" w:rsidR="00501453" w:rsidRDefault="00501453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91365D" wp14:editId="6E7751AE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478145" cy="5059680"/>
            <wp:effectExtent l="0" t="0" r="8255" b="7620"/>
            <wp:wrapThrough wrapText="bothSides">
              <wp:wrapPolygon edited="0">
                <wp:start x="901" y="0"/>
                <wp:lineTo x="901" y="244"/>
                <wp:lineTo x="1728" y="1301"/>
                <wp:lineTo x="976" y="2114"/>
                <wp:lineTo x="976" y="2602"/>
                <wp:lineTo x="1953" y="2602"/>
                <wp:lineTo x="1953" y="3904"/>
                <wp:lineTo x="976" y="4229"/>
                <wp:lineTo x="976" y="4717"/>
                <wp:lineTo x="1953" y="5205"/>
                <wp:lineTo x="0" y="5367"/>
                <wp:lineTo x="0" y="10410"/>
                <wp:lineTo x="976" y="10572"/>
                <wp:lineTo x="976" y="10898"/>
                <wp:lineTo x="1953" y="11711"/>
                <wp:lineTo x="901" y="12931"/>
                <wp:lineTo x="1878" y="14313"/>
                <wp:lineTo x="1277" y="14801"/>
                <wp:lineTo x="1277" y="15289"/>
                <wp:lineTo x="1953" y="15614"/>
                <wp:lineTo x="1577" y="16916"/>
                <wp:lineTo x="1277" y="16997"/>
                <wp:lineTo x="1277" y="17241"/>
                <wp:lineTo x="1953" y="18217"/>
                <wp:lineTo x="1953" y="19437"/>
                <wp:lineTo x="3681" y="19762"/>
                <wp:lineTo x="3681" y="20331"/>
                <wp:lineTo x="10816" y="20819"/>
                <wp:lineTo x="8488" y="20901"/>
                <wp:lineTo x="8488" y="21551"/>
                <wp:lineTo x="9840" y="21551"/>
                <wp:lineTo x="15023" y="21551"/>
                <wp:lineTo x="15248" y="20982"/>
                <wp:lineTo x="14572" y="20901"/>
                <wp:lineTo x="10816" y="20819"/>
                <wp:lineTo x="20281" y="20331"/>
                <wp:lineTo x="20281" y="19762"/>
                <wp:lineTo x="21032" y="19355"/>
                <wp:lineTo x="20881" y="11711"/>
                <wp:lineTo x="21557" y="10572"/>
                <wp:lineTo x="21557" y="5774"/>
                <wp:lineTo x="20881" y="5205"/>
                <wp:lineTo x="21032" y="488"/>
                <wp:lineTo x="20731" y="163"/>
                <wp:lineTo x="19529" y="0"/>
                <wp:lineTo x="90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B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53"/>
    <w:rsid w:val="002B7EB6"/>
    <w:rsid w:val="00501453"/>
    <w:rsid w:val="00E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2D15"/>
  <w15:chartTrackingRefBased/>
  <w15:docId w15:val="{7BA9AFA4-598A-4BAC-A37D-A2AD4D9D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0145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Sreyashi Bhowmick</dc:creator>
  <cp:keywords/>
  <dc:description/>
  <cp:lastModifiedBy>Sreyashi Bhowmick</cp:lastModifiedBy>
  <cp:revision>2</cp:revision>
  <dcterms:created xsi:type="dcterms:W3CDTF">2021-06-26T14:48:00Z</dcterms:created>
  <dcterms:modified xsi:type="dcterms:W3CDTF">2021-06-26T15:12:00Z</dcterms:modified>
</cp:coreProperties>
</file>