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97" w:rsidRPr="00BC082A" w:rsidRDefault="00DB1997" w:rsidP="00DB1997">
      <w:pPr>
        <w:pStyle w:val="PlainText"/>
        <w:snapToGrid w:val="0"/>
        <w:spacing w:line="480" w:lineRule="auto"/>
        <w:jc w:val="both"/>
        <w:rPr>
          <w:rFonts w:ascii="Times New Roman" w:hAnsi="Times New Roman" w:cs="Times New Roman"/>
          <w:sz w:val="24"/>
          <w:szCs w:val="24"/>
          <w:lang w:eastAsia="ko-KR"/>
        </w:rPr>
      </w:pPr>
      <w:r w:rsidRPr="00BC082A">
        <w:rPr>
          <w:rFonts w:ascii="Times New Roman" w:hAnsi="Times New Roman" w:cs="Times New Roman"/>
          <w:sz w:val="24"/>
          <w:szCs w:val="24"/>
          <w:lang w:eastAsia="ko-KR"/>
        </w:rPr>
        <w:t>Supplementary Materials</w:t>
      </w:r>
    </w:p>
    <w:p w:rsidR="00DB1997" w:rsidRDefault="00DB1997" w:rsidP="00DB1997">
      <w:pPr>
        <w:pStyle w:val="PlainText"/>
        <w:snapToGrid w:val="0"/>
        <w:spacing w:line="480" w:lineRule="auto"/>
        <w:jc w:val="both"/>
        <w:rPr>
          <w:rFonts w:ascii="Times New Roman" w:hAnsi="Times New Roman" w:cs="Times New Roman"/>
          <w:sz w:val="24"/>
          <w:szCs w:val="24"/>
          <w:lang w:eastAsia="ko-KR"/>
        </w:rPr>
      </w:pPr>
    </w:p>
    <w:p w:rsidR="00DB1997" w:rsidRPr="00BC082A" w:rsidRDefault="00DB1997" w:rsidP="00DB1997">
      <w:pPr>
        <w:pStyle w:val="PlainText"/>
        <w:snapToGrid w:val="0"/>
        <w:spacing w:line="480" w:lineRule="auto"/>
        <w:jc w:val="both"/>
        <w:rPr>
          <w:rFonts w:ascii="Times New Roman" w:hAnsi="Times New Roman" w:cs="Times New Roman"/>
          <w:sz w:val="24"/>
          <w:szCs w:val="24"/>
          <w:lang w:eastAsia="ko-KR"/>
        </w:rPr>
      </w:pPr>
      <w:r w:rsidRPr="00BC082A">
        <w:rPr>
          <w:rFonts w:ascii="Times New Roman" w:hAnsi="Times New Roman" w:cs="Times New Roman"/>
          <w:sz w:val="24"/>
          <w:szCs w:val="24"/>
          <w:lang w:eastAsia="ko-KR"/>
        </w:rPr>
        <w:t>Supplementary Fig. 1. Odds ratios and penetrance depending on disease allele frequencies and the proportion of the corresponding causal component in PLI: A. Odds ratios for dominant variants; B. Odds ratios for recessive variants; C. Penetrance for dominant variants; D. Penetrance for recessive variants.</w:t>
      </w:r>
    </w:p>
    <w:p w:rsidR="00DB1997" w:rsidRDefault="00DB1997" w:rsidP="00DB1997">
      <w:pPr>
        <w:pStyle w:val="PlainText"/>
        <w:snapToGrid w:val="0"/>
        <w:spacing w:line="480" w:lineRule="auto"/>
        <w:jc w:val="both"/>
        <w:rPr>
          <w:rFonts w:ascii="Times New Roman" w:hAnsi="Times New Roman" w:cs="Times New Roman"/>
          <w:sz w:val="24"/>
          <w:szCs w:val="24"/>
          <w:lang w:eastAsia="ko-KR"/>
        </w:rPr>
      </w:pPr>
    </w:p>
    <w:p w:rsidR="00DB1997" w:rsidRPr="00BC082A" w:rsidRDefault="00DB1997" w:rsidP="00DB1997">
      <w:pPr>
        <w:pStyle w:val="PlainText"/>
        <w:snapToGrid w:val="0"/>
        <w:spacing w:line="480" w:lineRule="auto"/>
        <w:jc w:val="both"/>
        <w:rPr>
          <w:rFonts w:ascii="Times New Roman" w:hAnsi="Times New Roman" w:cs="Times New Roman"/>
          <w:sz w:val="24"/>
          <w:szCs w:val="24"/>
          <w:lang w:eastAsia="ko-KR"/>
        </w:rPr>
      </w:pPr>
      <w:r w:rsidRPr="00BC082A">
        <w:rPr>
          <w:rFonts w:ascii="Times New Roman" w:hAnsi="Times New Roman" w:cs="Times New Roman"/>
          <w:sz w:val="24"/>
          <w:szCs w:val="24"/>
          <w:lang w:eastAsia="ko-KR"/>
        </w:rPr>
        <w:t xml:space="preserve">Supplementary Fig. 2. Two-disease-variant models for a fixed variant and a variant with various allele frequencies, in which the solid line indicates Type II error rates and the dashed line indicates the probability when only one of two disease variants is identified as a disease variant: A. Dominant genes for a fixed variant with </w:t>
      </w:r>
      <w:r>
        <w:rPr>
          <w:rFonts w:ascii="Times New Roman" w:hAnsi="Times New Roman" w:cs="Times New Roman"/>
          <w:sz w:val="24"/>
          <w:szCs w:val="24"/>
          <w:lang w:eastAsia="ko-KR"/>
        </w:rPr>
        <w:t xml:space="preserve">a </w:t>
      </w:r>
      <w:r w:rsidRPr="00BC082A">
        <w:rPr>
          <w:rFonts w:ascii="Times New Roman" w:hAnsi="Times New Roman" w:cs="Times New Roman"/>
          <w:sz w:val="24"/>
          <w:szCs w:val="24"/>
          <w:lang w:eastAsia="ko-KR"/>
        </w:rPr>
        <w:t xml:space="preserve">disease allele frequency of 0.009; B. Recessive genes for a fixed variant with </w:t>
      </w:r>
      <w:r>
        <w:rPr>
          <w:rFonts w:ascii="Times New Roman" w:hAnsi="Times New Roman" w:cs="Times New Roman"/>
          <w:sz w:val="24"/>
          <w:szCs w:val="24"/>
          <w:lang w:eastAsia="ko-KR"/>
        </w:rPr>
        <w:t xml:space="preserve">a </w:t>
      </w:r>
      <w:r w:rsidRPr="00BC082A">
        <w:rPr>
          <w:rFonts w:ascii="Times New Roman" w:hAnsi="Times New Roman" w:cs="Times New Roman"/>
          <w:sz w:val="24"/>
          <w:szCs w:val="24"/>
          <w:lang w:eastAsia="ko-KR"/>
        </w:rPr>
        <w:t xml:space="preserve">disease allele frequency of 0.009; C. Dominant genes for a fixed variant with </w:t>
      </w:r>
      <w:r>
        <w:rPr>
          <w:rFonts w:ascii="Times New Roman" w:hAnsi="Times New Roman" w:cs="Times New Roman"/>
          <w:sz w:val="24"/>
          <w:szCs w:val="24"/>
          <w:lang w:eastAsia="ko-KR"/>
        </w:rPr>
        <w:t xml:space="preserve">a </w:t>
      </w:r>
      <w:r w:rsidRPr="00BC082A">
        <w:rPr>
          <w:rFonts w:ascii="Times New Roman" w:hAnsi="Times New Roman" w:cs="Times New Roman"/>
          <w:sz w:val="24"/>
          <w:szCs w:val="24"/>
          <w:lang w:eastAsia="ko-KR"/>
        </w:rPr>
        <w:t xml:space="preserve">disease allele frequency of 0.082; D. Recessive genes for a fixed variant with </w:t>
      </w:r>
      <w:r>
        <w:rPr>
          <w:rFonts w:ascii="Times New Roman" w:hAnsi="Times New Roman" w:cs="Times New Roman"/>
          <w:sz w:val="24"/>
          <w:szCs w:val="24"/>
          <w:lang w:eastAsia="ko-KR"/>
        </w:rPr>
        <w:t xml:space="preserve">a </w:t>
      </w:r>
      <w:r w:rsidRPr="00BC082A">
        <w:rPr>
          <w:rFonts w:ascii="Times New Roman" w:hAnsi="Times New Roman" w:cs="Times New Roman"/>
          <w:sz w:val="24"/>
          <w:szCs w:val="24"/>
          <w:lang w:eastAsia="ko-KR"/>
        </w:rPr>
        <w:t>disease allele frequency of 0.082.</w:t>
      </w:r>
    </w:p>
    <w:p w:rsidR="00DB1997" w:rsidRPr="00BC082A" w:rsidRDefault="00DB1997" w:rsidP="00DB1997">
      <w:pPr>
        <w:pStyle w:val="PlainText"/>
        <w:snapToGrid w:val="0"/>
        <w:spacing w:line="480" w:lineRule="auto"/>
        <w:jc w:val="both"/>
        <w:rPr>
          <w:rFonts w:ascii="Times New Roman" w:hAnsi="Times New Roman" w:cs="Times New Roman"/>
          <w:sz w:val="24"/>
          <w:szCs w:val="24"/>
          <w:lang w:eastAsia="ko-KR"/>
        </w:rPr>
      </w:pPr>
    </w:p>
    <w:p w:rsidR="00DB1997" w:rsidRPr="00BC082A" w:rsidRDefault="00DB1997" w:rsidP="00DB1997">
      <w:pPr>
        <w:pStyle w:val="PlainText"/>
        <w:snapToGrid w:val="0"/>
        <w:spacing w:line="480" w:lineRule="auto"/>
        <w:jc w:val="both"/>
        <w:rPr>
          <w:rFonts w:ascii="Times New Roman" w:hAnsi="Times New Roman" w:cs="Times New Roman"/>
          <w:sz w:val="24"/>
          <w:szCs w:val="24"/>
          <w:lang w:eastAsia="ko-KR"/>
        </w:rPr>
      </w:pPr>
      <w:r w:rsidRPr="00BC082A">
        <w:rPr>
          <w:rFonts w:ascii="Times New Roman" w:hAnsi="Times New Roman" w:cs="Times New Roman"/>
          <w:sz w:val="24"/>
          <w:szCs w:val="24"/>
          <w:lang w:eastAsia="ko-KR"/>
        </w:rPr>
        <w:t>Supplementary Table 1. Odds ratios and penetrance depending on disease allele frequencies and the proportion of the corresponding causal component in PLI: A. Odds ratios for dominant variants; B. Odds ratios for recessive variants; C. Penetrance for dominant variants; D. Penetrance for recessive variants.</w:t>
      </w:r>
    </w:p>
    <w:p w:rsidR="00DB1997" w:rsidRDefault="00DB1997" w:rsidP="00DB1997">
      <w:pPr>
        <w:pStyle w:val="PlainText"/>
        <w:snapToGrid w:val="0"/>
        <w:spacing w:line="480" w:lineRule="auto"/>
        <w:jc w:val="both"/>
        <w:rPr>
          <w:rFonts w:ascii="Times New Roman" w:hAnsi="Times New Roman" w:cs="Times New Roman"/>
          <w:sz w:val="24"/>
          <w:szCs w:val="24"/>
          <w:lang w:eastAsia="ko-KR"/>
        </w:rPr>
      </w:pPr>
    </w:p>
    <w:p w:rsidR="00DB1997" w:rsidRPr="00BC082A" w:rsidRDefault="00DB1997" w:rsidP="00DB1997">
      <w:pPr>
        <w:pStyle w:val="PlainText"/>
        <w:snapToGrid w:val="0"/>
        <w:spacing w:line="480" w:lineRule="auto"/>
        <w:jc w:val="both"/>
        <w:rPr>
          <w:rFonts w:ascii="Times New Roman" w:hAnsi="Times New Roman" w:cs="Times New Roman"/>
          <w:sz w:val="24"/>
          <w:szCs w:val="24"/>
          <w:lang w:eastAsia="ko-KR"/>
        </w:rPr>
      </w:pPr>
      <w:bookmarkStart w:id="0" w:name="_GoBack"/>
      <w:bookmarkEnd w:id="0"/>
      <w:r w:rsidRPr="00BC082A">
        <w:rPr>
          <w:rFonts w:ascii="Times New Roman" w:hAnsi="Times New Roman" w:cs="Times New Roman"/>
          <w:sz w:val="24"/>
          <w:szCs w:val="24"/>
          <w:lang w:eastAsia="ko-KR"/>
        </w:rPr>
        <w:t xml:space="preserve">Supplementary Table 2. </w:t>
      </w:r>
      <w:r>
        <w:rPr>
          <w:rFonts w:ascii="Times New Roman" w:hAnsi="Times New Roman" w:cs="Times New Roman" w:hint="eastAsia"/>
          <w:sz w:val="24"/>
          <w:szCs w:val="24"/>
          <w:lang w:eastAsia="ko-KR"/>
        </w:rPr>
        <w:t>LD</w:t>
      </w:r>
      <w:r w:rsidRPr="00BC082A">
        <w:rPr>
          <w:rFonts w:ascii="Times New Roman" w:hAnsi="Times New Roman" w:cs="Times New Roman"/>
          <w:sz w:val="24"/>
          <w:szCs w:val="24"/>
          <w:lang w:eastAsia="ko-KR"/>
        </w:rPr>
        <w:t xml:space="preserve"> between variants in </w:t>
      </w:r>
      <w:r w:rsidRPr="00BC082A">
        <w:rPr>
          <w:rFonts w:ascii="Times New Roman" w:hAnsi="Times New Roman" w:cs="Times New Roman"/>
          <w:i/>
          <w:sz w:val="24"/>
          <w:szCs w:val="24"/>
          <w:lang w:eastAsia="ko-KR"/>
        </w:rPr>
        <w:t>APOE</w:t>
      </w:r>
      <w:r w:rsidRPr="00BC082A">
        <w:rPr>
          <w:rFonts w:ascii="Times New Roman" w:hAnsi="Times New Roman" w:cs="Times New Roman"/>
          <w:sz w:val="24"/>
          <w:szCs w:val="24"/>
          <w:lang w:eastAsia="ko-KR"/>
        </w:rPr>
        <w:t xml:space="preserve"> from the 1000 Genomes Project</w:t>
      </w:r>
      <w:r>
        <w:rPr>
          <w:rFonts w:ascii="Times New Roman" w:hAnsi="Times New Roman" w:cs="Times New Roman"/>
          <w:sz w:val="24"/>
          <w:szCs w:val="24"/>
          <w:lang w:eastAsia="ko-KR"/>
        </w:rPr>
        <w:t>.</w:t>
      </w:r>
    </w:p>
    <w:p w:rsidR="008063E6" w:rsidRDefault="008063E6"/>
    <w:sectPr w:rsidR="008063E6">
      <w:footerReference w:type="default" r:id="rId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94" w:rsidRDefault="00DB1997">
    <w:pPr>
      <w:pStyle w:val="Footer"/>
      <w:jc w:val="center"/>
    </w:pPr>
    <w:r>
      <w:fldChar w:fldCharType="begin"/>
    </w:r>
    <w:r>
      <w:instrText xml:space="preserve"> PAGE   \* MERGEFORMAT </w:instrText>
    </w:r>
    <w:r>
      <w:fldChar w:fldCharType="separate"/>
    </w:r>
    <w:r w:rsidRPr="00DB1997">
      <w:rPr>
        <w:noProof/>
        <w:lang w:val="ko-KR"/>
      </w:rPr>
      <w:t>1</w:t>
    </w:r>
    <w:r>
      <w:fldChar w:fldCharType="end"/>
    </w:r>
  </w:p>
  <w:p w:rsidR="00270794" w:rsidRDefault="00DB19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97"/>
    <w:rsid w:val="008063E6"/>
    <w:rsid w:val="00DB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97"/>
    <w:pPr>
      <w:spacing w:after="0" w:line="240" w:lineRule="auto"/>
    </w:pPr>
    <w:rPr>
      <w:rFonts w:ascii="Times New Roman" w:eastAsia="Batang" w:hAnsi="Times New Roman" w:cs="Time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B1997"/>
    <w:rPr>
      <w:rFonts w:ascii="Courier New" w:hAnsi="Courier New" w:cs="Courier New"/>
      <w:sz w:val="20"/>
      <w:szCs w:val="20"/>
    </w:rPr>
  </w:style>
  <w:style w:type="character" w:customStyle="1" w:styleId="PlainTextChar">
    <w:name w:val="Plain Text Char"/>
    <w:basedOn w:val="DefaultParagraphFont"/>
    <w:link w:val="PlainText"/>
    <w:rsid w:val="00DB1997"/>
    <w:rPr>
      <w:rFonts w:ascii="Courier New" w:eastAsia="Batang" w:hAnsi="Courier New" w:cs="Courier New"/>
      <w:sz w:val="20"/>
      <w:szCs w:val="20"/>
      <w:lang w:val="en-US"/>
    </w:rPr>
  </w:style>
  <w:style w:type="paragraph" w:styleId="Footer">
    <w:name w:val="footer"/>
    <w:basedOn w:val="Normal"/>
    <w:link w:val="FooterChar"/>
    <w:uiPriority w:val="99"/>
    <w:unhideWhenUsed/>
    <w:rsid w:val="00DB1997"/>
    <w:pPr>
      <w:tabs>
        <w:tab w:val="center" w:pos="4513"/>
        <w:tab w:val="right" w:pos="9026"/>
      </w:tabs>
      <w:snapToGrid w:val="0"/>
    </w:pPr>
    <w:rPr>
      <w:rFonts w:cs="Times New Roman"/>
      <w:lang w:val="x-none"/>
    </w:rPr>
  </w:style>
  <w:style w:type="character" w:customStyle="1" w:styleId="FooterChar">
    <w:name w:val="Footer Char"/>
    <w:basedOn w:val="DefaultParagraphFont"/>
    <w:link w:val="Footer"/>
    <w:uiPriority w:val="99"/>
    <w:rsid w:val="00DB1997"/>
    <w:rPr>
      <w:rFonts w:ascii="Times New Roman" w:eastAsia="Batang" w:hAnsi="Times New Roman" w:cs="Times New Roman"/>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97"/>
    <w:pPr>
      <w:spacing w:after="0" w:line="240" w:lineRule="auto"/>
    </w:pPr>
    <w:rPr>
      <w:rFonts w:ascii="Times New Roman" w:eastAsia="Batang" w:hAnsi="Times New Roman" w:cs="Time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B1997"/>
    <w:rPr>
      <w:rFonts w:ascii="Courier New" w:hAnsi="Courier New" w:cs="Courier New"/>
      <w:sz w:val="20"/>
      <w:szCs w:val="20"/>
    </w:rPr>
  </w:style>
  <w:style w:type="character" w:customStyle="1" w:styleId="PlainTextChar">
    <w:name w:val="Plain Text Char"/>
    <w:basedOn w:val="DefaultParagraphFont"/>
    <w:link w:val="PlainText"/>
    <w:rsid w:val="00DB1997"/>
    <w:rPr>
      <w:rFonts w:ascii="Courier New" w:eastAsia="Batang" w:hAnsi="Courier New" w:cs="Courier New"/>
      <w:sz w:val="20"/>
      <w:szCs w:val="20"/>
      <w:lang w:val="en-US"/>
    </w:rPr>
  </w:style>
  <w:style w:type="paragraph" w:styleId="Footer">
    <w:name w:val="footer"/>
    <w:basedOn w:val="Normal"/>
    <w:link w:val="FooterChar"/>
    <w:uiPriority w:val="99"/>
    <w:unhideWhenUsed/>
    <w:rsid w:val="00DB1997"/>
    <w:pPr>
      <w:tabs>
        <w:tab w:val="center" w:pos="4513"/>
        <w:tab w:val="right" w:pos="9026"/>
      </w:tabs>
      <w:snapToGrid w:val="0"/>
    </w:pPr>
    <w:rPr>
      <w:rFonts w:cs="Times New Roman"/>
      <w:lang w:val="x-none"/>
    </w:rPr>
  </w:style>
  <w:style w:type="character" w:customStyle="1" w:styleId="FooterChar">
    <w:name w:val="Footer Char"/>
    <w:basedOn w:val="DefaultParagraphFont"/>
    <w:link w:val="Footer"/>
    <w:uiPriority w:val="99"/>
    <w:rsid w:val="00DB1997"/>
    <w:rPr>
      <w:rFonts w:ascii="Times New Roman" w:eastAsia="Batang" w:hAnsi="Times New Roman" w:cs="Times New Roman"/>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Company>Hewlett-Packard Company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Franklin</dc:creator>
  <cp:lastModifiedBy>Hollie Franklin</cp:lastModifiedBy>
  <cp:revision>1</cp:revision>
  <dcterms:created xsi:type="dcterms:W3CDTF">2016-02-16T16:12:00Z</dcterms:created>
  <dcterms:modified xsi:type="dcterms:W3CDTF">2016-02-16T16:13:00Z</dcterms:modified>
</cp:coreProperties>
</file>