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BE" w:rsidRPr="0075352C" w:rsidRDefault="006C07BE" w:rsidP="006C07BE">
      <w:pPr>
        <w:jc w:val="left"/>
        <w:rPr>
          <w:rFonts w:ascii="Times New Roman" w:hAnsi="Times New Roman"/>
          <w:bCs/>
          <w:sz w:val="24"/>
          <w:szCs w:val="24"/>
        </w:rPr>
      </w:pPr>
      <w:r w:rsidRPr="0075352C">
        <w:rPr>
          <w:rFonts w:ascii="Times New Roman" w:hAnsi="Times New Roman"/>
          <w:bCs/>
          <w:sz w:val="24"/>
          <w:szCs w:val="24"/>
        </w:rPr>
        <w:t>Chambon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5352C">
        <w:rPr>
          <w:rFonts w:ascii="Times New Roman" w:hAnsi="Times New Roman"/>
          <w:bCs/>
          <w:sz w:val="24"/>
          <w:szCs w:val="24"/>
        </w:rPr>
        <w:t>Dao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5352C">
        <w:rPr>
          <w:rFonts w:ascii="Times New Roman" w:hAnsi="Times New Roman"/>
          <w:bCs/>
          <w:sz w:val="24"/>
          <w:szCs w:val="24"/>
        </w:rPr>
        <w:t>Tongkaemkaew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5352C">
        <w:rPr>
          <w:rFonts w:ascii="Times New Roman" w:hAnsi="Times New Roman"/>
          <w:bCs/>
          <w:sz w:val="24"/>
          <w:szCs w:val="24"/>
        </w:rPr>
        <w:t>Gay</w:t>
      </w:r>
    </w:p>
    <w:p w:rsidR="006C07BE" w:rsidRPr="006C07BE" w:rsidRDefault="006C07BE" w:rsidP="00D76089">
      <w:pPr>
        <w:rPr>
          <w:rFonts w:ascii="Times New Roman" w:hAnsi="Times New Roman"/>
          <w:bCs/>
          <w:sz w:val="24"/>
          <w:szCs w:val="24"/>
        </w:rPr>
      </w:pPr>
    </w:p>
    <w:p w:rsidR="006C07BE" w:rsidRPr="006C07BE" w:rsidRDefault="006C07BE" w:rsidP="00D76089">
      <w:pPr>
        <w:rPr>
          <w:rFonts w:ascii="Times New Roman" w:hAnsi="Times New Roman"/>
          <w:b/>
          <w:bCs/>
          <w:sz w:val="24"/>
          <w:szCs w:val="24"/>
        </w:rPr>
      </w:pPr>
    </w:p>
    <w:p w:rsidR="00D76089" w:rsidRPr="00E47CBC" w:rsidRDefault="00D76089" w:rsidP="00D76089">
      <w:pPr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D76089" w:rsidRPr="00F14114" w:rsidTr="00A92F56">
        <w:tc>
          <w:tcPr>
            <w:tcW w:w="1050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b/>
                <w:bCs/>
                <w:lang w:val="en-US"/>
              </w:rPr>
              <w:t>Factor</w:t>
            </w:r>
          </w:p>
        </w:tc>
        <w:tc>
          <w:tcPr>
            <w:tcW w:w="1984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b/>
                <w:bCs/>
                <w:lang w:val="en-US"/>
              </w:rPr>
              <w:t>Category</w:t>
            </w: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b/>
                <w:bCs/>
                <w:lang w:val="en-US"/>
              </w:rPr>
              <w:t>Indicator</w:t>
            </w:r>
          </w:p>
        </w:tc>
      </w:tr>
      <w:tr w:rsidR="00D76089" w:rsidRPr="006C07BE" w:rsidTr="00A92F56">
        <w:tc>
          <w:tcPr>
            <w:tcW w:w="1050" w:type="pct"/>
            <w:vMerge w:val="restart"/>
            <w:vAlign w:val="center"/>
          </w:tcPr>
          <w:p w:rsidR="00D76089" w:rsidRPr="00F14114" w:rsidRDefault="00D76089" w:rsidP="00A92F5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4114">
              <w:rPr>
                <w:rFonts w:ascii="Times New Roman" w:hAnsi="Times New Roman"/>
                <w:b/>
                <w:bCs/>
                <w:lang w:val="en-US"/>
              </w:rPr>
              <w:t>External factors</w:t>
            </w:r>
          </w:p>
        </w:tc>
        <w:tc>
          <w:tcPr>
            <w:tcW w:w="1984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Fertilizer price</w:t>
            </w: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Fertilizer price (USD/50 kg bag)</w:t>
            </w:r>
          </w:p>
        </w:tc>
      </w:tr>
      <w:tr w:rsidR="00D76089" w:rsidRPr="006C07BE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 w:val="restart"/>
            <w:vAlign w:val="center"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Supply of fertilizer</w:t>
            </w: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Distance </w:t>
            </w:r>
            <w:r w:rsidR="00F83B10">
              <w:rPr>
                <w:rFonts w:ascii="Times New Roman" w:hAnsi="Times New Roman"/>
                <w:lang w:val="en-US"/>
              </w:rPr>
              <w:t xml:space="preserve">from farm </w:t>
            </w:r>
            <w:r w:rsidRPr="00F14114">
              <w:rPr>
                <w:rFonts w:ascii="Times New Roman" w:hAnsi="Times New Roman"/>
                <w:lang w:val="en-US"/>
              </w:rPr>
              <w:t>to fertilizer seller</w:t>
            </w:r>
          </w:p>
        </w:tc>
      </w:tr>
      <w:tr w:rsidR="00D76089" w:rsidRPr="006C07BE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984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Unavailability of fertilizer when </w:t>
            </w:r>
            <w:r w:rsidR="00F83B10">
              <w:rPr>
                <w:rFonts w:ascii="Times New Roman" w:hAnsi="Times New Roman"/>
                <w:lang w:val="en-US"/>
              </w:rPr>
              <w:t xml:space="preserve">farmer </w:t>
            </w:r>
            <w:r w:rsidRPr="00F14114">
              <w:rPr>
                <w:rFonts w:ascii="Times New Roman" w:hAnsi="Times New Roman"/>
                <w:lang w:val="en-US"/>
              </w:rPr>
              <w:t>needed</w:t>
            </w:r>
          </w:p>
        </w:tc>
      </w:tr>
      <w:tr w:rsidR="00D76089" w:rsidRPr="00F14114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Availability of technical recommendations</w:t>
            </w: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Source of fertilization recommendations</w:t>
            </w:r>
          </w:p>
        </w:tc>
      </w:tr>
      <w:tr w:rsidR="00D76089" w:rsidRPr="00F14114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984" w:type="pct"/>
          </w:tcPr>
          <w:p w:rsidR="00D76089" w:rsidRPr="00F14114" w:rsidRDefault="00D76089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Geographical location</w:t>
            </w: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Province</w:t>
            </w:r>
          </w:p>
        </w:tc>
      </w:tr>
      <w:tr w:rsidR="00D76089" w:rsidRPr="006C07BE" w:rsidTr="00A92F56">
        <w:tc>
          <w:tcPr>
            <w:tcW w:w="1050" w:type="pct"/>
            <w:vMerge w:val="restart"/>
            <w:vAlign w:val="center"/>
          </w:tcPr>
          <w:p w:rsidR="00D76089" w:rsidRPr="00F14114" w:rsidRDefault="00D76089" w:rsidP="00A92F56">
            <w:pPr>
              <w:jc w:val="center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b/>
                <w:bCs/>
                <w:lang w:val="en-US"/>
              </w:rPr>
              <w:t>Internal factors</w:t>
            </w:r>
          </w:p>
        </w:tc>
        <w:tc>
          <w:tcPr>
            <w:tcW w:w="1984" w:type="pct"/>
            <w:vMerge w:val="restart"/>
            <w:vAlign w:val="center"/>
          </w:tcPr>
          <w:p w:rsidR="00D76089" w:rsidRPr="00F14114" w:rsidRDefault="00D76089" w:rsidP="00A92F56">
            <w:pPr>
              <w:jc w:val="left"/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Household characteristics</w:t>
            </w: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Level of household income (USD/year)</w:t>
            </w:r>
          </w:p>
        </w:tc>
      </w:tr>
      <w:tr w:rsidR="00D76089" w:rsidRPr="00F14114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  <w:vAlign w:val="center"/>
          </w:tcPr>
          <w:p w:rsidR="00D76089" w:rsidRPr="00F14114" w:rsidRDefault="00D76089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Household income diversification</w:t>
            </w:r>
          </w:p>
        </w:tc>
      </w:tr>
      <w:tr w:rsidR="00D76089" w:rsidRPr="00F14114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  <w:vAlign w:val="center"/>
          </w:tcPr>
          <w:p w:rsidR="00D76089" w:rsidRPr="00F14114" w:rsidRDefault="00D76089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Level of household expenses</w:t>
            </w:r>
          </w:p>
        </w:tc>
      </w:tr>
      <w:tr w:rsidR="00D76089" w:rsidRPr="00F14114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  <w:vAlign w:val="center"/>
          </w:tcPr>
          <w:p w:rsidR="00D76089" w:rsidRPr="00F14114" w:rsidRDefault="00D76089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Total landholding size (ha)</w:t>
            </w:r>
          </w:p>
        </w:tc>
      </w:tr>
      <w:tr w:rsidR="00D76089" w:rsidRPr="00F14114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  <w:vAlign w:val="center"/>
          </w:tcPr>
          <w:p w:rsidR="00D76089" w:rsidRPr="00F14114" w:rsidRDefault="00D76089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Rubber group membership</w:t>
            </w:r>
          </w:p>
        </w:tc>
      </w:tr>
      <w:tr w:rsidR="00D76089" w:rsidRPr="00F14114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 w:val="restart"/>
            <w:vAlign w:val="center"/>
          </w:tcPr>
          <w:p w:rsidR="00D76089" w:rsidRPr="00F14114" w:rsidRDefault="00D76089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Characteristics of the household head</w:t>
            </w: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Age (years)</w:t>
            </w:r>
          </w:p>
        </w:tc>
      </w:tr>
      <w:tr w:rsidR="00D76089" w:rsidRPr="00F14114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  <w:vAlign w:val="center"/>
          </w:tcPr>
          <w:p w:rsidR="00D76089" w:rsidRPr="00F14114" w:rsidRDefault="00D76089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Gender</w:t>
            </w:r>
          </w:p>
        </w:tc>
      </w:tr>
      <w:tr w:rsidR="00D76089" w:rsidRPr="00F14114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  <w:vAlign w:val="center"/>
          </w:tcPr>
          <w:p w:rsidR="00D76089" w:rsidRPr="00F14114" w:rsidRDefault="00D76089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Level of education </w:t>
            </w:r>
          </w:p>
        </w:tc>
      </w:tr>
      <w:tr w:rsidR="00D76089" w:rsidRPr="00F14114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  <w:vAlign w:val="center"/>
          </w:tcPr>
          <w:p w:rsidR="00D76089" w:rsidRPr="00F14114" w:rsidRDefault="00D76089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Experience in rubber cultivation</w:t>
            </w:r>
          </w:p>
        </w:tc>
      </w:tr>
      <w:tr w:rsidR="00D76089" w:rsidRPr="00F14114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 w:val="restart"/>
            <w:vAlign w:val="center"/>
          </w:tcPr>
          <w:p w:rsidR="00D76089" w:rsidRPr="00F14114" w:rsidRDefault="00D76089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Characteristics of  farming and cropping systems</w:t>
            </w: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Crop diversification </w:t>
            </w:r>
          </w:p>
        </w:tc>
      </w:tr>
      <w:tr w:rsidR="00D76089" w:rsidRPr="006C07BE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Size of rubber plot (ha)</w:t>
            </w:r>
          </w:p>
        </w:tc>
      </w:tr>
      <w:tr w:rsidR="00D76089" w:rsidRPr="006C07BE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Age of rubber trees (years)</w:t>
            </w:r>
          </w:p>
        </w:tc>
      </w:tr>
      <w:tr w:rsidR="00D76089" w:rsidRPr="006C07BE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Number of rubber cycles on the plot</w:t>
            </w:r>
          </w:p>
        </w:tc>
      </w:tr>
      <w:tr w:rsidR="00D76089" w:rsidRPr="006C07BE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Number of tapping days per year</w:t>
            </w:r>
          </w:p>
        </w:tc>
      </w:tr>
      <w:tr w:rsidR="00D76089" w:rsidRPr="006C07BE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Distance from the house to the rubber plot</w:t>
            </w:r>
          </w:p>
        </w:tc>
      </w:tr>
      <w:tr w:rsidR="00D76089" w:rsidRPr="006C07BE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Access to the plot by 4-wheeled vehicle</w:t>
            </w:r>
          </w:p>
        </w:tc>
      </w:tr>
      <w:tr w:rsidR="00D76089" w:rsidRPr="006C07BE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Land title for the plot</w:t>
            </w:r>
          </w:p>
        </w:tc>
      </w:tr>
      <w:tr w:rsidR="00D76089" w:rsidRPr="006C07BE" w:rsidTr="00A92F56">
        <w:tc>
          <w:tcPr>
            <w:tcW w:w="1050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pct"/>
            <w:vMerge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5" w:type="pct"/>
          </w:tcPr>
          <w:p w:rsidR="00D76089" w:rsidRPr="00F14114" w:rsidRDefault="00D76089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Fertility of the plot perceived by the farmer</w:t>
            </w:r>
          </w:p>
        </w:tc>
      </w:tr>
    </w:tbl>
    <w:p w:rsidR="00D76089" w:rsidRPr="00F83B10" w:rsidRDefault="00D76089" w:rsidP="00D76089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E2232E" w:rsidRPr="00D76089" w:rsidRDefault="00190B6C">
      <w:pPr>
        <w:rPr>
          <w:lang w:val="en-US"/>
        </w:rPr>
      </w:pPr>
    </w:p>
    <w:sectPr w:rsidR="00E2232E" w:rsidRPr="00D7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89"/>
    <w:rsid w:val="000A07A5"/>
    <w:rsid w:val="00190B6C"/>
    <w:rsid w:val="001C04E3"/>
    <w:rsid w:val="00402790"/>
    <w:rsid w:val="006C07BE"/>
    <w:rsid w:val="009D7FBE"/>
    <w:rsid w:val="00B44982"/>
    <w:rsid w:val="00CD66AC"/>
    <w:rsid w:val="00D76089"/>
    <w:rsid w:val="00E47CBC"/>
    <w:rsid w:val="00F83B10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9"/>
    <w:pPr>
      <w:jc w:val="both"/>
    </w:pPr>
    <w:rPr>
      <w:rFonts w:ascii="Book Antiqua" w:eastAsia="Book Antiqua" w:hAnsi="Book Antiqu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9"/>
    <w:pPr>
      <w:jc w:val="both"/>
    </w:pPr>
    <w:rPr>
      <w:rFonts w:ascii="Book Antiqua" w:eastAsia="Book Antiqua" w:hAnsi="Book Antiqu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Chambon</dc:creator>
  <cp:lastModifiedBy>B Chambon</cp:lastModifiedBy>
  <cp:revision>6</cp:revision>
  <dcterms:created xsi:type="dcterms:W3CDTF">2017-06-19T00:57:00Z</dcterms:created>
  <dcterms:modified xsi:type="dcterms:W3CDTF">2017-06-19T03:25:00Z</dcterms:modified>
</cp:coreProperties>
</file>