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0762" w14:textId="77777777" w:rsidR="00B37129" w:rsidRPr="009139F8" w:rsidRDefault="00543A2E">
      <w:pPr>
        <w:rPr>
          <w:rFonts w:ascii="Garamond" w:hAnsi="Garamond"/>
          <w:b/>
          <w:bCs/>
        </w:rPr>
      </w:pPr>
      <w:r w:rsidRPr="009139F8">
        <w:rPr>
          <w:rFonts w:ascii="Garamond" w:hAnsi="Garamond"/>
          <w:b/>
          <w:bCs/>
        </w:rPr>
        <w:t>COVID CJPS ONLINE APPENDIX</w:t>
      </w:r>
    </w:p>
    <w:p w14:paraId="7B73B315" w14:textId="77777777" w:rsidR="009139F8" w:rsidRDefault="009139F8" w:rsidP="00543A2E">
      <w:pPr>
        <w:spacing w:line="480" w:lineRule="auto"/>
        <w:jc w:val="both"/>
        <w:rPr>
          <w:rFonts w:ascii="Garamond" w:hAnsi="Garamond" w:cs="Times New Roman"/>
          <w:b/>
          <w:bCs/>
        </w:rPr>
      </w:pPr>
    </w:p>
    <w:p w14:paraId="2870DD3D" w14:textId="69299631" w:rsidR="00543A2E" w:rsidRPr="009139F8" w:rsidRDefault="00543A2E" w:rsidP="00543A2E">
      <w:pPr>
        <w:spacing w:line="480" w:lineRule="auto"/>
        <w:jc w:val="both"/>
        <w:rPr>
          <w:rFonts w:ascii="Garamond" w:hAnsi="Garamond" w:cs="Times New Roman"/>
          <w:b/>
          <w:bCs/>
        </w:rPr>
      </w:pPr>
      <w:r w:rsidRPr="009139F8">
        <w:rPr>
          <w:rFonts w:ascii="Garamond" w:hAnsi="Garamond" w:cs="Times New Roman"/>
          <w:b/>
          <w:bCs/>
        </w:rPr>
        <w:t>Table A1: Summary statistics for continuous and dummy variables</w:t>
      </w:r>
    </w:p>
    <w:tbl>
      <w:tblPr>
        <w:tblW w:w="6555" w:type="dxa"/>
        <w:tblLook w:val="04A0" w:firstRow="1" w:lastRow="0" w:firstColumn="1" w:lastColumn="0" w:noHBand="0" w:noVBand="1"/>
      </w:tblPr>
      <w:tblGrid>
        <w:gridCol w:w="1990"/>
        <w:gridCol w:w="1151"/>
        <w:gridCol w:w="1149"/>
        <w:gridCol w:w="1116"/>
        <w:gridCol w:w="1149"/>
      </w:tblGrid>
      <w:tr w:rsidR="00543A2E" w:rsidRPr="009139F8" w14:paraId="4CDA8A47" w14:textId="77777777" w:rsidTr="00BA344C">
        <w:trPr>
          <w:trHeight w:val="36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4461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Variable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0133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Mean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D1B3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Std. Dev.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A780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Min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D3C8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Max</w:t>
            </w:r>
          </w:p>
        </w:tc>
      </w:tr>
      <w:tr w:rsidR="00543A2E" w:rsidRPr="009139F8" w14:paraId="0407DB61" w14:textId="77777777" w:rsidTr="00BA344C">
        <w:trPr>
          <w:trHeight w:val="34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B1E9" w14:textId="77777777" w:rsidR="00543A2E" w:rsidRPr="009139F8" w:rsidRDefault="00543A2E" w:rsidP="00BA344C">
            <w:pPr>
              <w:rPr>
                <w:rFonts w:ascii="Garamond" w:eastAsia="Times New Roman" w:hAnsi="Garamond" w:cs="Calibri"/>
                <w:color w:val="000000"/>
              </w:rPr>
            </w:pPr>
            <w:r w:rsidRPr="009139F8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3BF9" w14:textId="77777777" w:rsidR="00543A2E" w:rsidRPr="009139F8" w:rsidRDefault="00543A2E" w:rsidP="00BA344C">
            <w:pPr>
              <w:rPr>
                <w:rFonts w:ascii="Garamond" w:eastAsia="Times New Roman" w:hAnsi="Garamond" w:cs="Calibri"/>
                <w:color w:val="000000"/>
              </w:rPr>
            </w:pPr>
            <w:r w:rsidRPr="009139F8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6A8A" w14:textId="77777777" w:rsidR="00543A2E" w:rsidRPr="009139F8" w:rsidRDefault="00543A2E" w:rsidP="00BA344C">
            <w:pPr>
              <w:rPr>
                <w:rFonts w:ascii="Garamond" w:eastAsia="Times New Roman" w:hAnsi="Garamond" w:cs="Calibri"/>
                <w:color w:val="000000"/>
              </w:rPr>
            </w:pPr>
            <w:r w:rsidRPr="009139F8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AFA" w14:textId="77777777" w:rsidR="00543A2E" w:rsidRPr="009139F8" w:rsidRDefault="00543A2E" w:rsidP="00BA344C">
            <w:pPr>
              <w:rPr>
                <w:rFonts w:ascii="Garamond" w:eastAsia="Times New Roman" w:hAnsi="Garamond" w:cs="Calibri"/>
                <w:color w:val="000000"/>
              </w:rPr>
            </w:pPr>
            <w:r w:rsidRPr="009139F8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E9ED" w14:textId="77777777" w:rsidR="00543A2E" w:rsidRPr="009139F8" w:rsidRDefault="00543A2E" w:rsidP="00BA344C">
            <w:pPr>
              <w:rPr>
                <w:rFonts w:ascii="Garamond" w:eastAsia="Times New Roman" w:hAnsi="Garamond" w:cs="Calibri"/>
                <w:color w:val="000000"/>
              </w:rPr>
            </w:pPr>
            <w:r w:rsidRPr="009139F8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543A2E" w:rsidRPr="009139F8" w14:paraId="7EE20020" w14:textId="77777777" w:rsidTr="00BA344C">
        <w:trPr>
          <w:trHeight w:val="7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C725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Compliance (dependent variable)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A50A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5F3B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11CE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EE98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12A0C973" w14:textId="77777777" w:rsidTr="00BA344C">
        <w:trPr>
          <w:trHeight w:val="7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D3B2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Age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281D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88D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C0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5885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6C7B5F4D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002B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Openness to New Experiences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3EB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1587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991D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26E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2C9D3F78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0B3A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Conscientiousness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8C75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3CEB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EA1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9C0C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0034D89E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A088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Extraversion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5541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5BE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9D17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2B9C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7B84B5AC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C9D1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Agreeableness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150B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1F1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DC68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6D87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0529621F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7B53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Neuroticism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F21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85D8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845D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B5E9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247F8874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F4C3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Trust in scientists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AAD7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D752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16C4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3CF6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6517733C" w14:textId="77777777" w:rsidTr="00BA344C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90DF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Trust in the President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A6D6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21D5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A3CD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A486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2E5CF401" w14:textId="77777777" w:rsidTr="00BA344C">
        <w:trPr>
          <w:trHeight w:val="7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AB60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Fear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4EE7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C345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EF41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6B80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620893BC" w14:textId="77777777" w:rsidTr="00BA344C">
        <w:trPr>
          <w:trHeight w:val="7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906C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Hope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52B4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AA91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5B28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0F9C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  <w:tr w:rsidR="00543A2E" w:rsidRPr="009139F8" w14:paraId="741F852E" w14:textId="77777777" w:rsidTr="00BA344C">
        <w:trPr>
          <w:trHeight w:val="7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8BF" w14:textId="77777777" w:rsidR="00543A2E" w:rsidRPr="009139F8" w:rsidRDefault="00543A2E" w:rsidP="00BA34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Anger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3558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317B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2494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4D5B" w14:textId="77777777" w:rsidR="00543A2E" w:rsidRPr="009139F8" w:rsidRDefault="00543A2E" w:rsidP="00BA344C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9139F8">
              <w:rPr>
                <w:rFonts w:ascii="Garamond" w:eastAsia="Times New Roman" w:hAnsi="Garamond" w:cs="Times New Roman"/>
                <w:color w:val="000000"/>
              </w:rPr>
              <w:t>1.00</w:t>
            </w:r>
          </w:p>
        </w:tc>
      </w:tr>
    </w:tbl>
    <w:p w14:paraId="78452FD7" w14:textId="77777777" w:rsidR="00543A2E" w:rsidRPr="009139F8" w:rsidRDefault="00543A2E" w:rsidP="00543A2E">
      <w:pPr>
        <w:widowControl w:val="0"/>
        <w:spacing w:line="480" w:lineRule="auto"/>
        <w:ind w:firstLine="720"/>
        <w:rPr>
          <w:rFonts w:ascii="Garamond" w:hAnsi="Garamond" w:cs="Times New Roman"/>
        </w:rPr>
      </w:pPr>
    </w:p>
    <w:p w14:paraId="11494E4F" w14:textId="77777777" w:rsidR="00543A2E" w:rsidRPr="009139F8" w:rsidRDefault="00543A2E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3C588F9C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4CD86290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46C2F65E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7AB3E543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5F68FF62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3BE23D4C" w14:textId="77777777" w:rsidR="009139F8" w:rsidRDefault="009139F8" w:rsidP="00543A2E">
      <w:pPr>
        <w:widowControl w:val="0"/>
        <w:spacing w:line="480" w:lineRule="auto"/>
        <w:rPr>
          <w:rFonts w:ascii="Garamond" w:hAnsi="Garamond" w:cs="Times New Roman"/>
          <w:b/>
          <w:bCs/>
        </w:rPr>
      </w:pPr>
    </w:p>
    <w:p w14:paraId="444DE246" w14:textId="5A1A3EA6" w:rsidR="00543A2E" w:rsidRPr="009139F8" w:rsidRDefault="00543A2E" w:rsidP="00543A2E">
      <w:pPr>
        <w:widowControl w:val="0"/>
        <w:spacing w:line="480" w:lineRule="auto"/>
        <w:rPr>
          <w:rFonts w:ascii="Garamond" w:hAnsi="Garamond"/>
          <w:b/>
          <w:bCs/>
        </w:rPr>
      </w:pPr>
      <w:r w:rsidRPr="009139F8">
        <w:rPr>
          <w:rFonts w:ascii="Garamond" w:hAnsi="Garamond" w:cs="Times New Roman"/>
          <w:b/>
          <w:bCs/>
        </w:rPr>
        <w:lastRenderedPageBreak/>
        <w:t xml:space="preserve">Table A2. </w:t>
      </w:r>
      <w:r w:rsidRPr="009139F8">
        <w:rPr>
          <w:rStyle w:val="apple-converted-space"/>
          <w:rFonts w:ascii="Garamond" w:hAnsi="Garamond"/>
          <w:b/>
          <w:bCs/>
        </w:rPr>
        <w:t>Demographic and Attitudinal Correlates of Compliance with Public Health Instructions:  Accounting for Department Fixed-Effects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9"/>
        <w:gridCol w:w="1872"/>
        <w:gridCol w:w="1872"/>
        <w:gridCol w:w="1872"/>
        <w:gridCol w:w="1872"/>
      </w:tblGrid>
      <w:tr w:rsidR="007A099D" w:rsidRPr="009139F8" w14:paraId="545CF578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73E5F9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E6CF5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AD3D7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C1C81B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A8D76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</w:tr>
      <w:tr w:rsidR="007A099D" w:rsidRPr="009139F8" w14:paraId="6BAF1E07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D41CF05" w14:textId="074EFC85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Age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AF9EC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6BE9D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0.15***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F71FB2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0.17***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D87BEC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0.15***</w:t>
            </w:r>
          </w:p>
        </w:tc>
      </w:tr>
      <w:tr w:rsidR="007A099D" w:rsidRPr="009139F8" w14:paraId="26429AB9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81FD9C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F3264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31029F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E27B19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3D4D02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</w:tr>
      <w:tr w:rsidR="007A099D" w:rsidRPr="009139F8" w14:paraId="60EFD151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4367F46" w14:textId="37199C0E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BD98F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A305B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E1F153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97DFA1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0.07***</w:t>
            </w:r>
          </w:p>
        </w:tc>
      </w:tr>
      <w:tr w:rsidR="007A099D" w:rsidRPr="009139F8" w14:paraId="7DEACCDB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B3DFA8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3C0C85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D1729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26CAC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3EE52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(0.01)</w:t>
            </w:r>
          </w:p>
        </w:tc>
      </w:tr>
      <w:tr w:rsidR="007A099D" w:rsidRPr="009139F8" w14:paraId="16C42CBE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3C1E1C6" w14:textId="08262CE9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Middle 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FFF384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1EE357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0481D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F6952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</w:tr>
      <w:tr w:rsidR="007A099D" w:rsidRPr="009139F8" w14:paraId="32480CD9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EF5445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4CD81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909B8D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505514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0BA86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7A099D" w:rsidRPr="009139F8" w14:paraId="31314AAC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121B8BA" w14:textId="36EF6250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High 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B86D8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4E58C4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BB01BB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23098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0.00</w:t>
            </w:r>
          </w:p>
        </w:tc>
      </w:tr>
      <w:tr w:rsidR="007A099D" w:rsidRPr="009139F8" w14:paraId="31E879DA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A7F07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8018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EF3D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66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5F51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5B71F3" w:rsidRPr="009139F8" w14:paraId="7C0CA479" w14:textId="77777777" w:rsidTr="005B71F3">
        <w:trPr>
          <w:jc w:val="center"/>
        </w:trPr>
        <w:tc>
          <w:tcPr>
            <w:tcW w:w="9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BE1A8" w14:textId="13C4E266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  <w:i/>
                <w:iCs/>
              </w:rPr>
              <w:t>Size of community (ref. &lt; 2,000 inhabitants)</w:t>
            </w:r>
          </w:p>
        </w:tc>
      </w:tr>
      <w:tr w:rsidR="007A099D" w:rsidRPr="009139F8" w14:paraId="49876E0E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77BC2" w14:textId="553AADF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2,000-9,999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399F7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6866C" w14:textId="241E16FD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FDA71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E89B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</w:tr>
      <w:tr w:rsidR="007A099D" w:rsidRPr="009139F8" w14:paraId="534DB6E9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B95F091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3AD093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6098CD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D2E4FC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A782B2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7A099D" w:rsidRPr="009139F8" w14:paraId="3F789113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76EF716" w14:textId="33B906A0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10,000-49,999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09FD28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541AC2A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376AFC9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B427467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-0.01</w:t>
            </w:r>
          </w:p>
        </w:tc>
      </w:tr>
      <w:tr w:rsidR="007A099D" w:rsidRPr="009139F8" w14:paraId="2BCA606E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F6250E9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C6A74D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0D18B3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279822A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8357C1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7A099D" w:rsidRPr="009139F8" w14:paraId="528F7EFE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DE22339" w14:textId="1C594C45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50,000-199,999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76DEB38" w14:textId="0732B681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-0.05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EE58EF3" w14:textId="7E675714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-0.05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A9BE52" w14:textId="0C37194D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-0.06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F7128C" w14:textId="01880653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-0.05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7A099D" w:rsidRPr="009139F8" w14:paraId="47B8FA0A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607B2F5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69554B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3F9F47C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253BDF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76B98C" w14:textId="77777777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7A099D" w:rsidRPr="009139F8" w14:paraId="251DD435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E5D24BB" w14:textId="43EC94DF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200,000 or more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56DE44" w14:textId="1A159285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D99C9B7" w14:textId="41DF0E15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FDC6ACB" w14:textId="78500754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5F9A439" w14:textId="5A674543" w:rsidR="007A099D" w:rsidRPr="009139F8" w:rsidRDefault="007A099D" w:rsidP="007A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-0.05*</w:t>
            </w:r>
          </w:p>
        </w:tc>
      </w:tr>
      <w:tr w:rsidR="007A099D" w:rsidRPr="009139F8" w14:paraId="281E0302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2C342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971D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83FF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870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1CF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5B71F3" w:rsidRPr="009139F8" w14:paraId="14A38409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51320" w14:textId="4F229EFA" w:rsidR="005B71F3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iCs/>
              </w:rPr>
            </w:pPr>
            <w:r w:rsidRPr="009139F8">
              <w:rPr>
                <w:rFonts w:ascii="Garamond" w:hAnsi="Garamond" w:cs="Times New Roman"/>
                <w:i/>
                <w:iCs/>
              </w:rPr>
              <w:t>Personality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ABEF" w14:textId="77777777" w:rsidR="005B71F3" w:rsidRPr="009139F8" w:rsidRDefault="005B71F3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FCCAA" w14:textId="77777777" w:rsidR="005B71F3" w:rsidRPr="009139F8" w:rsidRDefault="005B71F3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4B43" w14:textId="77777777" w:rsidR="005B71F3" w:rsidRPr="009139F8" w:rsidRDefault="005B71F3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2F0FB" w14:textId="77777777" w:rsidR="005B71F3" w:rsidRPr="009139F8" w:rsidRDefault="005B71F3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</w:tr>
      <w:tr w:rsidR="005B71F3" w:rsidRPr="009139F8" w14:paraId="082059C5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2930" w14:textId="79E9E161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Openness to New Experiences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6D886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D6E75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38047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D14B5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</w:tr>
      <w:tr w:rsidR="005B71F3" w:rsidRPr="009139F8" w14:paraId="0F79A60A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C209143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71A81B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4AFBCF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AB1289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F2DF9E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5B71F3" w:rsidRPr="009139F8" w14:paraId="3BC69182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8E387DA" w14:textId="4D6F8C02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Conscientiousness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DF9534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B6BD205" w14:textId="46D91480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0.11*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64D365" w14:textId="252C256E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0.12*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0EB1C4" w14:textId="29A4B2B9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0.11**</w:t>
            </w:r>
          </w:p>
        </w:tc>
      </w:tr>
      <w:tr w:rsidR="005B71F3" w:rsidRPr="009139F8" w14:paraId="348350D8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BC8F1E1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F433C7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17360D7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56E236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30FDBF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</w:tr>
      <w:tr w:rsidR="005B71F3" w:rsidRPr="009139F8" w14:paraId="41CA9C13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CC13ABF" w14:textId="7BF47810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Extraversion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F787C8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20C7B1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E99A87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DFDA68" w14:textId="64C84F43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-0.07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5B71F3" w:rsidRPr="009139F8" w14:paraId="53897558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4D26C0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78639CD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3646CB4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AAF933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0270220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</w:tr>
      <w:tr w:rsidR="005B71F3" w:rsidRPr="009139F8" w14:paraId="424C381E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B678423" w14:textId="0EA1A4A8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Agreeableness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45246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918C2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AB9C798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2B0ADA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0.04</w:t>
            </w:r>
          </w:p>
        </w:tc>
      </w:tr>
      <w:tr w:rsidR="005B71F3" w:rsidRPr="009139F8" w14:paraId="365AC98F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111B876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DE2704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8B750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14A7AF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718727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(0.04)</w:t>
            </w:r>
          </w:p>
        </w:tc>
      </w:tr>
      <w:tr w:rsidR="005B71F3" w:rsidRPr="009139F8" w14:paraId="72F83BBF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3F341D9" w14:textId="4756E2EE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Neuroticism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3205F0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1A9570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E3CDF0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6071BD" w14:textId="2E691ACE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-0.08**</w:t>
            </w:r>
          </w:p>
        </w:tc>
      </w:tr>
      <w:tr w:rsidR="005B71F3" w:rsidRPr="009139F8" w14:paraId="60B72A61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8F14B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D9B18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3C12F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FD45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07B3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5B71F3" w:rsidRPr="009139F8" w14:paraId="62271153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1A899" w14:textId="779AE809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  <w:iCs/>
              </w:rPr>
              <w:t>Ideology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DBDD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85E8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EAE64" w14:textId="4E2E81DD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0.23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5144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0.16</w:t>
            </w:r>
          </w:p>
        </w:tc>
      </w:tr>
      <w:tr w:rsidR="005B71F3" w:rsidRPr="009139F8" w14:paraId="767865A0" w14:textId="77777777" w:rsidTr="00FA7C7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85D5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DAAE657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5366A8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A9606B6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(0.13)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8C3920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(0.12)</w:t>
            </w:r>
          </w:p>
        </w:tc>
      </w:tr>
      <w:tr w:rsidR="005B71F3" w:rsidRPr="009139F8" w14:paraId="049C3C41" w14:textId="77777777" w:rsidTr="00FA7C7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A5A3" w14:textId="6CD58353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 xml:space="preserve">Ideology squared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5E21118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CB68602" w14:textId="77777777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3FCEB9" w14:textId="44EA7792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-0.23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7EA5A6F" w14:textId="1FAAAFC5" w:rsidR="005B71F3" w:rsidRPr="009139F8" w:rsidRDefault="005B71F3" w:rsidP="005B7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-0.21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7A099D" w:rsidRPr="009139F8" w14:paraId="60A8E3CD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03A9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914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3D89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9EE3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(0.12)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21A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(0.11)</w:t>
            </w:r>
          </w:p>
        </w:tc>
      </w:tr>
      <w:tr w:rsidR="007A099D" w:rsidRPr="009139F8" w14:paraId="280999D3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80B1C" w14:textId="1B5A3A32" w:rsidR="007A099D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Trust in scientists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F10A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DDA1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36F07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749D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0.03</w:t>
            </w:r>
          </w:p>
        </w:tc>
      </w:tr>
      <w:tr w:rsidR="007A099D" w:rsidRPr="009139F8" w14:paraId="7015BB86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35EF4C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CE0D72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A9AAE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0D8C2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C664C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7A099D" w:rsidRPr="009139F8" w14:paraId="2C8C9904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CC80695" w14:textId="1A8CC5E6" w:rsidR="007A099D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Trust in president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B1423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45374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65905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5FC170" w14:textId="34025AC4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0.03</w:t>
            </w:r>
            <w:r w:rsidR="00C71EDD" w:rsidRPr="009139F8">
              <w:rPr>
                <w:rFonts w:ascii="Garamond" w:hAnsi="Garamond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7A099D" w:rsidRPr="009139F8" w14:paraId="56A89D0A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6F23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5FD1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A6904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B914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01314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7A099D" w:rsidRPr="009139F8" w14:paraId="0E7E5278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D5A02" w14:textId="7A179D10" w:rsidR="007A099D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Fear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2BC3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C753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A490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151D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0.24***</w:t>
            </w:r>
          </w:p>
        </w:tc>
      </w:tr>
      <w:tr w:rsidR="007A099D" w:rsidRPr="009139F8" w14:paraId="1AC618EB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F2E8E8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81D943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CC32B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1C342F2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AEBFFEF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7A099D" w:rsidRPr="009139F8" w14:paraId="408C511C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CB69F7A" w14:textId="17636508" w:rsidR="007A099D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Hope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510D65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1FB012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568D8B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4EB54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-0.02</w:t>
            </w:r>
          </w:p>
        </w:tc>
      </w:tr>
      <w:tr w:rsidR="007A099D" w:rsidRPr="009139F8" w14:paraId="47B85C70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210787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CEB1AA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26AE1F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6CBF3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F16B91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(0.03)</w:t>
            </w:r>
          </w:p>
        </w:tc>
      </w:tr>
      <w:tr w:rsidR="007A099D" w:rsidRPr="009139F8" w14:paraId="294E60B7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6BF0876" w14:textId="63A575E6" w:rsidR="007A099D" w:rsidRPr="009139F8" w:rsidRDefault="005B71F3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Anger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B44D3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5021EB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D619BCF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4A35707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0.02</w:t>
            </w:r>
          </w:p>
        </w:tc>
      </w:tr>
      <w:tr w:rsidR="007A099D" w:rsidRPr="009139F8" w14:paraId="2E300779" w14:textId="77777777" w:rsidTr="005B71F3"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116A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F247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7BA1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B90D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FC18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</w:tr>
      <w:tr w:rsidR="007A099D" w:rsidRPr="009139F8" w14:paraId="3B507C2F" w14:textId="77777777" w:rsidTr="005B71F3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B85F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F733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0.71***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3723F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0.71***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2CB5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0.61***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39A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0.53***</w:t>
            </w:r>
          </w:p>
        </w:tc>
      </w:tr>
      <w:tr w:rsidR="007A099D" w:rsidRPr="009139F8" w14:paraId="33526D9B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9B8D99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3811AE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AF1D29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A29511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E19800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(0.09)</w:t>
            </w:r>
          </w:p>
        </w:tc>
      </w:tr>
      <w:tr w:rsidR="007A099D" w:rsidRPr="009139F8" w14:paraId="213926D5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C43A8F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B563B8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BBF63F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6B81B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F5CABD6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</w:tr>
      <w:tr w:rsidR="007A099D" w:rsidRPr="009139F8" w14:paraId="3FF61B07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893770C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C4ACDA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870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CBFF4F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794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250F75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690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CEB4A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690</w:t>
            </w:r>
          </w:p>
        </w:tc>
      </w:tr>
      <w:tr w:rsidR="007A099D" w:rsidRPr="009139F8" w14:paraId="5F0B5326" w14:textId="77777777" w:rsidTr="007A099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F77AEA3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R-squared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D738DE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51816A9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2A2444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3BE1A7E" w14:textId="66AC41DC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0.2</w:t>
            </w:r>
            <w:r w:rsidR="002D54E6" w:rsidRPr="009139F8">
              <w:rPr>
                <w:rFonts w:ascii="Garamond" w:hAnsi="Garamond" w:cs="Times New Roman"/>
              </w:rPr>
              <w:t>6</w:t>
            </w:r>
          </w:p>
        </w:tc>
      </w:tr>
      <w:tr w:rsidR="007A099D" w:rsidRPr="009139F8" w14:paraId="372719F6" w14:textId="77777777" w:rsidTr="007A099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81D0EA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Number of ALOC1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8815E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C7BD40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432BD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B6B7B" w14:textId="77777777" w:rsidR="007A099D" w:rsidRPr="009139F8" w:rsidRDefault="007A099D" w:rsidP="00F5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9139F8">
              <w:rPr>
                <w:rFonts w:ascii="Garamond" w:hAnsi="Garamond" w:cs="Times New Roman"/>
              </w:rPr>
              <w:t>92</w:t>
            </w:r>
          </w:p>
        </w:tc>
      </w:tr>
    </w:tbl>
    <w:p w14:paraId="1989D01A" w14:textId="77777777" w:rsidR="007A099D" w:rsidRPr="009139F8" w:rsidRDefault="007A099D" w:rsidP="00543A2E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533C4E49" w14:textId="08CC1D39" w:rsidR="00543A2E" w:rsidRPr="009139F8" w:rsidRDefault="00543A2E" w:rsidP="00543A2E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139F8">
        <w:rPr>
          <w:rFonts w:ascii="Garamond" w:hAnsi="Garamond" w:cs="Times New Roman"/>
          <w:sz w:val="20"/>
          <w:szCs w:val="20"/>
        </w:rPr>
        <w:t>Standard errors in parentheses are clustered by department. All models include department fixed effects</w:t>
      </w:r>
    </w:p>
    <w:p w14:paraId="4B942335" w14:textId="77777777" w:rsidR="00543A2E" w:rsidRPr="009139F8" w:rsidRDefault="00543A2E" w:rsidP="00543A2E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139F8">
        <w:rPr>
          <w:rFonts w:ascii="Garamond" w:hAnsi="Garamond" w:cs="Times New Roman"/>
          <w:sz w:val="20"/>
          <w:szCs w:val="20"/>
        </w:rPr>
        <w:t xml:space="preserve"> (</w:t>
      </w:r>
      <w:r w:rsidRPr="009139F8">
        <w:rPr>
          <w:rFonts w:ascii="Garamond" w:hAnsi="Garamond" w:cs="Times New Roman"/>
          <w:i/>
          <w:iCs/>
          <w:sz w:val="20"/>
          <w:szCs w:val="20"/>
        </w:rPr>
        <w:t>R</w:t>
      </w:r>
      <w:r w:rsidRPr="009139F8">
        <w:rPr>
          <w:rFonts w:ascii="Garamond" w:hAnsi="Garamond" w:cs="Times New Roman"/>
          <w:i/>
          <w:iCs/>
          <w:sz w:val="20"/>
          <w:szCs w:val="20"/>
          <w:vertAlign w:val="superscript"/>
        </w:rPr>
        <w:t>2</w:t>
      </w:r>
      <w:r w:rsidRPr="009139F8">
        <w:rPr>
          <w:rFonts w:ascii="Garamond" w:hAnsi="Garamond" w:cs="Times New Roman"/>
          <w:sz w:val="20"/>
          <w:szCs w:val="20"/>
        </w:rPr>
        <w:t xml:space="preserve"> is net of fixed effects).</w:t>
      </w:r>
    </w:p>
    <w:p w14:paraId="0D17762F" w14:textId="77777777" w:rsidR="00543A2E" w:rsidRPr="009139F8" w:rsidRDefault="00543A2E" w:rsidP="00543A2E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139F8">
        <w:rPr>
          <w:rFonts w:ascii="Garamond" w:hAnsi="Garamond" w:cs="Times New Roman"/>
          <w:sz w:val="20"/>
          <w:szCs w:val="20"/>
          <w:vertAlign w:val="superscript"/>
        </w:rPr>
        <w:t>#</w:t>
      </w:r>
      <w:r w:rsidRPr="009139F8">
        <w:rPr>
          <w:rFonts w:ascii="Garamond" w:hAnsi="Garamond" w:cs="Times New Roman"/>
          <w:sz w:val="20"/>
          <w:szCs w:val="20"/>
        </w:rPr>
        <w:t xml:space="preserve"> </w:t>
      </w:r>
      <w:r w:rsidRPr="009139F8">
        <w:rPr>
          <w:rFonts w:ascii="Garamond" w:hAnsi="Garamond" w:cs="Times New Roman"/>
          <w:i/>
          <w:iCs/>
          <w:sz w:val="20"/>
          <w:szCs w:val="20"/>
        </w:rPr>
        <w:t>p</w:t>
      </w:r>
      <w:r w:rsidRPr="009139F8">
        <w:rPr>
          <w:rFonts w:ascii="Garamond" w:hAnsi="Garamond" w:cs="Times New Roman"/>
          <w:sz w:val="20"/>
          <w:szCs w:val="20"/>
        </w:rPr>
        <w:t xml:space="preserve"> &lt; 0.1, </w:t>
      </w:r>
      <w:r w:rsidRPr="009139F8">
        <w:rPr>
          <w:rFonts w:ascii="Garamond" w:hAnsi="Garamond" w:cs="Times New Roman"/>
          <w:sz w:val="20"/>
          <w:szCs w:val="20"/>
          <w:vertAlign w:val="superscript"/>
        </w:rPr>
        <w:t>*</w:t>
      </w:r>
      <w:r w:rsidRPr="009139F8">
        <w:rPr>
          <w:rFonts w:ascii="Garamond" w:hAnsi="Garamond" w:cs="Times New Roman"/>
          <w:sz w:val="20"/>
          <w:szCs w:val="20"/>
        </w:rPr>
        <w:t xml:space="preserve"> </w:t>
      </w:r>
      <w:r w:rsidRPr="009139F8">
        <w:rPr>
          <w:rFonts w:ascii="Garamond" w:hAnsi="Garamond" w:cs="Times New Roman"/>
          <w:i/>
          <w:iCs/>
          <w:sz w:val="20"/>
          <w:szCs w:val="20"/>
        </w:rPr>
        <w:t>p</w:t>
      </w:r>
      <w:r w:rsidRPr="009139F8">
        <w:rPr>
          <w:rFonts w:ascii="Garamond" w:hAnsi="Garamond" w:cs="Times New Roman"/>
          <w:sz w:val="20"/>
          <w:szCs w:val="20"/>
        </w:rPr>
        <w:t xml:space="preserve"> &lt; 0.05, </w:t>
      </w:r>
      <w:r w:rsidRPr="009139F8">
        <w:rPr>
          <w:rFonts w:ascii="Garamond" w:hAnsi="Garamond" w:cs="Times New Roman"/>
          <w:sz w:val="20"/>
          <w:szCs w:val="20"/>
          <w:vertAlign w:val="superscript"/>
        </w:rPr>
        <w:t>**</w:t>
      </w:r>
      <w:r w:rsidRPr="009139F8">
        <w:rPr>
          <w:rFonts w:ascii="Garamond" w:hAnsi="Garamond" w:cs="Times New Roman"/>
          <w:sz w:val="20"/>
          <w:szCs w:val="20"/>
        </w:rPr>
        <w:t xml:space="preserve"> </w:t>
      </w:r>
      <w:r w:rsidRPr="009139F8">
        <w:rPr>
          <w:rFonts w:ascii="Garamond" w:hAnsi="Garamond" w:cs="Times New Roman"/>
          <w:i/>
          <w:iCs/>
          <w:sz w:val="20"/>
          <w:szCs w:val="20"/>
        </w:rPr>
        <w:t>p</w:t>
      </w:r>
      <w:r w:rsidRPr="009139F8">
        <w:rPr>
          <w:rFonts w:ascii="Garamond" w:hAnsi="Garamond" w:cs="Times New Roman"/>
          <w:sz w:val="20"/>
          <w:szCs w:val="20"/>
        </w:rPr>
        <w:t xml:space="preserve"> &lt; 0.01, </w:t>
      </w:r>
      <w:r w:rsidRPr="009139F8">
        <w:rPr>
          <w:rFonts w:ascii="Garamond" w:hAnsi="Garamond" w:cs="Times New Roman"/>
          <w:sz w:val="20"/>
          <w:szCs w:val="20"/>
          <w:vertAlign w:val="superscript"/>
        </w:rPr>
        <w:t>***</w:t>
      </w:r>
      <w:r w:rsidRPr="009139F8">
        <w:rPr>
          <w:rFonts w:ascii="Garamond" w:hAnsi="Garamond" w:cs="Times New Roman"/>
          <w:sz w:val="20"/>
          <w:szCs w:val="20"/>
        </w:rPr>
        <w:t xml:space="preserve"> </w:t>
      </w:r>
      <w:r w:rsidRPr="009139F8">
        <w:rPr>
          <w:rFonts w:ascii="Garamond" w:hAnsi="Garamond" w:cs="Times New Roman"/>
          <w:i/>
          <w:iCs/>
          <w:sz w:val="20"/>
          <w:szCs w:val="20"/>
        </w:rPr>
        <w:t>p</w:t>
      </w:r>
      <w:r w:rsidRPr="009139F8">
        <w:rPr>
          <w:rFonts w:ascii="Garamond" w:hAnsi="Garamond" w:cs="Times New Roman"/>
          <w:sz w:val="20"/>
          <w:szCs w:val="20"/>
        </w:rPr>
        <w:t xml:space="preserve"> &lt; 0.001</w:t>
      </w:r>
    </w:p>
    <w:p w14:paraId="581D98F4" w14:textId="77777777" w:rsidR="00543A2E" w:rsidRPr="009139F8" w:rsidRDefault="00543A2E" w:rsidP="00543A2E">
      <w:pPr>
        <w:spacing w:line="480" w:lineRule="auto"/>
        <w:jc w:val="both"/>
        <w:rPr>
          <w:rFonts w:ascii="Garamond" w:hAnsi="Garamond" w:cs="Times New Roman"/>
          <w:b/>
          <w:bCs/>
        </w:rPr>
      </w:pPr>
    </w:p>
    <w:p w14:paraId="0281A51B" w14:textId="77777777" w:rsidR="00543A2E" w:rsidRPr="009139F8" w:rsidRDefault="00543A2E">
      <w:pPr>
        <w:rPr>
          <w:rFonts w:ascii="Garamond" w:hAnsi="Garamond"/>
        </w:rPr>
      </w:pPr>
    </w:p>
    <w:sectPr w:rsidR="00543A2E" w:rsidRPr="009139F8" w:rsidSect="00F4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2E"/>
    <w:rsid w:val="002D54E6"/>
    <w:rsid w:val="00543A2E"/>
    <w:rsid w:val="005B71F3"/>
    <w:rsid w:val="007A099D"/>
    <w:rsid w:val="009139F8"/>
    <w:rsid w:val="00C71EDD"/>
    <w:rsid w:val="00CF2C03"/>
    <w:rsid w:val="00D447B7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768A0"/>
  <w15:chartTrackingRefBased/>
  <w15:docId w15:val="{751DF7B9-CB6F-DC41-96D0-BE15AE3C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A2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Vasilopoulos</dc:creator>
  <cp:keywords/>
  <dc:description/>
  <cp:lastModifiedBy>Elizabeth Pando</cp:lastModifiedBy>
  <cp:revision>2</cp:revision>
  <dcterms:created xsi:type="dcterms:W3CDTF">2020-04-21T13:59:00Z</dcterms:created>
  <dcterms:modified xsi:type="dcterms:W3CDTF">2020-04-21T13:59:00Z</dcterms:modified>
</cp:coreProperties>
</file>