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4FB7" w14:textId="77777777" w:rsidR="00657353" w:rsidRDefault="00657353" w:rsidP="00657353">
      <w:pPr>
        <w:jc w:val="center"/>
      </w:pPr>
      <w:bookmarkStart w:id="0" w:name="_GoBack"/>
      <w:bookmarkEnd w:id="0"/>
    </w:p>
    <w:p w14:paraId="45C8156B" w14:textId="77777777" w:rsidR="00657353" w:rsidRDefault="00657353" w:rsidP="00657353">
      <w:pPr>
        <w:jc w:val="center"/>
      </w:pPr>
    </w:p>
    <w:p w14:paraId="27EA801E" w14:textId="77777777" w:rsidR="00657353" w:rsidRDefault="00657353" w:rsidP="00657353">
      <w:pPr>
        <w:jc w:val="center"/>
      </w:pPr>
    </w:p>
    <w:p w14:paraId="6A41B4FF" w14:textId="77777777" w:rsidR="00657353" w:rsidRDefault="00657353" w:rsidP="00657353">
      <w:pPr>
        <w:jc w:val="center"/>
        <w:rPr>
          <w:sz w:val="28"/>
          <w:szCs w:val="28"/>
        </w:rPr>
      </w:pPr>
    </w:p>
    <w:p w14:paraId="75C97A04" w14:textId="77777777" w:rsidR="00657353" w:rsidRDefault="00657353" w:rsidP="00657353">
      <w:pPr>
        <w:jc w:val="center"/>
        <w:rPr>
          <w:sz w:val="28"/>
          <w:szCs w:val="28"/>
        </w:rPr>
      </w:pPr>
    </w:p>
    <w:p w14:paraId="4D5AF46C" w14:textId="77777777" w:rsidR="00657353" w:rsidRDefault="00657353" w:rsidP="00657353">
      <w:pPr>
        <w:jc w:val="center"/>
        <w:rPr>
          <w:sz w:val="28"/>
          <w:szCs w:val="28"/>
        </w:rPr>
      </w:pPr>
    </w:p>
    <w:p w14:paraId="355FAE93" w14:textId="77777777" w:rsidR="00657353" w:rsidRDefault="00657353" w:rsidP="00657353">
      <w:pPr>
        <w:jc w:val="center"/>
        <w:rPr>
          <w:sz w:val="28"/>
          <w:szCs w:val="28"/>
        </w:rPr>
      </w:pPr>
    </w:p>
    <w:p w14:paraId="64831B30" w14:textId="2B44F26E" w:rsidR="00235E17" w:rsidRDefault="00BB4A90" w:rsidP="00997ABC">
      <w:pPr>
        <w:jc w:val="center"/>
        <w:rPr>
          <w:b/>
          <w:sz w:val="28"/>
          <w:szCs w:val="28"/>
        </w:rPr>
      </w:pPr>
      <w:r>
        <w:rPr>
          <w:b/>
          <w:sz w:val="28"/>
          <w:szCs w:val="28"/>
        </w:rPr>
        <w:t>Supplementary Appendi</w:t>
      </w:r>
      <w:r w:rsidR="000A158F">
        <w:rPr>
          <w:b/>
          <w:sz w:val="28"/>
          <w:szCs w:val="28"/>
        </w:rPr>
        <w:t>ces</w:t>
      </w:r>
      <w:r>
        <w:rPr>
          <w:b/>
          <w:sz w:val="28"/>
          <w:szCs w:val="28"/>
        </w:rPr>
        <w:t xml:space="preserve"> for “</w:t>
      </w:r>
      <w:r w:rsidR="00235E17">
        <w:rPr>
          <w:b/>
          <w:sz w:val="28"/>
          <w:szCs w:val="28"/>
        </w:rPr>
        <w:t xml:space="preserve">Rational Learners or Impervious </w:t>
      </w:r>
      <w:proofErr w:type="gramStart"/>
      <w:r w:rsidR="00235E17">
        <w:rPr>
          <w:b/>
          <w:sz w:val="28"/>
          <w:szCs w:val="28"/>
        </w:rPr>
        <w:t>Partisans?:</w:t>
      </w:r>
      <w:proofErr w:type="gramEnd"/>
      <w:r w:rsidR="00235E17">
        <w:rPr>
          <w:b/>
          <w:sz w:val="28"/>
          <w:szCs w:val="28"/>
        </w:rPr>
        <w:t xml:space="preserve"> </w:t>
      </w:r>
    </w:p>
    <w:p w14:paraId="32B900FD" w14:textId="53F393C0" w:rsidR="00997ABC" w:rsidRPr="00997ABC" w:rsidRDefault="00544561" w:rsidP="00997ABC">
      <w:pPr>
        <w:jc w:val="center"/>
        <w:rPr>
          <w:b/>
          <w:sz w:val="28"/>
          <w:szCs w:val="28"/>
        </w:rPr>
      </w:pPr>
      <w:r>
        <w:rPr>
          <w:b/>
          <w:sz w:val="28"/>
          <w:szCs w:val="28"/>
        </w:rPr>
        <w:t xml:space="preserve">Economic News and Partisan Bias in Economic </w:t>
      </w:r>
      <w:r w:rsidR="00110C3C">
        <w:rPr>
          <w:b/>
          <w:sz w:val="28"/>
          <w:szCs w:val="28"/>
        </w:rPr>
        <w:t>Perceptions</w:t>
      </w:r>
      <w:r w:rsidR="00BB4A90">
        <w:rPr>
          <w:b/>
          <w:sz w:val="28"/>
          <w:szCs w:val="28"/>
        </w:rPr>
        <w:t>”</w:t>
      </w:r>
    </w:p>
    <w:p w14:paraId="7E67BD9A" w14:textId="77777777" w:rsidR="00657353" w:rsidRDefault="00657353" w:rsidP="00657353">
      <w:pPr>
        <w:jc w:val="center"/>
        <w:rPr>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34A6" w14:paraId="4A2534C0" w14:textId="77777777" w:rsidTr="00C150BE">
        <w:tc>
          <w:tcPr>
            <w:tcW w:w="4675" w:type="dxa"/>
          </w:tcPr>
          <w:p w14:paraId="4F432374" w14:textId="77777777" w:rsidR="00B934A6" w:rsidRDefault="00B934A6" w:rsidP="00C150BE">
            <w:pPr>
              <w:pStyle w:val="NoSpacing"/>
              <w:spacing w:line="240" w:lineRule="auto"/>
              <w:jc w:val="center"/>
            </w:pPr>
            <w:r>
              <w:t>J. Scott Matthews (Corresponding author)</w:t>
            </w:r>
          </w:p>
          <w:p w14:paraId="5DB3F9CC" w14:textId="77777777" w:rsidR="00B934A6" w:rsidRDefault="00B934A6" w:rsidP="00C150BE">
            <w:pPr>
              <w:pStyle w:val="NoSpacing"/>
              <w:spacing w:line="240" w:lineRule="auto"/>
              <w:jc w:val="center"/>
            </w:pPr>
            <w:r>
              <w:t>Associate Professor</w:t>
            </w:r>
          </w:p>
          <w:p w14:paraId="5C82ED16" w14:textId="77777777" w:rsidR="00B934A6" w:rsidRDefault="00B934A6" w:rsidP="00C150BE">
            <w:pPr>
              <w:pStyle w:val="NoSpacing"/>
              <w:spacing w:line="240" w:lineRule="auto"/>
              <w:jc w:val="center"/>
            </w:pPr>
            <w:r>
              <w:t>Memorial University of Newfoundland</w:t>
            </w:r>
          </w:p>
          <w:p w14:paraId="089EC08F" w14:textId="77777777" w:rsidR="00B934A6" w:rsidRDefault="0015530D" w:rsidP="00C150BE">
            <w:pPr>
              <w:pStyle w:val="NoSpacing"/>
              <w:spacing w:line="240" w:lineRule="auto"/>
              <w:jc w:val="center"/>
            </w:pPr>
            <w:hyperlink r:id="rId8" w:history="1">
              <w:r w:rsidR="00B934A6" w:rsidRPr="008E0BC4">
                <w:rPr>
                  <w:rStyle w:val="Hyperlink"/>
                </w:rPr>
                <w:t>scott.matthews@mun.ca</w:t>
              </w:r>
            </w:hyperlink>
          </w:p>
          <w:p w14:paraId="4D4DDCC7" w14:textId="77777777" w:rsidR="00B934A6" w:rsidRDefault="00B934A6" w:rsidP="00C150BE">
            <w:pPr>
              <w:pStyle w:val="NoSpacing"/>
              <w:spacing w:line="240" w:lineRule="auto"/>
              <w:jc w:val="center"/>
            </w:pPr>
          </w:p>
          <w:p w14:paraId="3F1BAC4A" w14:textId="77777777" w:rsidR="00B934A6" w:rsidRDefault="00B934A6" w:rsidP="00C150BE">
            <w:pPr>
              <w:pStyle w:val="NoSpacing"/>
              <w:spacing w:line="240" w:lineRule="auto"/>
              <w:jc w:val="center"/>
            </w:pPr>
          </w:p>
        </w:tc>
        <w:tc>
          <w:tcPr>
            <w:tcW w:w="4675" w:type="dxa"/>
          </w:tcPr>
          <w:p w14:paraId="23AD5F3D" w14:textId="77777777" w:rsidR="00B934A6" w:rsidRDefault="00B934A6" w:rsidP="00C150BE">
            <w:pPr>
              <w:pStyle w:val="NoSpacing"/>
              <w:spacing w:line="240" w:lineRule="auto"/>
              <w:jc w:val="center"/>
            </w:pPr>
            <w:r>
              <w:t>Mark Pickup</w:t>
            </w:r>
          </w:p>
          <w:p w14:paraId="4D2B5E28" w14:textId="77777777" w:rsidR="00B934A6" w:rsidRDefault="00B934A6" w:rsidP="00C150BE">
            <w:pPr>
              <w:pStyle w:val="NoSpacing"/>
              <w:spacing w:line="240" w:lineRule="auto"/>
              <w:jc w:val="center"/>
            </w:pPr>
            <w:r>
              <w:t>Associate Professor</w:t>
            </w:r>
          </w:p>
          <w:p w14:paraId="13C80AD0" w14:textId="77777777" w:rsidR="00B934A6" w:rsidRDefault="00B934A6" w:rsidP="00C150BE">
            <w:pPr>
              <w:pStyle w:val="NoSpacing"/>
              <w:spacing w:line="240" w:lineRule="auto"/>
              <w:jc w:val="center"/>
            </w:pPr>
            <w:r>
              <w:t>Simon Fraser University</w:t>
            </w:r>
          </w:p>
          <w:p w14:paraId="70780350" w14:textId="77777777" w:rsidR="00B934A6" w:rsidRDefault="0015530D" w:rsidP="00C150BE">
            <w:pPr>
              <w:pStyle w:val="NoSpacing"/>
              <w:spacing w:line="240" w:lineRule="auto"/>
              <w:jc w:val="center"/>
            </w:pPr>
            <w:hyperlink r:id="rId9" w:history="1">
              <w:r w:rsidR="00B934A6" w:rsidRPr="008E0BC4">
                <w:rPr>
                  <w:rStyle w:val="Hyperlink"/>
                </w:rPr>
                <w:t>mark_pickup@sfu.ca</w:t>
              </w:r>
            </w:hyperlink>
          </w:p>
          <w:p w14:paraId="4723F971" w14:textId="77777777" w:rsidR="00B934A6" w:rsidRPr="00C44DFF" w:rsidRDefault="00B934A6" w:rsidP="00C150BE">
            <w:pPr>
              <w:jc w:val="center"/>
              <w:rPr>
                <w:lang w:val="en-CA"/>
              </w:rPr>
            </w:pPr>
          </w:p>
        </w:tc>
      </w:tr>
    </w:tbl>
    <w:p w14:paraId="6CE1B906" w14:textId="77777777" w:rsidR="00657353" w:rsidRDefault="00657353" w:rsidP="00657353">
      <w:pPr>
        <w:jc w:val="center"/>
      </w:pPr>
    </w:p>
    <w:p w14:paraId="34848043" w14:textId="3BB0CDF0" w:rsidR="00DF37F5" w:rsidRDefault="00BB4A90">
      <w:r>
        <w:br w:type="page"/>
      </w:r>
    </w:p>
    <w:sdt>
      <w:sdtPr>
        <w:rPr>
          <w:b w:val="0"/>
          <w:bCs w:val="0"/>
        </w:rPr>
        <w:id w:val="1048580889"/>
        <w:docPartObj>
          <w:docPartGallery w:val="Table of Contents"/>
          <w:docPartUnique/>
        </w:docPartObj>
      </w:sdtPr>
      <w:sdtEndPr>
        <w:rPr>
          <w:noProof/>
        </w:rPr>
      </w:sdtEndPr>
      <w:sdtContent>
        <w:p w14:paraId="6E3E5040" w14:textId="66E1505E" w:rsidR="00306200" w:rsidRDefault="00306200" w:rsidP="00306200">
          <w:pPr>
            <w:pStyle w:val="Heading1"/>
          </w:pPr>
          <w:r>
            <w:t>TABLE OF CONTENTS</w:t>
          </w:r>
        </w:p>
        <w:p w14:paraId="6C4AC133" w14:textId="21F81C3D" w:rsidR="00306200" w:rsidRDefault="00306200">
          <w:pPr>
            <w:pStyle w:val="TOC1"/>
            <w:tabs>
              <w:tab w:val="right" w:leader="dot" w:pos="9350"/>
            </w:tabs>
            <w:rPr>
              <w:rFonts w:asciiTheme="minorHAnsi" w:eastAsiaTheme="minorEastAsia" w:hAnsiTheme="minorHAnsi" w:cstheme="minorBidi"/>
              <w:noProof/>
              <w:sz w:val="22"/>
              <w:szCs w:val="22"/>
              <w:lang w:val="de-DE" w:eastAsia="de-DE"/>
            </w:rPr>
          </w:pPr>
          <w:r>
            <w:fldChar w:fldCharType="begin"/>
          </w:r>
          <w:r>
            <w:instrText xml:space="preserve"> TOC \o "1-3" \h \z \u </w:instrText>
          </w:r>
          <w:r>
            <w:fldChar w:fldCharType="separate"/>
          </w:r>
          <w:hyperlink w:anchor="_Toc514767981" w:history="1">
            <w:r w:rsidRPr="004771A8">
              <w:rPr>
                <w:rStyle w:val="Hyperlink"/>
                <w:noProof/>
              </w:rPr>
              <w:t>A. CODING AND MEASUREMENT OF INDIVIDUAL-LEVEL VARIABLES</w:t>
            </w:r>
            <w:r>
              <w:rPr>
                <w:noProof/>
                <w:webHidden/>
              </w:rPr>
              <w:tab/>
            </w:r>
            <w:r>
              <w:rPr>
                <w:noProof/>
                <w:webHidden/>
              </w:rPr>
              <w:fldChar w:fldCharType="begin"/>
            </w:r>
            <w:r>
              <w:rPr>
                <w:noProof/>
                <w:webHidden/>
              </w:rPr>
              <w:instrText xml:space="preserve"> PAGEREF _Toc514767981 \h </w:instrText>
            </w:r>
            <w:r>
              <w:rPr>
                <w:noProof/>
                <w:webHidden/>
              </w:rPr>
            </w:r>
            <w:r>
              <w:rPr>
                <w:noProof/>
                <w:webHidden/>
              </w:rPr>
              <w:fldChar w:fldCharType="separate"/>
            </w:r>
            <w:r w:rsidR="00DD32CF">
              <w:rPr>
                <w:noProof/>
                <w:webHidden/>
              </w:rPr>
              <w:t>3</w:t>
            </w:r>
            <w:r>
              <w:rPr>
                <w:noProof/>
                <w:webHidden/>
              </w:rPr>
              <w:fldChar w:fldCharType="end"/>
            </w:r>
          </w:hyperlink>
        </w:p>
        <w:p w14:paraId="0AE2BD16" w14:textId="0D8EBD20" w:rsidR="00306200" w:rsidRDefault="0015530D">
          <w:pPr>
            <w:pStyle w:val="TOC1"/>
            <w:tabs>
              <w:tab w:val="right" w:leader="dot" w:pos="9350"/>
            </w:tabs>
            <w:rPr>
              <w:rFonts w:asciiTheme="minorHAnsi" w:eastAsiaTheme="minorEastAsia" w:hAnsiTheme="minorHAnsi" w:cstheme="minorBidi"/>
              <w:noProof/>
              <w:sz w:val="22"/>
              <w:szCs w:val="22"/>
              <w:lang w:val="de-DE" w:eastAsia="de-DE"/>
            </w:rPr>
          </w:pPr>
          <w:hyperlink w:anchor="_Toc514767982" w:history="1">
            <w:r w:rsidR="00306200" w:rsidRPr="004771A8">
              <w:rPr>
                <w:rStyle w:val="Hyperlink"/>
                <w:noProof/>
              </w:rPr>
              <w:t>B. DAILY VARIATION IN ECONOMIC NEWS COVERAGE</w:t>
            </w:r>
            <w:r w:rsidR="00306200">
              <w:rPr>
                <w:noProof/>
                <w:webHidden/>
              </w:rPr>
              <w:tab/>
            </w:r>
            <w:r w:rsidR="00306200">
              <w:rPr>
                <w:noProof/>
                <w:webHidden/>
              </w:rPr>
              <w:fldChar w:fldCharType="begin"/>
            </w:r>
            <w:r w:rsidR="00306200">
              <w:rPr>
                <w:noProof/>
                <w:webHidden/>
              </w:rPr>
              <w:instrText xml:space="preserve"> PAGEREF _Toc514767982 \h </w:instrText>
            </w:r>
            <w:r w:rsidR="00306200">
              <w:rPr>
                <w:noProof/>
                <w:webHidden/>
              </w:rPr>
            </w:r>
            <w:r w:rsidR="00306200">
              <w:rPr>
                <w:noProof/>
                <w:webHidden/>
              </w:rPr>
              <w:fldChar w:fldCharType="separate"/>
            </w:r>
            <w:r w:rsidR="00DD32CF">
              <w:rPr>
                <w:noProof/>
                <w:webHidden/>
              </w:rPr>
              <w:t>5</w:t>
            </w:r>
            <w:r w:rsidR="00306200">
              <w:rPr>
                <w:noProof/>
                <w:webHidden/>
              </w:rPr>
              <w:fldChar w:fldCharType="end"/>
            </w:r>
          </w:hyperlink>
        </w:p>
        <w:p w14:paraId="377CBCB3" w14:textId="280A8F21" w:rsidR="00306200" w:rsidRDefault="0015530D">
          <w:pPr>
            <w:pStyle w:val="TOC1"/>
            <w:tabs>
              <w:tab w:val="right" w:leader="dot" w:pos="9350"/>
            </w:tabs>
            <w:rPr>
              <w:rFonts w:asciiTheme="minorHAnsi" w:eastAsiaTheme="minorEastAsia" w:hAnsiTheme="minorHAnsi" w:cstheme="minorBidi"/>
              <w:noProof/>
              <w:sz w:val="22"/>
              <w:szCs w:val="22"/>
              <w:lang w:val="de-DE" w:eastAsia="de-DE"/>
            </w:rPr>
          </w:pPr>
          <w:hyperlink w:anchor="_Toc514767983" w:history="1">
            <w:r w:rsidR="00306200" w:rsidRPr="004771A8">
              <w:rPr>
                <w:rStyle w:val="Hyperlink"/>
                <w:noProof/>
              </w:rPr>
              <w:t>C. ALTERNATIVE SPECIFICATIONS</w:t>
            </w:r>
            <w:r w:rsidR="00306200">
              <w:rPr>
                <w:noProof/>
                <w:webHidden/>
              </w:rPr>
              <w:tab/>
            </w:r>
            <w:r w:rsidR="00306200">
              <w:rPr>
                <w:noProof/>
                <w:webHidden/>
              </w:rPr>
              <w:fldChar w:fldCharType="begin"/>
            </w:r>
            <w:r w:rsidR="00306200">
              <w:rPr>
                <w:noProof/>
                <w:webHidden/>
              </w:rPr>
              <w:instrText xml:space="preserve"> PAGEREF _Toc514767983 \h </w:instrText>
            </w:r>
            <w:r w:rsidR="00306200">
              <w:rPr>
                <w:noProof/>
                <w:webHidden/>
              </w:rPr>
            </w:r>
            <w:r w:rsidR="00306200">
              <w:rPr>
                <w:noProof/>
                <w:webHidden/>
              </w:rPr>
              <w:fldChar w:fldCharType="separate"/>
            </w:r>
            <w:r w:rsidR="00DD32CF">
              <w:rPr>
                <w:noProof/>
                <w:webHidden/>
              </w:rPr>
              <w:t>7</w:t>
            </w:r>
            <w:r w:rsidR="00306200">
              <w:rPr>
                <w:noProof/>
                <w:webHidden/>
              </w:rPr>
              <w:fldChar w:fldCharType="end"/>
            </w:r>
          </w:hyperlink>
        </w:p>
        <w:p w14:paraId="475FF259" w14:textId="4BD92357" w:rsidR="00306200" w:rsidRDefault="0015530D">
          <w:pPr>
            <w:pStyle w:val="TOC1"/>
            <w:tabs>
              <w:tab w:val="right" w:leader="dot" w:pos="9350"/>
            </w:tabs>
            <w:rPr>
              <w:rFonts w:asciiTheme="minorHAnsi" w:eastAsiaTheme="minorEastAsia" w:hAnsiTheme="minorHAnsi" w:cstheme="minorBidi"/>
              <w:noProof/>
              <w:sz w:val="22"/>
              <w:szCs w:val="22"/>
              <w:lang w:val="de-DE" w:eastAsia="de-DE"/>
            </w:rPr>
          </w:pPr>
          <w:hyperlink w:anchor="_Toc514767984" w:history="1">
            <w:r w:rsidR="00306200" w:rsidRPr="004771A8">
              <w:rPr>
                <w:rStyle w:val="Hyperlink"/>
                <w:noProof/>
              </w:rPr>
              <w:t>D. ESTIMATION DIAGNOSTICS</w:t>
            </w:r>
            <w:r w:rsidR="00306200">
              <w:rPr>
                <w:noProof/>
                <w:webHidden/>
              </w:rPr>
              <w:tab/>
            </w:r>
            <w:r w:rsidR="00306200">
              <w:rPr>
                <w:noProof/>
                <w:webHidden/>
              </w:rPr>
              <w:fldChar w:fldCharType="begin"/>
            </w:r>
            <w:r w:rsidR="00306200">
              <w:rPr>
                <w:noProof/>
                <w:webHidden/>
              </w:rPr>
              <w:instrText xml:space="preserve"> PAGEREF _Toc514767984 \h </w:instrText>
            </w:r>
            <w:r w:rsidR="00306200">
              <w:rPr>
                <w:noProof/>
                <w:webHidden/>
              </w:rPr>
            </w:r>
            <w:r w:rsidR="00306200">
              <w:rPr>
                <w:noProof/>
                <w:webHidden/>
              </w:rPr>
              <w:fldChar w:fldCharType="separate"/>
            </w:r>
            <w:r w:rsidR="00DD32CF">
              <w:rPr>
                <w:noProof/>
                <w:webHidden/>
              </w:rPr>
              <w:t>11</w:t>
            </w:r>
            <w:r w:rsidR="00306200">
              <w:rPr>
                <w:noProof/>
                <w:webHidden/>
              </w:rPr>
              <w:fldChar w:fldCharType="end"/>
            </w:r>
          </w:hyperlink>
        </w:p>
        <w:p w14:paraId="67998FEC" w14:textId="642DABC0" w:rsidR="00306200" w:rsidRDefault="00306200">
          <w:r>
            <w:rPr>
              <w:b/>
              <w:bCs/>
              <w:noProof/>
            </w:rPr>
            <w:fldChar w:fldCharType="end"/>
          </w:r>
        </w:p>
      </w:sdtContent>
    </w:sdt>
    <w:p w14:paraId="3FCEC133" w14:textId="77777777" w:rsidR="00306200" w:rsidRDefault="00306200">
      <w:pPr>
        <w:rPr>
          <w:b/>
          <w:bCs/>
        </w:rPr>
      </w:pPr>
      <w:r>
        <w:br w:type="page"/>
      </w:r>
    </w:p>
    <w:p w14:paraId="1200AE33" w14:textId="113BD7B4" w:rsidR="00454BC8" w:rsidRDefault="00454BC8" w:rsidP="00454BC8">
      <w:pPr>
        <w:pStyle w:val="Heading1"/>
      </w:pPr>
      <w:bookmarkStart w:id="1" w:name="_Toc514767981"/>
      <w:r>
        <w:lastRenderedPageBreak/>
        <w:t>A. CODING AND MEASUREMENT OF INDIVIDUAL-LEVEL VARIABLES</w:t>
      </w:r>
      <w:bookmarkEnd w:id="1"/>
    </w:p>
    <w:p w14:paraId="7DC16B1F" w14:textId="77777777" w:rsidR="00D21109" w:rsidRDefault="00454BC8" w:rsidP="00454BC8">
      <w:pPr>
        <w:spacing w:line="480" w:lineRule="auto"/>
        <w:ind w:firstLine="720"/>
        <w:jc w:val="both"/>
      </w:pPr>
      <w:r>
        <w:t>Two variables deriving from the survey data are central to our analysis. First, we measure perceptions of national economic conditions (</w:t>
      </w:r>
      <m:oMath>
        <m:sSub>
          <m:sSubPr>
            <m:ctrlPr>
              <w:rPr>
                <w:rFonts w:ascii="Cambria Math" w:hAnsi="Cambria Math" w:cstheme="minorHAnsi"/>
                <w:i/>
              </w:rPr>
            </m:ctrlPr>
          </m:sSubPr>
          <m:e>
            <m:r>
              <w:rPr>
                <w:rFonts w:ascii="Cambria Math" w:hAnsi="Cambria Math" w:cstheme="minorHAnsi"/>
              </w:rPr>
              <m:t>NEC</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sub>
        </m:sSub>
      </m:oMath>
      <w:r>
        <w:t>) with standard retrospective questions. Although there is some minor variation across surveys, the following is representative wording: “</w:t>
      </w:r>
      <w:r w:rsidRPr="00820FB0">
        <w:t>How do you think the general economic situation in this country has changed over the last 12 months.  Has it got a lot worse, got a little worse, stayed the same, got a little better, or got a lot better?</w:t>
      </w:r>
      <w:r>
        <w:t xml:space="preserve">” We scale the item to vary on the unit interval, where higher values correspond to more positive economic evaluations. </w:t>
      </w:r>
    </w:p>
    <w:p w14:paraId="52BF1F93" w14:textId="507F0EDA" w:rsidR="00454BC8" w:rsidRDefault="00454BC8" w:rsidP="00454BC8">
      <w:pPr>
        <w:spacing w:line="480" w:lineRule="auto"/>
        <w:ind w:firstLine="720"/>
        <w:jc w:val="both"/>
      </w:pPr>
      <w:r>
        <w:t>Second, we capture party identification using measures closely modelled on the original Michigan-School formulation. The typical item reads, “</w:t>
      </w:r>
      <w:r w:rsidRPr="00820FB0">
        <w:t>In federal politics, do you usually think of yourself as a Liberal, Conservative, NDP, Bloc Quebecois, or none of these?</w:t>
      </w:r>
      <w:r>
        <w:t xml:space="preserve">” In the analysis, we capture party identification with a pair of dummy variables: an </w:t>
      </w:r>
      <w:r w:rsidRPr="00820FB0">
        <w:t>incumbent party identifier dummy (</w:t>
      </w:r>
      <m:oMath>
        <m:sSub>
          <m:sSubPr>
            <m:ctrlPr>
              <w:rPr>
                <w:rFonts w:ascii="Cambria Math" w:hAnsi="Cambria Math" w:cstheme="minorHAnsi"/>
                <w:i/>
              </w:rPr>
            </m:ctrlPr>
          </m:sSubPr>
          <m:e>
            <m:r>
              <w:rPr>
                <w:rFonts w:ascii="Cambria Math" w:hAnsi="Cambria Math" w:cstheme="minorHAnsi"/>
              </w:rPr>
              <m:t>INCPID</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sub>
        </m:sSub>
      </m:oMath>
      <w:r w:rsidRPr="00820FB0">
        <w:t>)</w:t>
      </w:r>
      <w:r>
        <w:t>, equal to</w:t>
      </w:r>
      <w:r w:rsidRPr="00820FB0">
        <w:t xml:space="preserve"> 1 if the respondent iden</w:t>
      </w:r>
      <w:r>
        <w:t>tifies with the incumbent party and</w:t>
      </w:r>
      <w:r w:rsidRPr="00820FB0">
        <w:t xml:space="preserve"> 0 otherwise; and a</w:t>
      </w:r>
      <w:r>
        <w:t>n</w:t>
      </w:r>
      <w:r w:rsidRPr="00820FB0">
        <w:t xml:space="preserve"> opposition party identifier dummy (</w:t>
      </w:r>
      <m:oMath>
        <m:sSub>
          <m:sSubPr>
            <m:ctrlPr>
              <w:rPr>
                <w:rFonts w:ascii="Cambria Math" w:hAnsi="Cambria Math" w:cstheme="minorHAnsi"/>
                <w:i/>
              </w:rPr>
            </m:ctrlPr>
          </m:sSubPr>
          <m:e>
            <m:r>
              <w:rPr>
                <w:rFonts w:ascii="Cambria Math" w:hAnsi="Cambria Math" w:cstheme="minorHAnsi"/>
              </w:rPr>
              <m:t>OPPPID</m:t>
            </m:r>
          </m:e>
          <m:sub>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sub>
        </m:sSub>
      </m:oMath>
      <w:r w:rsidRPr="00820FB0">
        <w:t>)</w:t>
      </w:r>
      <w:r>
        <w:t>, equal to</w:t>
      </w:r>
      <w:r w:rsidRPr="00820FB0">
        <w:t xml:space="preserve"> 1 if the respondent id</w:t>
      </w:r>
      <w:r>
        <w:t>entifies with an opposing party and</w:t>
      </w:r>
      <w:r w:rsidRPr="00820FB0">
        <w:t xml:space="preserve"> 0 otherwise</w:t>
      </w:r>
      <w:r>
        <w:t xml:space="preserve">. </w:t>
      </w:r>
      <w:r>
        <w:rPr>
          <w:lang w:val="en-CA"/>
        </w:rPr>
        <w:t xml:space="preserve">This specification is a simplification, given that more than one party was in opposition during each of the elections in the analysis. Importantly, while the </w:t>
      </w:r>
      <w:r w:rsidRPr="008F7C02">
        <w:rPr>
          <w:i/>
          <w:lang w:val="en-CA"/>
        </w:rPr>
        <w:t>magnitude</w:t>
      </w:r>
      <w:r>
        <w:rPr>
          <w:lang w:val="en-CA"/>
        </w:rPr>
        <w:t xml:space="preserve"> of the perceptual bias may vary, we expect the anti-incumbent </w:t>
      </w:r>
      <w:r w:rsidRPr="008F7C02">
        <w:rPr>
          <w:i/>
          <w:lang w:val="en-CA"/>
        </w:rPr>
        <w:t>direction</w:t>
      </w:r>
      <w:r>
        <w:rPr>
          <w:lang w:val="en-CA"/>
        </w:rPr>
        <w:t xml:space="preserve"> of the bias to be constant across parties.</w:t>
      </w:r>
      <w:r w:rsidR="00D21109">
        <w:rPr>
          <w:lang w:val="en-CA"/>
        </w:rPr>
        <w:t xml:space="preserve"> </w:t>
      </w:r>
      <w:r>
        <w:t>Summary statistics, by election, for the economic perception and party identification measures are reported in the paper in Table 1.</w:t>
      </w:r>
    </w:p>
    <w:p w14:paraId="5A6D09EA" w14:textId="201DC9AE" w:rsidR="00454BC8" w:rsidRDefault="00D21109" w:rsidP="00454BC8">
      <w:pPr>
        <w:spacing w:line="480" w:lineRule="auto"/>
        <w:ind w:firstLine="720"/>
        <w:jc w:val="both"/>
      </w:pPr>
      <w:r>
        <w:t>W</w:t>
      </w:r>
      <w:r w:rsidR="00454BC8">
        <w:t>e</w:t>
      </w:r>
      <w:r>
        <w:t xml:space="preserve"> also</w:t>
      </w:r>
      <w:r w:rsidR="00454BC8">
        <w:t xml:space="preserve"> derive a standard set of individual-level control variables from the election studies (coefficient estimates not reported). These include categorical measures of ethnicity (non-Europeans vs. all others); religious identification (Catholics vs. the non-religious vs. all others); language (French-speakers vs. all others); employment (unemployed vs. all others); union </w:t>
      </w:r>
      <w:r w:rsidR="00454BC8">
        <w:lastRenderedPageBreak/>
        <w:t>membership (union households vs. all others); and region (West vs. Quebec vs. Atlantic Canada). We also control for household income (an ordinal measure rising in $10</w:t>
      </w:r>
      <w:r w:rsidR="0011054A">
        <w:t>,000 increments). In the model described in the paper</w:t>
      </w:r>
      <w:r w:rsidR="00454BC8">
        <w:t xml:space="preserve">, respondents’ values on these variables are represented by </w:t>
      </w:r>
      <m:oMath>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j,</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t</m:t>
                </m:r>
              </m:sub>
            </m:sSub>
          </m:sub>
        </m:sSub>
      </m:oMath>
      <w:r w:rsidR="00454BC8">
        <w:t>.</w:t>
      </w:r>
    </w:p>
    <w:p w14:paraId="3DC54A78" w14:textId="107D295E" w:rsidR="00454BC8" w:rsidRPr="00454BC8" w:rsidRDefault="00454BC8" w:rsidP="00454BC8"/>
    <w:p w14:paraId="3993BFFC" w14:textId="310BE9EF" w:rsidR="00454BC8" w:rsidRDefault="00454BC8">
      <w:r>
        <w:br w:type="page"/>
      </w:r>
    </w:p>
    <w:p w14:paraId="7C77C6C0" w14:textId="0D07E879" w:rsidR="00DF37F5" w:rsidRDefault="000A158F" w:rsidP="00DF37F5">
      <w:pPr>
        <w:pStyle w:val="Heading1"/>
      </w:pPr>
      <w:bookmarkStart w:id="2" w:name="_Toc514767982"/>
      <w:r>
        <w:lastRenderedPageBreak/>
        <w:t>B</w:t>
      </w:r>
      <w:r w:rsidR="00DF37F5">
        <w:t>. DAILY VARIATION IN ECONOMIC NEWS COVERAGE</w:t>
      </w:r>
      <w:bookmarkEnd w:id="2"/>
    </w:p>
    <w:p w14:paraId="6205E31B" w14:textId="5D34024A" w:rsidR="00DF37F5" w:rsidRDefault="00DF37F5" w:rsidP="00DF37F5">
      <w:pPr>
        <w:spacing w:line="480" w:lineRule="auto"/>
        <w:ind w:firstLine="720"/>
        <w:jc w:val="both"/>
      </w:pPr>
      <w:r>
        <w:t xml:space="preserve">As noted in the paper, we observe considerable daily variation in the proportion of coverage devoted to the economy and employment topics. For example, as the paper’s Table 1 shows, while the average day during the 2004 election saw 20 percent of election stories coded to the economy topic, the standard deviation of this measure is 8.5 percent. Coverage of the economy topic is similarly variable in each of the other election years. As regards coverage of employment, although daily variation is substantial in 1993 and 1997 – the two elections in which the topic attracts the most attention overall – coverage is fairly stable in the other elections – when employment coverage is no more than half as prominent as in the earlier elections. Even so, the key point is that the information environment, in the manner we characterize it here, varies a great deal over the course of each campaign. Furthermore, Figure </w:t>
      </w:r>
      <w:r w:rsidR="00407773">
        <w:t>B</w:t>
      </w:r>
      <w:r>
        <w:t>1 – which plots the daily count of stories, by topic, for each election – shows that this variation largely reflects day-to-day fluctuation in coverage, rather than steady trends (increasing or decreasing) within the campaigns.</w:t>
      </w:r>
    </w:p>
    <w:p w14:paraId="6A124E82" w14:textId="77777777" w:rsidR="00BB4A90" w:rsidRDefault="00BB4A90">
      <w:pPr>
        <w:sectPr w:rsidR="00BB4A90" w:rsidSect="00BB4A90">
          <w:headerReference w:type="default" r:id="rId10"/>
          <w:pgSz w:w="12240" w:h="15840"/>
          <w:pgMar w:top="1440" w:right="1440" w:bottom="1440" w:left="1440" w:header="708" w:footer="708" w:gutter="0"/>
          <w:cols w:space="708"/>
          <w:docGrid w:linePitch="360"/>
        </w:sectPr>
      </w:pPr>
    </w:p>
    <w:p w14:paraId="6EFBCD33" w14:textId="77777777" w:rsidR="00DF37F5" w:rsidRDefault="00DF37F5" w:rsidP="00DF37F5">
      <w:pPr>
        <w:pStyle w:val="Header"/>
        <w:spacing w:line="480" w:lineRule="auto"/>
        <w:ind w:left="720" w:hanging="720"/>
        <w:jc w:val="both"/>
      </w:pPr>
      <w:r w:rsidRPr="001144EB">
        <w:rPr>
          <w:noProof/>
          <w:lang w:val="de-DE" w:eastAsia="de-DE"/>
        </w:rPr>
        <w:lastRenderedPageBreak/>
        <w:drawing>
          <wp:inline distT="0" distB="0" distL="0" distR="0" wp14:anchorId="7EB73018" wp14:editId="54BD16EF">
            <wp:extent cx="8229600" cy="5309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0" cy="5309235"/>
                    </a:xfrm>
                    <a:prstGeom prst="rect">
                      <a:avLst/>
                    </a:prstGeom>
                    <a:noFill/>
                    <a:ln>
                      <a:noFill/>
                    </a:ln>
                  </pic:spPr>
                </pic:pic>
              </a:graphicData>
            </a:graphic>
          </wp:inline>
        </w:drawing>
      </w:r>
    </w:p>
    <w:p w14:paraId="1BD003F5" w14:textId="77777777" w:rsidR="00D41A25" w:rsidRDefault="00DF37F5" w:rsidP="00DF37F5">
      <w:pPr>
        <w:jc w:val="center"/>
        <w:sectPr w:rsidR="00D41A25" w:rsidSect="00BB4A90">
          <w:pgSz w:w="15840" w:h="12240" w:orient="landscape"/>
          <w:pgMar w:top="1440" w:right="1440" w:bottom="1440" w:left="1440" w:header="708" w:footer="708" w:gutter="0"/>
          <w:cols w:space="708"/>
          <w:docGrid w:linePitch="360"/>
        </w:sectPr>
      </w:pPr>
      <w:r>
        <w:t xml:space="preserve">Figure </w:t>
      </w:r>
      <w:r w:rsidR="00531EA3">
        <w:t>B</w:t>
      </w:r>
      <w:r>
        <w:t>1. Coverage of “Economy” and “Employment” over time, by election</w:t>
      </w:r>
    </w:p>
    <w:p w14:paraId="14A04109" w14:textId="7E5F3C65" w:rsidR="00D41A25" w:rsidRDefault="00D41A25" w:rsidP="00D41A25">
      <w:pPr>
        <w:pStyle w:val="Heading1"/>
      </w:pPr>
      <w:bookmarkStart w:id="3" w:name="_Toc514767983"/>
      <w:r>
        <w:lastRenderedPageBreak/>
        <w:t>C. ALTERNATIVE SPECIFICATIONS</w:t>
      </w:r>
      <w:bookmarkEnd w:id="3"/>
    </w:p>
    <w:p w14:paraId="7D9F1170" w14:textId="3CA10D5F" w:rsidR="00D41A25" w:rsidRDefault="00D41A25" w:rsidP="00D41A25">
      <w:pPr>
        <w:spacing w:line="480" w:lineRule="auto"/>
        <w:ind w:firstLine="720"/>
        <w:jc w:val="both"/>
        <w:rPr>
          <w:rFonts w:eastAsiaTheme="minorEastAsia"/>
        </w:rPr>
      </w:pPr>
      <w:r>
        <w:rPr>
          <w:color w:val="222222"/>
          <w:shd w:val="clear" w:color="auto" w:fill="FFFFFF"/>
        </w:rPr>
        <w:t xml:space="preserve">As noted in the paper, to investigate the robustness of our assumptions, we also investigate the performance of two alternative models. First, </w:t>
      </w:r>
      <w:r>
        <w:rPr>
          <w:rFonts w:eastAsiaTheme="minorEastAsia"/>
        </w:rPr>
        <w:t xml:space="preserve">a more structured transition equation would be the “return to normalcy” model. This would mean modelling the time varying coefficient as a first order autoregressive process. As </w:t>
      </w:r>
      <w:r w:rsidR="00774E25">
        <w:rPr>
          <w:rFonts w:eastAsiaTheme="minorEastAsia"/>
        </w:rPr>
        <w:t>Table C1 shows</w:t>
      </w:r>
      <w:r>
        <w:rPr>
          <w:rFonts w:eastAsiaTheme="minorEastAsia"/>
        </w:rPr>
        <w:t xml:space="preserve">, the random walk is consistently the better fitting model. </w:t>
      </w:r>
      <w:r w:rsidR="00774E25">
        <w:rPr>
          <w:rFonts w:eastAsiaTheme="minorEastAsia"/>
        </w:rPr>
        <w:t xml:space="preserve">The table reports </w:t>
      </w:r>
      <w:r w:rsidR="00774E25">
        <w:t>deviance information criterion (DIC) values (</w:t>
      </w:r>
      <w:proofErr w:type="spellStart"/>
      <w:r w:rsidR="00774E25" w:rsidRPr="00E918A2">
        <w:t>Spiegelhalter</w:t>
      </w:r>
      <w:proofErr w:type="spellEnd"/>
      <w:r w:rsidR="00774E25" w:rsidRPr="00E918A2">
        <w:t xml:space="preserve"> </w:t>
      </w:r>
      <w:r w:rsidR="00774E25" w:rsidRPr="00E319A2">
        <w:t>et al.</w:t>
      </w:r>
      <w:r w:rsidR="00774E25">
        <w:t>,</w:t>
      </w:r>
      <w:r w:rsidR="00774E25" w:rsidRPr="00E918A2">
        <w:t xml:space="preserve"> 2002</w:t>
      </w:r>
      <w:r w:rsidR="00774E25">
        <w:t xml:space="preserve">), where lower values indicate a better fit. </w:t>
      </w:r>
      <w:r>
        <w:rPr>
          <w:rFonts w:eastAsiaTheme="minorEastAsia"/>
        </w:rPr>
        <w:t>That said, the results</w:t>
      </w:r>
      <w:r w:rsidR="00774E25">
        <w:rPr>
          <w:rFonts w:eastAsiaTheme="minorEastAsia"/>
        </w:rPr>
        <w:t xml:space="preserve"> </w:t>
      </w:r>
      <w:r>
        <w:rPr>
          <w:rFonts w:eastAsiaTheme="minorEastAsia"/>
        </w:rPr>
        <w:t xml:space="preserve">from the return to normalcy model </w:t>
      </w:r>
      <w:r w:rsidR="00774E25">
        <w:rPr>
          <w:rFonts w:eastAsiaTheme="minorEastAsia"/>
        </w:rPr>
        <w:t xml:space="preserve">(see Table C2) </w:t>
      </w:r>
      <w:r>
        <w:rPr>
          <w:rFonts w:eastAsiaTheme="minorEastAsia"/>
        </w:rPr>
        <w:t xml:space="preserve">are very similar. The primary difference is that, because the return to normalcy model assumes the time-varying PID coefficients are autoregressive processes, it also assumes that news media – and therefore the PID coefficients – will return to an equilibrium value in the long-run. The random walk transition equation does not make this assumption. </w:t>
      </w:r>
    </w:p>
    <w:p w14:paraId="36E8E131" w14:textId="3A593F98" w:rsidR="00D41A25" w:rsidRDefault="00D41A25" w:rsidP="00D41A25">
      <w:pPr>
        <w:spacing w:line="480" w:lineRule="auto"/>
        <w:ind w:firstLine="720"/>
        <w:jc w:val="both"/>
        <w:rPr>
          <w:rFonts w:eastAsiaTheme="minorEastAsia"/>
        </w:rPr>
      </w:pPr>
      <w:r>
        <w:rPr>
          <w:rFonts w:eastAsiaTheme="minorEastAsia"/>
        </w:rPr>
        <w:t xml:space="preserve">Our transition equations also assume that the </w:t>
      </w:r>
      <w:r w:rsidRPr="008F7C02">
        <w:rPr>
          <w:rFonts w:eastAsiaTheme="minorEastAsia"/>
          <w:i/>
        </w:rPr>
        <w:t>current</w:t>
      </w:r>
      <w:r>
        <w:rPr>
          <w:rFonts w:eastAsiaTheme="minorEastAsia"/>
        </w:rPr>
        <w:t xml:space="preserve"> media environment determines the weight placed on partisan identity. As a second robustness check, we estimate models in which it is the </w:t>
      </w:r>
      <w:r w:rsidRPr="008F7C02">
        <w:rPr>
          <w:rFonts w:eastAsiaTheme="minorEastAsia"/>
          <w:i/>
        </w:rPr>
        <w:t>lag</w:t>
      </w:r>
      <w:r>
        <w:rPr>
          <w:rFonts w:eastAsiaTheme="minorEastAsia"/>
        </w:rPr>
        <w:t xml:space="preserve"> of the environment that matters. Again, as </w:t>
      </w:r>
      <w:r w:rsidR="00774E25">
        <w:rPr>
          <w:rFonts w:eastAsiaTheme="minorEastAsia"/>
        </w:rPr>
        <w:t>Table C1 show</w:t>
      </w:r>
      <w:r w:rsidR="00BC6239">
        <w:rPr>
          <w:rFonts w:eastAsiaTheme="minorEastAsia"/>
        </w:rPr>
        <w:t>s</w:t>
      </w:r>
      <w:r>
        <w:rPr>
          <w:rFonts w:eastAsiaTheme="minorEastAsia"/>
        </w:rPr>
        <w:t>, using the current media environment consistently produces better fitting models. The models including lags of the media environment produce, as a whole, weaker effects</w:t>
      </w:r>
      <w:r w:rsidR="00774E25">
        <w:rPr>
          <w:rFonts w:eastAsiaTheme="minorEastAsia"/>
        </w:rPr>
        <w:t xml:space="preserve"> (see Table C3)</w:t>
      </w:r>
      <w:r>
        <w:rPr>
          <w:rFonts w:eastAsiaTheme="minorEastAsia"/>
        </w:rPr>
        <w:t>.</w:t>
      </w:r>
    </w:p>
    <w:p w14:paraId="71E39000" w14:textId="77777777" w:rsidR="00D41A25" w:rsidRDefault="00D41A25" w:rsidP="00D41A25">
      <w:pPr>
        <w:spacing w:line="480" w:lineRule="auto"/>
        <w:ind w:firstLine="720"/>
        <w:jc w:val="both"/>
        <w:rPr>
          <w:rFonts w:eastAsiaTheme="minorEastAsia"/>
        </w:rPr>
      </w:pPr>
    </w:p>
    <w:p w14:paraId="269CE9CD" w14:textId="77777777" w:rsidR="00D41A25" w:rsidRPr="00D41A25" w:rsidRDefault="00D41A25" w:rsidP="00D41A25"/>
    <w:p w14:paraId="0B0CAA85" w14:textId="77777777" w:rsidR="00D41A25" w:rsidRDefault="00D41A25" w:rsidP="00DF37F5">
      <w:pPr>
        <w:jc w:val="center"/>
        <w:sectPr w:rsidR="00D41A25" w:rsidSect="00D41A25">
          <w:pgSz w:w="12240" w:h="15840"/>
          <w:pgMar w:top="1440" w:right="1440" w:bottom="1440" w:left="1440" w:header="708" w:footer="708" w:gutter="0"/>
          <w:cols w:space="708"/>
          <w:docGrid w:linePitch="360"/>
        </w:sectPr>
      </w:pPr>
    </w:p>
    <w:p w14:paraId="2A841397" w14:textId="5308936D" w:rsidR="00BB4A90" w:rsidRDefault="00BB4A90" w:rsidP="00DF37F5">
      <w:pPr>
        <w:jc w:val="center"/>
      </w:pPr>
    </w:p>
    <w:p w14:paraId="001ECA0A" w14:textId="77777777" w:rsidR="00657353" w:rsidRDefault="00657353" w:rsidP="00657353">
      <w:pPr>
        <w:jc w:val="center"/>
      </w:pPr>
    </w:p>
    <w:p w14:paraId="27F05DCD" w14:textId="77777777" w:rsidR="00657353" w:rsidRDefault="00657353" w:rsidP="00657353">
      <w:pPr>
        <w:jc w:val="center"/>
      </w:pPr>
    </w:p>
    <w:p w14:paraId="4B4B420F" w14:textId="77777777" w:rsidR="00657353" w:rsidRDefault="00657353" w:rsidP="00657353">
      <w:pPr>
        <w:jc w:val="center"/>
      </w:pPr>
    </w:p>
    <w:p w14:paraId="21322952" w14:textId="77777777" w:rsidR="00657353" w:rsidRDefault="00657353" w:rsidP="00657353">
      <w:pPr>
        <w:jc w:val="center"/>
      </w:pPr>
    </w:p>
    <w:p w14:paraId="4B7730BC" w14:textId="5A070695" w:rsidR="00A43902" w:rsidRPr="00DD27DB" w:rsidRDefault="00A43902" w:rsidP="00A43902">
      <w:r w:rsidRPr="00CC5843">
        <w:t xml:space="preserve">Table </w:t>
      </w:r>
      <w:r>
        <w:t>C1</w:t>
      </w:r>
      <w:r w:rsidRPr="00DD27DB">
        <w:t>. Media Coverage Effects</w:t>
      </w:r>
    </w:p>
    <w:tbl>
      <w:tblPr>
        <w:tblW w:w="0" w:type="auto"/>
        <w:tblInd w:w="93" w:type="dxa"/>
        <w:tblLook w:val="04A0" w:firstRow="1" w:lastRow="0" w:firstColumn="1" w:lastColumn="0" w:noHBand="0" w:noVBand="1"/>
      </w:tblPr>
      <w:tblGrid>
        <w:gridCol w:w="2169"/>
        <w:gridCol w:w="996"/>
        <w:gridCol w:w="996"/>
        <w:gridCol w:w="996"/>
        <w:gridCol w:w="996"/>
        <w:gridCol w:w="996"/>
      </w:tblGrid>
      <w:tr w:rsidR="00A43902" w:rsidRPr="00DD27DB" w14:paraId="42B545D2" w14:textId="77777777" w:rsidTr="00A43902">
        <w:trPr>
          <w:trHeight w:val="300"/>
        </w:trPr>
        <w:tc>
          <w:tcPr>
            <w:tcW w:w="0" w:type="auto"/>
            <w:tcBorders>
              <w:top w:val="single" w:sz="12" w:space="0" w:color="auto"/>
              <w:left w:val="nil"/>
              <w:bottom w:val="single" w:sz="4" w:space="0" w:color="auto"/>
              <w:right w:val="nil"/>
            </w:tcBorders>
            <w:shd w:val="clear" w:color="auto" w:fill="auto"/>
            <w:vAlign w:val="center"/>
            <w:hideMark/>
          </w:tcPr>
          <w:p w14:paraId="36957773" w14:textId="77777777" w:rsidR="00A43902" w:rsidRPr="008F7C02" w:rsidRDefault="00A43902" w:rsidP="00D80BF8">
            <w:pPr>
              <w:rPr>
                <w:color w:val="000000"/>
                <w:lang w:eastAsia="en-CA"/>
              </w:rPr>
            </w:pPr>
            <w:r w:rsidRPr="008F7C02">
              <w:rPr>
                <w:color w:val="000000"/>
                <w:lang w:eastAsia="en-CA"/>
              </w:rPr>
              <w:t> </w:t>
            </w:r>
          </w:p>
        </w:tc>
        <w:tc>
          <w:tcPr>
            <w:tcW w:w="0" w:type="auto"/>
            <w:tcBorders>
              <w:top w:val="single" w:sz="12" w:space="0" w:color="auto"/>
              <w:left w:val="nil"/>
              <w:bottom w:val="single" w:sz="4" w:space="0" w:color="auto"/>
              <w:right w:val="nil"/>
            </w:tcBorders>
            <w:shd w:val="clear" w:color="auto" w:fill="auto"/>
            <w:vAlign w:val="center"/>
            <w:hideMark/>
          </w:tcPr>
          <w:p w14:paraId="1F143C2A" w14:textId="77777777" w:rsidR="00A43902" w:rsidRPr="008F7C02" w:rsidRDefault="00A43902" w:rsidP="00D80BF8">
            <w:pPr>
              <w:jc w:val="center"/>
              <w:rPr>
                <w:b/>
                <w:bCs/>
                <w:color w:val="000000"/>
                <w:lang w:eastAsia="en-CA"/>
              </w:rPr>
            </w:pPr>
            <w:r w:rsidRPr="008F7C02">
              <w:rPr>
                <w:b/>
                <w:bCs/>
                <w:color w:val="000000"/>
                <w:lang w:eastAsia="en-CA"/>
              </w:rPr>
              <w:t>1993</w:t>
            </w:r>
          </w:p>
        </w:tc>
        <w:tc>
          <w:tcPr>
            <w:tcW w:w="0" w:type="auto"/>
            <w:tcBorders>
              <w:top w:val="single" w:sz="12" w:space="0" w:color="auto"/>
              <w:left w:val="nil"/>
              <w:bottom w:val="single" w:sz="4" w:space="0" w:color="auto"/>
              <w:right w:val="nil"/>
            </w:tcBorders>
            <w:shd w:val="clear" w:color="auto" w:fill="auto"/>
            <w:vAlign w:val="center"/>
            <w:hideMark/>
          </w:tcPr>
          <w:p w14:paraId="6654D260" w14:textId="77777777" w:rsidR="00A43902" w:rsidRPr="008F7C02" w:rsidRDefault="00A43902" w:rsidP="00D80BF8">
            <w:pPr>
              <w:jc w:val="center"/>
              <w:rPr>
                <w:b/>
                <w:bCs/>
                <w:color w:val="000000"/>
                <w:lang w:eastAsia="en-CA"/>
              </w:rPr>
            </w:pPr>
            <w:r w:rsidRPr="008F7C02">
              <w:rPr>
                <w:b/>
                <w:bCs/>
                <w:color w:val="000000"/>
                <w:lang w:eastAsia="en-CA"/>
              </w:rPr>
              <w:t>1997</w:t>
            </w:r>
          </w:p>
        </w:tc>
        <w:tc>
          <w:tcPr>
            <w:tcW w:w="0" w:type="auto"/>
            <w:tcBorders>
              <w:top w:val="single" w:sz="12" w:space="0" w:color="auto"/>
              <w:left w:val="nil"/>
              <w:bottom w:val="single" w:sz="4" w:space="0" w:color="auto"/>
              <w:right w:val="nil"/>
            </w:tcBorders>
            <w:shd w:val="clear" w:color="auto" w:fill="auto"/>
            <w:vAlign w:val="center"/>
            <w:hideMark/>
          </w:tcPr>
          <w:p w14:paraId="5F1792C7" w14:textId="77777777" w:rsidR="00A43902" w:rsidRPr="008F7C02" w:rsidRDefault="00A43902" w:rsidP="00D80BF8">
            <w:pPr>
              <w:jc w:val="center"/>
              <w:rPr>
                <w:b/>
                <w:bCs/>
                <w:color w:val="000000"/>
                <w:lang w:eastAsia="en-CA"/>
              </w:rPr>
            </w:pPr>
            <w:r w:rsidRPr="008F7C02">
              <w:rPr>
                <w:b/>
                <w:bCs/>
                <w:color w:val="000000"/>
                <w:lang w:eastAsia="en-CA"/>
              </w:rPr>
              <w:t>2000</w:t>
            </w:r>
          </w:p>
        </w:tc>
        <w:tc>
          <w:tcPr>
            <w:tcW w:w="0" w:type="auto"/>
            <w:tcBorders>
              <w:top w:val="single" w:sz="12" w:space="0" w:color="auto"/>
              <w:left w:val="nil"/>
              <w:bottom w:val="single" w:sz="4" w:space="0" w:color="auto"/>
              <w:right w:val="nil"/>
            </w:tcBorders>
            <w:shd w:val="clear" w:color="auto" w:fill="auto"/>
            <w:vAlign w:val="center"/>
            <w:hideMark/>
          </w:tcPr>
          <w:p w14:paraId="2666B755" w14:textId="77777777" w:rsidR="00A43902" w:rsidRPr="008F7C02" w:rsidRDefault="00A43902" w:rsidP="00D80BF8">
            <w:pPr>
              <w:jc w:val="center"/>
              <w:rPr>
                <w:b/>
                <w:bCs/>
                <w:color w:val="000000"/>
                <w:lang w:eastAsia="en-CA"/>
              </w:rPr>
            </w:pPr>
            <w:r w:rsidRPr="008F7C02">
              <w:rPr>
                <w:b/>
                <w:bCs/>
                <w:color w:val="000000"/>
                <w:lang w:eastAsia="en-CA"/>
              </w:rPr>
              <w:t>2004</w:t>
            </w:r>
          </w:p>
        </w:tc>
        <w:tc>
          <w:tcPr>
            <w:tcW w:w="0" w:type="auto"/>
            <w:tcBorders>
              <w:top w:val="single" w:sz="12" w:space="0" w:color="auto"/>
              <w:left w:val="nil"/>
              <w:bottom w:val="single" w:sz="4" w:space="0" w:color="auto"/>
              <w:right w:val="nil"/>
            </w:tcBorders>
            <w:shd w:val="clear" w:color="auto" w:fill="auto"/>
            <w:vAlign w:val="center"/>
            <w:hideMark/>
          </w:tcPr>
          <w:p w14:paraId="4D9405F4" w14:textId="77777777" w:rsidR="00A43902" w:rsidRPr="008F7C02" w:rsidRDefault="00A43902" w:rsidP="00D80BF8">
            <w:pPr>
              <w:jc w:val="center"/>
              <w:rPr>
                <w:b/>
                <w:bCs/>
                <w:color w:val="000000"/>
                <w:lang w:eastAsia="en-CA"/>
              </w:rPr>
            </w:pPr>
            <w:r w:rsidRPr="008F7C02">
              <w:rPr>
                <w:b/>
                <w:bCs/>
                <w:color w:val="000000"/>
                <w:lang w:eastAsia="en-CA"/>
              </w:rPr>
              <w:t>2006</w:t>
            </w:r>
          </w:p>
        </w:tc>
      </w:tr>
      <w:tr w:rsidR="00A43902" w:rsidRPr="00DD27DB" w14:paraId="57F1D76D" w14:textId="77777777" w:rsidTr="00A43902">
        <w:trPr>
          <w:trHeight w:val="294"/>
        </w:trPr>
        <w:tc>
          <w:tcPr>
            <w:tcW w:w="0" w:type="auto"/>
            <w:tcBorders>
              <w:top w:val="single" w:sz="4" w:space="0" w:color="auto"/>
              <w:left w:val="nil"/>
              <w:right w:val="nil"/>
            </w:tcBorders>
            <w:shd w:val="clear" w:color="auto" w:fill="auto"/>
            <w:vAlign w:val="center"/>
            <w:hideMark/>
          </w:tcPr>
          <w:p w14:paraId="5AA09A63" w14:textId="42B2F532" w:rsidR="00A43902" w:rsidRPr="008F7C02" w:rsidRDefault="00A43902" w:rsidP="00D80BF8">
            <w:pPr>
              <w:rPr>
                <w:color w:val="000000"/>
                <w:lang w:eastAsia="en-CA"/>
              </w:rPr>
            </w:pPr>
            <w:r w:rsidRPr="008F7C02">
              <w:rPr>
                <w:color w:val="000000"/>
                <w:lang w:eastAsia="en-CA"/>
              </w:rPr>
              <w:t>DIC</w:t>
            </w:r>
            <w:r w:rsidR="00B24800">
              <w:rPr>
                <w:color w:val="000000"/>
                <w:lang w:eastAsia="en-CA"/>
              </w:rPr>
              <w:t xml:space="preserve"> -- random walk</w:t>
            </w:r>
          </w:p>
        </w:tc>
        <w:tc>
          <w:tcPr>
            <w:tcW w:w="0" w:type="auto"/>
            <w:tcBorders>
              <w:top w:val="single" w:sz="4" w:space="0" w:color="auto"/>
              <w:left w:val="nil"/>
              <w:right w:val="nil"/>
            </w:tcBorders>
            <w:shd w:val="clear" w:color="auto" w:fill="auto"/>
            <w:vAlign w:val="center"/>
            <w:hideMark/>
          </w:tcPr>
          <w:p w14:paraId="5E4FAA46" w14:textId="77777777" w:rsidR="00A43902" w:rsidRPr="008F7C02" w:rsidRDefault="00A43902" w:rsidP="00D80BF8">
            <w:pPr>
              <w:jc w:val="center"/>
              <w:rPr>
                <w:color w:val="000000"/>
                <w:lang w:eastAsia="en-CA"/>
              </w:rPr>
            </w:pPr>
            <w:r w:rsidRPr="008F7C02">
              <w:rPr>
                <w:color w:val="000000"/>
                <w:lang w:eastAsia="en-CA"/>
              </w:rPr>
              <w:t>29557.6</w:t>
            </w:r>
          </w:p>
        </w:tc>
        <w:tc>
          <w:tcPr>
            <w:tcW w:w="0" w:type="auto"/>
            <w:tcBorders>
              <w:top w:val="single" w:sz="4" w:space="0" w:color="auto"/>
              <w:left w:val="nil"/>
              <w:right w:val="nil"/>
            </w:tcBorders>
            <w:shd w:val="clear" w:color="auto" w:fill="auto"/>
            <w:vAlign w:val="center"/>
            <w:hideMark/>
          </w:tcPr>
          <w:p w14:paraId="314415E6" w14:textId="77777777" w:rsidR="00A43902" w:rsidRPr="008F7C02" w:rsidRDefault="00A43902" w:rsidP="00D80BF8">
            <w:pPr>
              <w:jc w:val="center"/>
              <w:rPr>
                <w:color w:val="000000"/>
                <w:lang w:eastAsia="en-CA"/>
              </w:rPr>
            </w:pPr>
            <w:r w:rsidRPr="008F7C02">
              <w:rPr>
                <w:color w:val="000000"/>
                <w:lang w:eastAsia="en-CA"/>
              </w:rPr>
              <w:t>34085.1</w:t>
            </w:r>
          </w:p>
        </w:tc>
        <w:tc>
          <w:tcPr>
            <w:tcW w:w="0" w:type="auto"/>
            <w:tcBorders>
              <w:top w:val="single" w:sz="4" w:space="0" w:color="auto"/>
              <w:left w:val="nil"/>
              <w:right w:val="nil"/>
            </w:tcBorders>
            <w:shd w:val="clear" w:color="auto" w:fill="auto"/>
            <w:vAlign w:val="center"/>
            <w:hideMark/>
          </w:tcPr>
          <w:p w14:paraId="1C08E38F" w14:textId="77777777" w:rsidR="00A43902" w:rsidRPr="008F7C02" w:rsidRDefault="00A43902" w:rsidP="00D80BF8">
            <w:pPr>
              <w:jc w:val="center"/>
              <w:rPr>
                <w:color w:val="000000"/>
                <w:lang w:eastAsia="en-CA"/>
              </w:rPr>
            </w:pPr>
            <w:r w:rsidRPr="008F7C02">
              <w:rPr>
                <w:color w:val="000000"/>
                <w:lang w:eastAsia="en-CA"/>
              </w:rPr>
              <w:t>30960.6</w:t>
            </w:r>
          </w:p>
        </w:tc>
        <w:tc>
          <w:tcPr>
            <w:tcW w:w="0" w:type="auto"/>
            <w:tcBorders>
              <w:top w:val="single" w:sz="4" w:space="0" w:color="auto"/>
              <w:left w:val="nil"/>
              <w:right w:val="nil"/>
            </w:tcBorders>
            <w:shd w:val="clear" w:color="auto" w:fill="auto"/>
            <w:vAlign w:val="center"/>
            <w:hideMark/>
          </w:tcPr>
          <w:p w14:paraId="1C0EB7F9" w14:textId="77777777" w:rsidR="00A43902" w:rsidRPr="008F7C02" w:rsidRDefault="00A43902" w:rsidP="00D80BF8">
            <w:pPr>
              <w:jc w:val="center"/>
              <w:rPr>
                <w:color w:val="000000"/>
                <w:lang w:eastAsia="en-CA"/>
              </w:rPr>
            </w:pPr>
            <w:r w:rsidRPr="008F7C02">
              <w:rPr>
                <w:color w:val="000000"/>
                <w:lang w:eastAsia="en-CA"/>
              </w:rPr>
              <w:t>33621.9</w:t>
            </w:r>
          </w:p>
        </w:tc>
        <w:tc>
          <w:tcPr>
            <w:tcW w:w="0" w:type="auto"/>
            <w:tcBorders>
              <w:top w:val="single" w:sz="4" w:space="0" w:color="auto"/>
              <w:left w:val="nil"/>
              <w:right w:val="nil"/>
            </w:tcBorders>
            <w:shd w:val="clear" w:color="auto" w:fill="auto"/>
            <w:vAlign w:val="center"/>
            <w:hideMark/>
          </w:tcPr>
          <w:p w14:paraId="7BB488D2" w14:textId="77777777" w:rsidR="00A43902" w:rsidRPr="008F7C02" w:rsidRDefault="00A43902" w:rsidP="00D80BF8">
            <w:pPr>
              <w:jc w:val="center"/>
              <w:rPr>
                <w:color w:val="000000"/>
                <w:lang w:eastAsia="en-CA"/>
              </w:rPr>
            </w:pPr>
            <w:r w:rsidRPr="008F7C02">
              <w:rPr>
                <w:color w:val="000000"/>
                <w:lang w:eastAsia="en-CA"/>
              </w:rPr>
              <w:t>31144.7</w:t>
            </w:r>
          </w:p>
        </w:tc>
      </w:tr>
      <w:tr w:rsidR="00A43902" w:rsidRPr="00DD27DB" w14:paraId="2B10ED18" w14:textId="77777777" w:rsidTr="00A43902">
        <w:trPr>
          <w:trHeight w:val="300"/>
        </w:trPr>
        <w:tc>
          <w:tcPr>
            <w:tcW w:w="0" w:type="auto"/>
            <w:tcBorders>
              <w:left w:val="nil"/>
              <w:right w:val="nil"/>
            </w:tcBorders>
            <w:shd w:val="clear" w:color="auto" w:fill="auto"/>
            <w:vAlign w:val="center"/>
            <w:hideMark/>
          </w:tcPr>
          <w:p w14:paraId="73E2433E" w14:textId="77777777" w:rsidR="00A43902" w:rsidRPr="008F7C02" w:rsidRDefault="00A43902" w:rsidP="00D80BF8">
            <w:pPr>
              <w:rPr>
                <w:color w:val="000000"/>
                <w:lang w:eastAsia="en-CA"/>
              </w:rPr>
            </w:pPr>
            <w:r w:rsidRPr="008F7C02">
              <w:rPr>
                <w:color w:val="000000"/>
                <w:lang w:eastAsia="en-CA"/>
              </w:rPr>
              <w:t>DIC -- AR TVC</w:t>
            </w:r>
          </w:p>
        </w:tc>
        <w:tc>
          <w:tcPr>
            <w:tcW w:w="0" w:type="auto"/>
            <w:tcBorders>
              <w:left w:val="nil"/>
              <w:right w:val="nil"/>
            </w:tcBorders>
            <w:shd w:val="clear" w:color="auto" w:fill="auto"/>
            <w:noWrap/>
            <w:vAlign w:val="bottom"/>
            <w:hideMark/>
          </w:tcPr>
          <w:p w14:paraId="4A3A88C6" w14:textId="77777777" w:rsidR="00A43902" w:rsidRPr="008F7C02" w:rsidRDefault="00A43902" w:rsidP="00D80BF8">
            <w:pPr>
              <w:jc w:val="center"/>
              <w:rPr>
                <w:color w:val="000000"/>
                <w:lang w:eastAsia="en-CA"/>
              </w:rPr>
            </w:pPr>
            <w:r w:rsidRPr="008F7C02">
              <w:rPr>
                <w:color w:val="000000"/>
                <w:lang w:eastAsia="en-CA"/>
              </w:rPr>
              <w:t>29559.4</w:t>
            </w:r>
          </w:p>
        </w:tc>
        <w:tc>
          <w:tcPr>
            <w:tcW w:w="0" w:type="auto"/>
            <w:tcBorders>
              <w:left w:val="nil"/>
              <w:right w:val="nil"/>
            </w:tcBorders>
            <w:shd w:val="clear" w:color="auto" w:fill="auto"/>
            <w:noWrap/>
            <w:vAlign w:val="bottom"/>
            <w:hideMark/>
          </w:tcPr>
          <w:p w14:paraId="429DF975" w14:textId="77777777" w:rsidR="00A43902" w:rsidRPr="008F7C02" w:rsidRDefault="00A43902" w:rsidP="00D80BF8">
            <w:pPr>
              <w:jc w:val="center"/>
              <w:rPr>
                <w:color w:val="000000"/>
                <w:lang w:eastAsia="en-CA"/>
              </w:rPr>
            </w:pPr>
            <w:r w:rsidRPr="008F7C02">
              <w:rPr>
                <w:color w:val="000000"/>
                <w:lang w:eastAsia="en-CA"/>
              </w:rPr>
              <w:t>34091.4</w:t>
            </w:r>
          </w:p>
        </w:tc>
        <w:tc>
          <w:tcPr>
            <w:tcW w:w="0" w:type="auto"/>
            <w:tcBorders>
              <w:left w:val="nil"/>
              <w:right w:val="nil"/>
            </w:tcBorders>
            <w:shd w:val="clear" w:color="auto" w:fill="auto"/>
            <w:noWrap/>
            <w:vAlign w:val="bottom"/>
            <w:hideMark/>
          </w:tcPr>
          <w:p w14:paraId="4177DC10" w14:textId="77777777" w:rsidR="00A43902" w:rsidRPr="008F7C02" w:rsidRDefault="00A43902" w:rsidP="00D80BF8">
            <w:pPr>
              <w:jc w:val="center"/>
              <w:rPr>
                <w:color w:val="000000"/>
                <w:lang w:eastAsia="en-CA"/>
              </w:rPr>
            </w:pPr>
            <w:r w:rsidRPr="008F7C02">
              <w:rPr>
                <w:color w:val="000000"/>
                <w:lang w:eastAsia="en-CA"/>
              </w:rPr>
              <w:t>30966.9</w:t>
            </w:r>
          </w:p>
        </w:tc>
        <w:tc>
          <w:tcPr>
            <w:tcW w:w="0" w:type="auto"/>
            <w:tcBorders>
              <w:left w:val="nil"/>
              <w:right w:val="nil"/>
            </w:tcBorders>
            <w:shd w:val="clear" w:color="auto" w:fill="auto"/>
            <w:noWrap/>
            <w:vAlign w:val="bottom"/>
            <w:hideMark/>
          </w:tcPr>
          <w:p w14:paraId="2E42347F" w14:textId="77777777" w:rsidR="00A43902" w:rsidRPr="008F7C02" w:rsidRDefault="00A43902" w:rsidP="00D80BF8">
            <w:pPr>
              <w:jc w:val="center"/>
              <w:rPr>
                <w:color w:val="000000"/>
                <w:lang w:eastAsia="en-CA"/>
              </w:rPr>
            </w:pPr>
            <w:r w:rsidRPr="008F7C02">
              <w:rPr>
                <w:color w:val="000000"/>
                <w:lang w:eastAsia="en-CA"/>
              </w:rPr>
              <w:t>33628.2</w:t>
            </w:r>
          </w:p>
        </w:tc>
        <w:tc>
          <w:tcPr>
            <w:tcW w:w="0" w:type="auto"/>
            <w:tcBorders>
              <w:left w:val="nil"/>
              <w:right w:val="nil"/>
            </w:tcBorders>
            <w:shd w:val="clear" w:color="auto" w:fill="auto"/>
            <w:noWrap/>
            <w:vAlign w:val="bottom"/>
            <w:hideMark/>
          </w:tcPr>
          <w:p w14:paraId="3CE4A814" w14:textId="77777777" w:rsidR="00A43902" w:rsidRPr="008F7C02" w:rsidRDefault="00A43902" w:rsidP="00D80BF8">
            <w:pPr>
              <w:jc w:val="center"/>
              <w:rPr>
                <w:color w:val="000000"/>
                <w:lang w:eastAsia="en-CA"/>
              </w:rPr>
            </w:pPr>
            <w:r w:rsidRPr="008F7C02">
              <w:rPr>
                <w:color w:val="000000"/>
                <w:lang w:eastAsia="en-CA"/>
              </w:rPr>
              <w:t>31143.4</w:t>
            </w:r>
          </w:p>
        </w:tc>
      </w:tr>
      <w:tr w:rsidR="00A43902" w:rsidRPr="00DD27DB" w14:paraId="2089E9A0" w14:textId="77777777" w:rsidTr="00D80BF8">
        <w:trPr>
          <w:trHeight w:val="288"/>
        </w:trPr>
        <w:tc>
          <w:tcPr>
            <w:tcW w:w="0" w:type="auto"/>
            <w:tcBorders>
              <w:top w:val="nil"/>
              <w:left w:val="nil"/>
              <w:bottom w:val="single" w:sz="12" w:space="0" w:color="auto"/>
              <w:right w:val="nil"/>
            </w:tcBorders>
            <w:shd w:val="clear" w:color="auto" w:fill="auto"/>
            <w:vAlign w:val="center"/>
            <w:hideMark/>
          </w:tcPr>
          <w:p w14:paraId="436485CA" w14:textId="77777777" w:rsidR="00A43902" w:rsidRPr="008F7C02" w:rsidRDefault="00A43902" w:rsidP="00D80BF8">
            <w:pPr>
              <w:rPr>
                <w:color w:val="000000"/>
                <w:lang w:eastAsia="en-CA"/>
              </w:rPr>
            </w:pPr>
            <w:r w:rsidRPr="008F7C02">
              <w:rPr>
                <w:color w:val="000000"/>
                <w:lang w:eastAsia="en-CA"/>
              </w:rPr>
              <w:t>DIC -- lag media</w:t>
            </w:r>
          </w:p>
        </w:tc>
        <w:tc>
          <w:tcPr>
            <w:tcW w:w="0" w:type="auto"/>
            <w:tcBorders>
              <w:top w:val="nil"/>
              <w:left w:val="nil"/>
              <w:bottom w:val="single" w:sz="12" w:space="0" w:color="auto"/>
              <w:right w:val="nil"/>
            </w:tcBorders>
            <w:shd w:val="clear" w:color="auto" w:fill="auto"/>
            <w:noWrap/>
            <w:vAlign w:val="bottom"/>
            <w:hideMark/>
          </w:tcPr>
          <w:p w14:paraId="026D6895" w14:textId="77777777" w:rsidR="00A43902" w:rsidRPr="008F7C02" w:rsidRDefault="00A43902" w:rsidP="00D80BF8">
            <w:pPr>
              <w:jc w:val="center"/>
              <w:rPr>
                <w:color w:val="000000"/>
                <w:lang w:eastAsia="en-CA"/>
              </w:rPr>
            </w:pPr>
            <w:r w:rsidRPr="008F7C02">
              <w:rPr>
                <w:color w:val="000000"/>
                <w:lang w:eastAsia="en-CA"/>
              </w:rPr>
              <w:t>29575.1</w:t>
            </w:r>
          </w:p>
        </w:tc>
        <w:tc>
          <w:tcPr>
            <w:tcW w:w="0" w:type="auto"/>
            <w:tcBorders>
              <w:top w:val="nil"/>
              <w:left w:val="nil"/>
              <w:bottom w:val="single" w:sz="12" w:space="0" w:color="auto"/>
              <w:right w:val="nil"/>
            </w:tcBorders>
            <w:shd w:val="clear" w:color="auto" w:fill="auto"/>
            <w:noWrap/>
            <w:vAlign w:val="bottom"/>
            <w:hideMark/>
          </w:tcPr>
          <w:p w14:paraId="3A51D992" w14:textId="77777777" w:rsidR="00A43902" w:rsidRPr="008F7C02" w:rsidRDefault="00A43902" w:rsidP="00D80BF8">
            <w:pPr>
              <w:jc w:val="center"/>
              <w:rPr>
                <w:color w:val="000000"/>
                <w:lang w:eastAsia="en-CA"/>
              </w:rPr>
            </w:pPr>
            <w:r w:rsidRPr="008F7C02">
              <w:rPr>
                <w:color w:val="000000"/>
                <w:lang w:eastAsia="en-CA"/>
              </w:rPr>
              <w:t>34094.8</w:t>
            </w:r>
          </w:p>
        </w:tc>
        <w:tc>
          <w:tcPr>
            <w:tcW w:w="0" w:type="auto"/>
            <w:tcBorders>
              <w:top w:val="nil"/>
              <w:left w:val="nil"/>
              <w:bottom w:val="single" w:sz="12" w:space="0" w:color="auto"/>
              <w:right w:val="nil"/>
            </w:tcBorders>
            <w:shd w:val="clear" w:color="auto" w:fill="auto"/>
            <w:noWrap/>
            <w:vAlign w:val="bottom"/>
            <w:hideMark/>
          </w:tcPr>
          <w:p w14:paraId="71148DC8" w14:textId="77777777" w:rsidR="00A43902" w:rsidRPr="008F7C02" w:rsidRDefault="00A43902" w:rsidP="00D80BF8">
            <w:pPr>
              <w:jc w:val="center"/>
              <w:rPr>
                <w:color w:val="000000"/>
                <w:lang w:eastAsia="en-CA"/>
              </w:rPr>
            </w:pPr>
            <w:r w:rsidRPr="008F7C02">
              <w:rPr>
                <w:color w:val="000000"/>
                <w:lang w:eastAsia="en-CA"/>
              </w:rPr>
              <w:t>30965.7</w:t>
            </w:r>
          </w:p>
        </w:tc>
        <w:tc>
          <w:tcPr>
            <w:tcW w:w="0" w:type="auto"/>
            <w:tcBorders>
              <w:top w:val="nil"/>
              <w:left w:val="nil"/>
              <w:bottom w:val="single" w:sz="12" w:space="0" w:color="auto"/>
              <w:right w:val="nil"/>
            </w:tcBorders>
            <w:shd w:val="clear" w:color="auto" w:fill="auto"/>
            <w:noWrap/>
            <w:vAlign w:val="bottom"/>
            <w:hideMark/>
          </w:tcPr>
          <w:p w14:paraId="3C901709" w14:textId="77777777" w:rsidR="00A43902" w:rsidRPr="008F7C02" w:rsidRDefault="00A43902" w:rsidP="00D80BF8">
            <w:pPr>
              <w:jc w:val="center"/>
              <w:rPr>
                <w:color w:val="000000"/>
                <w:lang w:eastAsia="en-CA"/>
              </w:rPr>
            </w:pPr>
            <w:r w:rsidRPr="008F7C02">
              <w:rPr>
                <w:color w:val="000000"/>
                <w:lang w:eastAsia="en-CA"/>
              </w:rPr>
              <w:t>33624.2</w:t>
            </w:r>
          </w:p>
        </w:tc>
        <w:tc>
          <w:tcPr>
            <w:tcW w:w="0" w:type="auto"/>
            <w:tcBorders>
              <w:top w:val="nil"/>
              <w:left w:val="nil"/>
              <w:bottom w:val="single" w:sz="12" w:space="0" w:color="auto"/>
              <w:right w:val="nil"/>
            </w:tcBorders>
            <w:shd w:val="clear" w:color="auto" w:fill="auto"/>
            <w:noWrap/>
            <w:vAlign w:val="bottom"/>
            <w:hideMark/>
          </w:tcPr>
          <w:p w14:paraId="7ED084F7" w14:textId="77777777" w:rsidR="00A43902" w:rsidRPr="008F7C02" w:rsidRDefault="00A43902" w:rsidP="00D80BF8">
            <w:pPr>
              <w:jc w:val="center"/>
              <w:rPr>
                <w:color w:val="000000"/>
                <w:lang w:eastAsia="en-CA"/>
              </w:rPr>
            </w:pPr>
            <w:r w:rsidRPr="008F7C02">
              <w:rPr>
                <w:color w:val="000000"/>
                <w:lang w:eastAsia="en-CA"/>
              </w:rPr>
              <w:t>31140.2</w:t>
            </w:r>
          </w:p>
        </w:tc>
      </w:tr>
      <w:tr w:rsidR="00A43902" w:rsidRPr="00DD27DB" w14:paraId="569240D9" w14:textId="77777777" w:rsidTr="00D80BF8">
        <w:trPr>
          <w:trHeight w:val="288"/>
        </w:trPr>
        <w:tc>
          <w:tcPr>
            <w:tcW w:w="0" w:type="auto"/>
            <w:tcBorders>
              <w:top w:val="single" w:sz="12" w:space="0" w:color="auto"/>
              <w:left w:val="nil"/>
              <w:right w:val="nil"/>
            </w:tcBorders>
            <w:shd w:val="clear" w:color="auto" w:fill="auto"/>
            <w:vAlign w:val="center"/>
            <w:hideMark/>
          </w:tcPr>
          <w:p w14:paraId="65D45632" w14:textId="77777777" w:rsidR="00A43902" w:rsidRPr="008F7C02" w:rsidRDefault="00A43902" w:rsidP="00D80BF8">
            <w:pPr>
              <w:rPr>
                <w:color w:val="000000"/>
                <w:lang w:eastAsia="en-CA"/>
              </w:rPr>
            </w:pPr>
          </w:p>
        </w:tc>
        <w:tc>
          <w:tcPr>
            <w:tcW w:w="0" w:type="auto"/>
            <w:tcBorders>
              <w:top w:val="single" w:sz="12" w:space="0" w:color="auto"/>
              <w:left w:val="nil"/>
              <w:bottom w:val="nil"/>
              <w:right w:val="nil"/>
            </w:tcBorders>
            <w:shd w:val="clear" w:color="auto" w:fill="auto"/>
            <w:noWrap/>
            <w:vAlign w:val="bottom"/>
            <w:hideMark/>
          </w:tcPr>
          <w:p w14:paraId="1DFBA969" w14:textId="77777777" w:rsidR="00A43902" w:rsidRPr="008F7C02" w:rsidRDefault="00A43902" w:rsidP="00D80BF8">
            <w:pPr>
              <w:rPr>
                <w:color w:val="000000"/>
                <w:lang w:eastAsia="en-CA"/>
              </w:rPr>
            </w:pPr>
          </w:p>
        </w:tc>
        <w:tc>
          <w:tcPr>
            <w:tcW w:w="0" w:type="auto"/>
            <w:tcBorders>
              <w:top w:val="single" w:sz="12" w:space="0" w:color="auto"/>
              <w:left w:val="nil"/>
              <w:bottom w:val="nil"/>
              <w:right w:val="nil"/>
            </w:tcBorders>
            <w:shd w:val="clear" w:color="auto" w:fill="auto"/>
            <w:noWrap/>
            <w:vAlign w:val="bottom"/>
            <w:hideMark/>
          </w:tcPr>
          <w:p w14:paraId="5A9EF48A" w14:textId="77777777" w:rsidR="00A43902" w:rsidRPr="008F7C02" w:rsidRDefault="00A43902" w:rsidP="00D80BF8">
            <w:pPr>
              <w:rPr>
                <w:color w:val="000000"/>
                <w:lang w:eastAsia="en-CA"/>
              </w:rPr>
            </w:pPr>
          </w:p>
        </w:tc>
        <w:tc>
          <w:tcPr>
            <w:tcW w:w="0" w:type="auto"/>
            <w:tcBorders>
              <w:top w:val="single" w:sz="12" w:space="0" w:color="auto"/>
              <w:left w:val="nil"/>
              <w:bottom w:val="nil"/>
              <w:right w:val="nil"/>
            </w:tcBorders>
            <w:shd w:val="clear" w:color="auto" w:fill="auto"/>
            <w:noWrap/>
            <w:vAlign w:val="bottom"/>
            <w:hideMark/>
          </w:tcPr>
          <w:p w14:paraId="1F183258" w14:textId="77777777" w:rsidR="00A43902" w:rsidRPr="008F7C02" w:rsidRDefault="00A43902" w:rsidP="00D80BF8">
            <w:pPr>
              <w:rPr>
                <w:color w:val="000000"/>
                <w:lang w:eastAsia="en-CA"/>
              </w:rPr>
            </w:pPr>
          </w:p>
        </w:tc>
        <w:tc>
          <w:tcPr>
            <w:tcW w:w="0" w:type="auto"/>
            <w:tcBorders>
              <w:top w:val="single" w:sz="12" w:space="0" w:color="auto"/>
              <w:left w:val="nil"/>
              <w:bottom w:val="nil"/>
              <w:right w:val="nil"/>
            </w:tcBorders>
            <w:shd w:val="clear" w:color="auto" w:fill="auto"/>
            <w:noWrap/>
            <w:vAlign w:val="bottom"/>
            <w:hideMark/>
          </w:tcPr>
          <w:p w14:paraId="7E501622" w14:textId="77777777" w:rsidR="00A43902" w:rsidRPr="008F7C02" w:rsidRDefault="00A43902" w:rsidP="00D80BF8">
            <w:pPr>
              <w:rPr>
                <w:color w:val="000000"/>
                <w:lang w:eastAsia="en-CA"/>
              </w:rPr>
            </w:pPr>
          </w:p>
        </w:tc>
        <w:tc>
          <w:tcPr>
            <w:tcW w:w="0" w:type="auto"/>
            <w:tcBorders>
              <w:top w:val="single" w:sz="12" w:space="0" w:color="auto"/>
              <w:left w:val="nil"/>
              <w:bottom w:val="nil"/>
              <w:right w:val="nil"/>
            </w:tcBorders>
            <w:shd w:val="clear" w:color="auto" w:fill="auto"/>
            <w:noWrap/>
            <w:vAlign w:val="bottom"/>
            <w:hideMark/>
          </w:tcPr>
          <w:p w14:paraId="616E1115" w14:textId="77777777" w:rsidR="00A43902" w:rsidRPr="008F7C02" w:rsidRDefault="00A43902" w:rsidP="00D80BF8">
            <w:pPr>
              <w:rPr>
                <w:color w:val="000000"/>
                <w:lang w:eastAsia="en-CA"/>
              </w:rPr>
            </w:pPr>
          </w:p>
        </w:tc>
      </w:tr>
    </w:tbl>
    <w:p w14:paraId="1C67E989" w14:textId="77777777" w:rsidR="00657353" w:rsidRDefault="00657353" w:rsidP="00657353">
      <w:pPr>
        <w:jc w:val="center"/>
      </w:pPr>
    </w:p>
    <w:p w14:paraId="537B9D26" w14:textId="77777777" w:rsidR="00A43902" w:rsidRDefault="00A43902">
      <w:pPr>
        <w:rPr>
          <w:color w:val="000000"/>
          <w:lang w:eastAsia="en-CA"/>
        </w:rPr>
      </w:pPr>
      <w:r>
        <w:rPr>
          <w:color w:val="000000"/>
          <w:lang w:eastAsia="en-CA"/>
        </w:rPr>
        <w:br w:type="page"/>
      </w:r>
    </w:p>
    <w:p w14:paraId="561CE8F6" w14:textId="6B4865F0" w:rsidR="00DD27DB" w:rsidRPr="00CC5843" w:rsidRDefault="00A43902" w:rsidP="00DD27DB">
      <w:r>
        <w:rPr>
          <w:color w:val="000000"/>
          <w:lang w:eastAsia="en-CA"/>
        </w:rPr>
        <w:lastRenderedPageBreak/>
        <w:t>Table C</w:t>
      </w:r>
      <w:r w:rsidR="006E4E8D">
        <w:rPr>
          <w:color w:val="000000"/>
          <w:lang w:eastAsia="en-CA"/>
        </w:rPr>
        <w:t>2.</w:t>
      </w:r>
      <w:r w:rsidR="00DD27DB" w:rsidRPr="008F7C02">
        <w:rPr>
          <w:color w:val="000000"/>
          <w:lang w:eastAsia="en-CA"/>
        </w:rPr>
        <w:t xml:space="preserve"> Autoregressive Time-Varying Coefficients</w:t>
      </w:r>
    </w:p>
    <w:tbl>
      <w:tblPr>
        <w:tblW w:w="0" w:type="auto"/>
        <w:tblInd w:w="93" w:type="dxa"/>
        <w:tblLook w:val="04A0" w:firstRow="1" w:lastRow="0" w:firstColumn="1" w:lastColumn="0" w:noHBand="0" w:noVBand="1"/>
      </w:tblPr>
      <w:tblGrid>
        <w:gridCol w:w="2850"/>
        <w:gridCol w:w="1556"/>
        <w:gridCol w:w="1476"/>
        <w:gridCol w:w="1476"/>
        <w:gridCol w:w="1476"/>
        <w:gridCol w:w="1556"/>
      </w:tblGrid>
      <w:tr w:rsidR="00DD27DB" w:rsidRPr="00DD27DB" w14:paraId="263BD0EC" w14:textId="77777777" w:rsidTr="008F7C02">
        <w:trPr>
          <w:trHeight w:val="300"/>
        </w:trPr>
        <w:tc>
          <w:tcPr>
            <w:tcW w:w="0" w:type="auto"/>
            <w:tcBorders>
              <w:top w:val="single" w:sz="12" w:space="0" w:color="auto"/>
              <w:left w:val="nil"/>
              <w:bottom w:val="single" w:sz="8" w:space="0" w:color="auto"/>
              <w:right w:val="nil"/>
            </w:tcBorders>
            <w:shd w:val="clear" w:color="auto" w:fill="auto"/>
            <w:vAlign w:val="center"/>
            <w:hideMark/>
          </w:tcPr>
          <w:p w14:paraId="65F48C1B" w14:textId="77777777" w:rsidR="00DD27DB" w:rsidRPr="008F7C02" w:rsidRDefault="00DD27DB" w:rsidP="006530F0">
            <w:pPr>
              <w:rPr>
                <w:color w:val="000000"/>
                <w:lang w:eastAsia="en-CA"/>
              </w:rPr>
            </w:pPr>
            <w:r w:rsidRPr="008F7C02">
              <w:rPr>
                <w:color w:val="000000"/>
                <w:lang w:eastAsia="en-CA"/>
              </w:rPr>
              <w:t> </w:t>
            </w:r>
          </w:p>
        </w:tc>
        <w:tc>
          <w:tcPr>
            <w:tcW w:w="0" w:type="auto"/>
            <w:tcBorders>
              <w:top w:val="single" w:sz="12" w:space="0" w:color="auto"/>
              <w:left w:val="nil"/>
              <w:bottom w:val="single" w:sz="8" w:space="0" w:color="auto"/>
              <w:right w:val="nil"/>
            </w:tcBorders>
            <w:shd w:val="clear" w:color="auto" w:fill="auto"/>
            <w:vAlign w:val="center"/>
            <w:hideMark/>
          </w:tcPr>
          <w:p w14:paraId="71AFE04A" w14:textId="77777777" w:rsidR="00DD27DB" w:rsidRPr="008F7C02" w:rsidRDefault="00DD27DB" w:rsidP="006530F0">
            <w:pPr>
              <w:jc w:val="center"/>
              <w:rPr>
                <w:b/>
                <w:bCs/>
                <w:color w:val="000000"/>
                <w:lang w:eastAsia="en-CA"/>
              </w:rPr>
            </w:pPr>
            <w:r w:rsidRPr="008F7C02">
              <w:rPr>
                <w:b/>
                <w:bCs/>
                <w:color w:val="000000"/>
                <w:lang w:eastAsia="en-CA"/>
              </w:rPr>
              <w:t>1993</w:t>
            </w:r>
          </w:p>
        </w:tc>
        <w:tc>
          <w:tcPr>
            <w:tcW w:w="0" w:type="auto"/>
            <w:tcBorders>
              <w:top w:val="single" w:sz="12" w:space="0" w:color="auto"/>
              <w:left w:val="nil"/>
              <w:bottom w:val="single" w:sz="8" w:space="0" w:color="auto"/>
              <w:right w:val="nil"/>
            </w:tcBorders>
            <w:shd w:val="clear" w:color="auto" w:fill="auto"/>
            <w:vAlign w:val="center"/>
            <w:hideMark/>
          </w:tcPr>
          <w:p w14:paraId="033C7A16" w14:textId="77777777" w:rsidR="00DD27DB" w:rsidRPr="008F7C02" w:rsidRDefault="00DD27DB" w:rsidP="006530F0">
            <w:pPr>
              <w:jc w:val="center"/>
              <w:rPr>
                <w:b/>
                <w:bCs/>
                <w:color w:val="000000"/>
                <w:lang w:eastAsia="en-CA"/>
              </w:rPr>
            </w:pPr>
            <w:r w:rsidRPr="008F7C02">
              <w:rPr>
                <w:b/>
                <w:bCs/>
                <w:color w:val="000000"/>
                <w:lang w:eastAsia="en-CA"/>
              </w:rPr>
              <w:t>1997</w:t>
            </w:r>
          </w:p>
        </w:tc>
        <w:tc>
          <w:tcPr>
            <w:tcW w:w="0" w:type="auto"/>
            <w:tcBorders>
              <w:top w:val="single" w:sz="12" w:space="0" w:color="auto"/>
              <w:left w:val="nil"/>
              <w:bottom w:val="single" w:sz="8" w:space="0" w:color="auto"/>
              <w:right w:val="nil"/>
            </w:tcBorders>
            <w:shd w:val="clear" w:color="auto" w:fill="auto"/>
            <w:vAlign w:val="center"/>
            <w:hideMark/>
          </w:tcPr>
          <w:p w14:paraId="42245391" w14:textId="77777777" w:rsidR="00DD27DB" w:rsidRPr="008F7C02" w:rsidRDefault="00DD27DB" w:rsidP="006530F0">
            <w:pPr>
              <w:jc w:val="center"/>
              <w:rPr>
                <w:b/>
                <w:bCs/>
                <w:color w:val="000000"/>
                <w:lang w:eastAsia="en-CA"/>
              </w:rPr>
            </w:pPr>
            <w:r w:rsidRPr="008F7C02">
              <w:rPr>
                <w:b/>
                <w:bCs/>
                <w:color w:val="000000"/>
                <w:lang w:eastAsia="en-CA"/>
              </w:rPr>
              <w:t>2000</w:t>
            </w:r>
          </w:p>
        </w:tc>
        <w:tc>
          <w:tcPr>
            <w:tcW w:w="0" w:type="auto"/>
            <w:tcBorders>
              <w:top w:val="single" w:sz="12" w:space="0" w:color="auto"/>
              <w:left w:val="nil"/>
              <w:bottom w:val="single" w:sz="8" w:space="0" w:color="auto"/>
              <w:right w:val="nil"/>
            </w:tcBorders>
            <w:shd w:val="clear" w:color="auto" w:fill="auto"/>
            <w:vAlign w:val="center"/>
            <w:hideMark/>
          </w:tcPr>
          <w:p w14:paraId="06A6B6A7" w14:textId="77777777" w:rsidR="00DD27DB" w:rsidRPr="008F7C02" w:rsidRDefault="00DD27DB" w:rsidP="006530F0">
            <w:pPr>
              <w:jc w:val="center"/>
              <w:rPr>
                <w:b/>
                <w:bCs/>
                <w:color w:val="000000"/>
                <w:lang w:eastAsia="en-CA"/>
              </w:rPr>
            </w:pPr>
            <w:r w:rsidRPr="008F7C02">
              <w:rPr>
                <w:b/>
                <w:bCs/>
                <w:color w:val="000000"/>
                <w:lang w:eastAsia="en-CA"/>
              </w:rPr>
              <w:t>2004</w:t>
            </w:r>
          </w:p>
        </w:tc>
        <w:tc>
          <w:tcPr>
            <w:tcW w:w="0" w:type="auto"/>
            <w:tcBorders>
              <w:top w:val="single" w:sz="12" w:space="0" w:color="auto"/>
              <w:left w:val="nil"/>
              <w:bottom w:val="single" w:sz="8" w:space="0" w:color="auto"/>
              <w:right w:val="nil"/>
            </w:tcBorders>
            <w:shd w:val="clear" w:color="auto" w:fill="auto"/>
            <w:vAlign w:val="center"/>
            <w:hideMark/>
          </w:tcPr>
          <w:p w14:paraId="44B9C809" w14:textId="77777777" w:rsidR="00DD27DB" w:rsidRPr="008F7C02" w:rsidRDefault="00DD27DB" w:rsidP="006530F0">
            <w:pPr>
              <w:jc w:val="center"/>
              <w:rPr>
                <w:b/>
                <w:bCs/>
                <w:color w:val="000000"/>
                <w:lang w:eastAsia="en-CA"/>
              </w:rPr>
            </w:pPr>
            <w:r w:rsidRPr="008F7C02">
              <w:rPr>
                <w:b/>
                <w:bCs/>
                <w:color w:val="000000"/>
                <w:lang w:eastAsia="en-CA"/>
              </w:rPr>
              <w:t>2006</w:t>
            </w:r>
          </w:p>
        </w:tc>
      </w:tr>
      <w:tr w:rsidR="00DD27DB" w:rsidRPr="00DD27DB" w14:paraId="212E15A0" w14:textId="77777777" w:rsidTr="008F7C02">
        <w:trPr>
          <w:trHeight w:val="570"/>
        </w:trPr>
        <w:tc>
          <w:tcPr>
            <w:tcW w:w="0" w:type="auto"/>
            <w:tcBorders>
              <w:top w:val="nil"/>
              <w:left w:val="nil"/>
              <w:bottom w:val="nil"/>
              <w:right w:val="nil"/>
            </w:tcBorders>
            <w:shd w:val="clear" w:color="auto" w:fill="auto"/>
            <w:vAlign w:val="center"/>
            <w:hideMark/>
          </w:tcPr>
          <w:p w14:paraId="5FCAA46E" w14:textId="55D937BD" w:rsidR="00DD27DB" w:rsidRPr="008F7C02" w:rsidRDefault="00DD27DB" w:rsidP="00CC5843">
            <w:pPr>
              <w:rPr>
                <w:lang w:eastAsia="en-CA"/>
              </w:rPr>
            </w:pPr>
            <w:r w:rsidRPr="008F7C02">
              <w:rPr>
                <w:lang w:eastAsia="en-CA"/>
              </w:rPr>
              <w:t>Economy [INC BIAS]</w:t>
            </w:r>
          </w:p>
        </w:tc>
        <w:tc>
          <w:tcPr>
            <w:tcW w:w="0" w:type="auto"/>
            <w:tcBorders>
              <w:top w:val="nil"/>
              <w:left w:val="nil"/>
              <w:right w:val="nil"/>
            </w:tcBorders>
            <w:shd w:val="clear" w:color="auto" w:fill="auto"/>
            <w:vAlign w:val="bottom"/>
            <w:hideMark/>
          </w:tcPr>
          <w:p w14:paraId="7C1300BA" w14:textId="6E31F38A" w:rsidR="00DD27DB" w:rsidRPr="008F7C02" w:rsidRDefault="00DD27DB" w:rsidP="006530F0">
            <w:pPr>
              <w:jc w:val="center"/>
              <w:rPr>
                <w:lang w:eastAsia="en-CA"/>
              </w:rPr>
            </w:pPr>
            <w:r w:rsidRPr="008F7C02">
              <w:rPr>
                <w:lang w:eastAsia="en-CA"/>
              </w:rPr>
              <w:t>-0.69</w:t>
            </w:r>
            <w:r w:rsidR="004251D5" w:rsidRPr="008F7C02">
              <w:rPr>
                <w:lang w:eastAsia="en-CA"/>
              </w:rPr>
              <w:t>***</w:t>
            </w:r>
            <w:r w:rsidRPr="008F7C02">
              <w:rPr>
                <w:lang w:eastAsia="en-CA"/>
              </w:rPr>
              <w:br/>
              <w:t xml:space="preserve"> (-1.2, -0.17)</w:t>
            </w:r>
          </w:p>
        </w:tc>
        <w:tc>
          <w:tcPr>
            <w:tcW w:w="0" w:type="auto"/>
            <w:tcBorders>
              <w:top w:val="nil"/>
              <w:left w:val="nil"/>
              <w:right w:val="nil"/>
            </w:tcBorders>
            <w:shd w:val="clear" w:color="auto" w:fill="auto"/>
            <w:vAlign w:val="bottom"/>
            <w:hideMark/>
          </w:tcPr>
          <w:p w14:paraId="000FC793" w14:textId="77777777" w:rsidR="00DD27DB" w:rsidRPr="008F7C02" w:rsidRDefault="00DD27DB" w:rsidP="006530F0">
            <w:pPr>
              <w:jc w:val="center"/>
              <w:rPr>
                <w:lang w:eastAsia="en-CA"/>
              </w:rPr>
            </w:pPr>
            <w:r w:rsidRPr="008F7C02">
              <w:rPr>
                <w:lang w:eastAsia="en-CA"/>
              </w:rPr>
              <w:t>0.13</w:t>
            </w:r>
            <w:r w:rsidRPr="008F7C02">
              <w:rPr>
                <w:lang w:eastAsia="en-CA"/>
              </w:rPr>
              <w:br/>
              <w:t xml:space="preserve"> (-0.35, 0.62)</w:t>
            </w:r>
          </w:p>
        </w:tc>
        <w:tc>
          <w:tcPr>
            <w:tcW w:w="0" w:type="auto"/>
            <w:tcBorders>
              <w:top w:val="nil"/>
              <w:left w:val="nil"/>
              <w:right w:val="nil"/>
            </w:tcBorders>
            <w:shd w:val="clear" w:color="auto" w:fill="auto"/>
            <w:vAlign w:val="bottom"/>
            <w:hideMark/>
          </w:tcPr>
          <w:p w14:paraId="78680A5F" w14:textId="77777777" w:rsidR="00DD27DB" w:rsidRPr="008F7C02" w:rsidRDefault="00DD27DB" w:rsidP="006530F0">
            <w:pPr>
              <w:jc w:val="center"/>
              <w:rPr>
                <w:lang w:eastAsia="en-CA"/>
              </w:rPr>
            </w:pPr>
            <w:r w:rsidRPr="008F7C02">
              <w:rPr>
                <w:lang w:eastAsia="en-CA"/>
              </w:rPr>
              <w:t>0.29</w:t>
            </w:r>
            <w:r w:rsidRPr="008F7C02">
              <w:rPr>
                <w:lang w:eastAsia="en-CA"/>
              </w:rPr>
              <w:br/>
              <w:t xml:space="preserve"> (-0.16, 0.72)</w:t>
            </w:r>
          </w:p>
        </w:tc>
        <w:tc>
          <w:tcPr>
            <w:tcW w:w="0" w:type="auto"/>
            <w:tcBorders>
              <w:top w:val="nil"/>
              <w:left w:val="nil"/>
              <w:right w:val="nil"/>
            </w:tcBorders>
            <w:shd w:val="clear" w:color="auto" w:fill="auto"/>
            <w:vAlign w:val="bottom"/>
            <w:hideMark/>
          </w:tcPr>
          <w:p w14:paraId="4A62D2A7" w14:textId="77777777" w:rsidR="00DD27DB" w:rsidRPr="008F7C02" w:rsidRDefault="00DD27DB" w:rsidP="006530F0">
            <w:pPr>
              <w:jc w:val="center"/>
              <w:rPr>
                <w:lang w:eastAsia="en-CA"/>
              </w:rPr>
            </w:pPr>
            <w:r w:rsidRPr="008F7C02">
              <w:rPr>
                <w:lang w:eastAsia="en-CA"/>
              </w:rPr>
              <w:t>0.22</w:t>
            </w:r>
            <w:r w:rsidRPr="008F7C02">
              <w:rPr>
                <w:lang w:eastAsia="en-CA"/>
              </w:rPr>
              <w:br/>
              <w:t xml:space="preserve"> (-0.22, 0.67)</w:t>
            </w:r>
          </w:p>
        </w:tc>
        <w:tc>
          <w:tcPr>
            <w:tcW w:w="0" w:type="auto"/>
            <w:tcBorders>
              <w:top w:val="nil"/>
              <w:left w:val="nil"/>
              <w:right w:val="nil"/>
            </w:tcBorders>
            <w:shd w:val="clear" w:color="auto" w:fill="auto"/>
            <w:vAlign w:val="center"/>
            <w:hideMark/>
          </w:tcPr>
          <w:p w14:paraId="4C38269C" w14:textId="77777777" w:rsidR="00DD27DB" w:rsidRPr="008F7C02" w:rsidRDefault="00DD27DB" w:rsidP="006530F0">
            <w:pPr>
              <w:jc w:val="center"/>
              <w:rPr>
                <w:lang w:eastAsia="en-CA"/>
              </w:rPr>
            </w:pPr>
            <w:r w:rsidRPr="008F7C02">
              <w:rPr>
                <w:lang w:eastAsia="en-CA"/>
              </w:rPr>
              <w:t>0.23</w:t>
            </w:r>
            <w:r w:rsidRPr="008F7C02">
              <w:rPr>
                <w:lang w:eastAsia="en-CA"/>
              </w:rPr>
              <w:br/>
              <w:t xml:space="preserve"> (-0.35, 0.77)</w:t>
            </w:r>
          </w:p>
        </w:tc>
      </w:tr>
      <w:tr w:rsidR="00DD27DB" w:rsidRPr="00DD27DB" w14:paraId="32682801" w14:textId="77777777" w:rsidTr="008F7C02">
        <w:trPr>
          <w:trHeight w:val="576"/>
        </w:trPr>
        <w:tc>
          <w:tcPr>
            <w:tcW w:w="0" w:type="auto"/>
            <w:tcBorders>
              <w:top w:val="nil"/>
              <w:left w:val="nil"/>
              <w:bottom w:val="nil"/>
              <w:right w:val="nil"/>
            </w:tcBorders>
            <w:shd w:val="clear" w:color="auto" w:fill="auto"/>
            <w:vAlign w:val="center"/>
            <w:hideMark/>
          </w:tcPr>
          <w:p w14:paraId="000064A2" w14:textId="2461C542" w:rsidR="00DD27DB" w:rsidRPr="008F7C02" w:rsidRDefault="00DD27DB" w:rsidP="00CC5843">
            <w:pPr>
              <w:rPr>
                <w:lang w:eastAsia="en-CA"/>
              </w:rPr>
            </w:pPr>
            <w:r w:rsidRPr="008F7C02">
              <w:rPr>
                <w:lang w:eastAsia="en-CA"/>
              </w:rPr>
              <w:t>Economy [OPP BIAS]</w:t>
            </w:r>
          </w:p>
        </w:tc>
        <w:tc>
          <w:tcPr>
            <w:tcW w:w="0" w:type="auto"/>
            <w:tcBorders>
              <w:left w:val="nil"/>
            </w:tcBorders>
            <w:shd w:val="clear" w:color="auto" w:fill="auto"/>
            <w:vAlign w:val="bottom"/>
            <w:hideMark/>
          </w:tcPr>
          <w:p w14:paraId="2A215599" w14:textId="77777777" w:rsidR="00DD27DB" w:rsidRPr="008F7C02" w:rsidRDefault="00DD27DB" w:rsidP="006530F0">
            <w:pPr>
              <w:jc w:val="center"/>
              <w:rPr>
                <w:lang w:eastAsia="en-CA"/>
              </w:rPr>
            </w:pPr>
            <w:r w:rsidRPr="008F7C02">
              <w:rPr>
                <w:lang w:eastAsia="en-CA"/>
              </w:rPr>
              <w:t>-0.15</w:t>
            </w:r>
            <w:r w:rsidRPr="008F7C02">
              <w:rPr>
                <w:lang w:eastAsia="en-CA"/>
              </w:rPr>
              <w:br/>
              <w:t xml:space="preserve"> (-0.58, 0.27)</w:t>
            </w:r>
          </w:p>
        </w:tc>
        <w:tc>
          <w:tcPr>
            <w:tcW w:w="0" w:type="auto"/>
            <w:shd w:val="clear" w:color="auto" w:fill="auto"/>
            <w:vAlign w:val="bottom"/>
            <w:hideMark/>
          </w:tcPr>
          <w:p w14:paraId="5BDD91A5" w14:textId="60518CD6" w:rsidR="00DD27DB" w:rsidRPr="008F7C02" w:rsidRDefault="00DD27DB" w:rsidP="006530F0">
            <w:pPr>
              <w:jc w:val="center"/>
              <w:rPr>
                <w:lang w:eastAsia="en-CA"/>
              </w:rPr>
            </w:pPr>
            <w:r w:rsidRPr="008F7C02">
              <w:rPr>
                <w:lang w:eastAsia="en-CA"/>
              </w:rPr>
              <w:t>0.33</w:t>
            </w:r>
            <w:r w:rsidR="004251D5" w:rsidRPr="008F7C02">
              <w:rPr>
                <w:lang w:eastAsia="en-CA"/>
              </w:rPr>
              <w:t>*</w:t>
            </w:r>
            <w:r w:rsidRPr="008F7C02">
              <w:rPr>
                <w:lang w:eastAsia="en-CA"/>
              </w:rPr>
              <w:br/>
              <w:t xml:space="preserve"> (-0.11, 0.8)</w:t>
            </w:r>
          </w:p>
        </w:tc>
        <w:tc>
          <w:tcPr>
            <w:tcW w:w="0" w:type="auto"/>
            <w:shd w:val="clear" w:color="auto" w:fill="auto"/>
            <w:noWrap/>
            <w:vAlign w:val="bottom"/>
            <w:hideMark/>
          </w:tcPr>
          <w:p w14:paraId="5E293E02" w14:textId="77777777" w:rsidR="00DD27DB" w:rsidRPr="008F7C02" w:rsidRDefault="00DD27DB" w:rsidP="006530F0">
            <w:pPr>
              <w:rPr>
                <w:lang w:eastAsia="en-CA"/>
              </w:rPr>
            </w:pPr>
            <w:r w:rsidRPr="008F7C02">
              <w:rPr>
                <w:lang w:eastAsia="en-CA"/>
              </w:rPr>
              <w:t>-0.13</w:t>
            </w:r>
            <w:r w:rsidRPr="008F7C02">
              <w:rPr>
                <w:lang w:eastAsia="en-CA"/>
              </w:rPr>
              <w:br/>
              <w:t xml:space="preserve"> (-0.57, 0.21)</w:t>
            </w:r>
          </w:p>
        </w:tc>
        <w:tc>
          <w:tcPr>
            <w:tcW w:w="0" w:type="auto"/>
            <w:shd w:val="clear" w:color="auto" w:fill="auto"/>
            <w:vAlign w:val="bottom"/>
            <w:hideMark/>
          </w:tcPr>
          <w:p w14:paraId="6F3CAF1C" w14:textId="77777777" w:rsidR="00DD27DB" w:rsidRPr="008F7C02" w:rsidRDefault="00DD27DB" w:rsidP="006530F0">
            <w:pPr>
              <w:jc w:val="center"/>
              <w:rPr>
                <w:lang w:eastAsia="en-CA"/>
              </w:rPr>
            </w:pPr>
            <w:r w:rsidRPr="008F7C02">
              <w:rPr>
                <w:lang w:eastAsia="en-CA"/>
              </w:rPr>
              <w:t>0.07</w:t>
            </w:r>
            <w:r w:rsidRPr="008F7C02">
              <w:rPr>
                <w:lang w:eastAsia="en-CA"/>
              </w:rPr>
              <w:br/>
              <w:t xml:space="preserve"> (-0.34, 0.52)</w:t>
            </w:r>
          </w:p>
        </w:tc>
        <w:tc>
          <w:tcPr>
            <w:tcW w:w="0" w:type="auto"/>
            <w:tcBorders>
              <w:right w:val="nil"/>
            </w:tcBorders>
            <w:shd w:val="clear" w:color="auto" w:fill="auto"/>
            <w:vAlign w:val="center"/>
            <w:hideMark/>
          </w:tcPr>
          <w:p w14:paraId="0616C3F4" w14:textId="77777777" w:rsidR="00DD27DB" w:rsidRPr="008F7C02" w:rsidRDefault="00DD27DB" w:rsidP="006530F0">
            <w:pPr>
              <w:jc w:val="center"/>
              <w:rPr>
                <w:lang w:eastAsia="en-CA"/>
              </w:rPr>
            </w:pPr>
            <w:r w:rsidRPr="008F7C02">
              <w:rPr>
                <w:lang w:eastAsia="en-CA"/>
              </w:rPr>
              <w:t>0.03</w:t>
            </w:r>
            <w:r w:rsidRPr="008F7C02">
              <w:rPr>
                <w:lang w:eastAsia="en-CA"/>
              </w:rPr>
              <w:br/>
              <w:t xml:space="preserve"> (-0.46, 0.52)</w:t>
            </w:r>
          </w:p>
        </w:tc>
      </w:tr>
      <w:tr w:rsidR="00DD27DB" w:rsidRPr="00DD27DB" w14:paraId="6860D7A3" w14:textId="77777777" w:rsidTr="008F7C02">
        <w:trPr>
          <w:trHeight w:val="576"/>
        </w:trPr>
        <w:tc>
          <w:tcPr>
            <w:tcW w:w="0" w:type="auto"/>
            <w:tcBorders>
              <w:top w:val="nil"/>
              <w:left w:val="nil"/>
              <w:bottom w:val="nil"/>
              <w:right w:val="nil"/>
            </w:tcBorders>
            <w:shd w:val="clear" w:color="auto" w:fill="auto"/>
            <w:vAlign w:val="center"/>
            <w:hideMark/>
          </w:tcPr>
          <w:p w14:paraId="60D38953" w14:textId="77777777" w:rsidR="00DD27DB" w:rsidRPr="008F7C02" w:rsidRDefault="00DD27DB" w:rsidP="006530F0">
            <w:pPr>
              <w:rPr>
                <w:b/>
                <w:bCs/>
                <w:lang w:eastAsia="en-CA"/>
              </w:rPr>
            </w:pPr>
            <w:r w:rsidRPr="008F7C02">
              <w:rPr>
                <w:b/>
                <w:bCs/>
                <w:lang w:eastAsia="en-CA"/>
              </w:rPr>
              <w:t>Economy [PID BIAS]</w:t>
            </w:r>
          </w:p>
        </w:tc>
        <w:tc>
          <w:tcPr>
            <w:tcW w:w="0" w:type="auto"/>
            <w:tcBorders>
              <w:left w:val="nil"/>
            </w:tcBorders>
            <w:shd w:val="clear" w:color="auto" w:fill="auto"/>
            <w:vAlign w:val="bottom"/>
            <w:hideMark/>
          </w:tcPr>
          <w:p w14:paraId="2E4822A0" w14:textId="2625344F" w:rsidR="00DD27DB" w:rsidRPr="008F7C02" w:rsidRDefault="00DD27DB" w:rsidP="006530F0">
            <w:pPr>
              <w:jc w:val="center"/>
              <w:rPr>
                <w:lang w:eastAsia="en-CA"/>
              </w:rPr>
            </w:pPr>
            <w:r w:rsidRPr="008F7C02">
              <w:rPr>
                <w:lang w:eastAsia="en-CA"/>
              </w:rPr>
              <w:t>-0.53</w:t>
            </w:r>
            <w:r w:rsidR="004251D5" w:rsidRPr="008F7C02">
              <w:rPr>
                <w:lang w:eastAsia="en-CA"/>
              </w:rPr>
              <w:t>***</w:t>
            </w:r>
            <w:r w:rsidRPr="008F7C02">
              <w:rPr>
                <w:lang w:eastAsia="en-CA"/>
              </w:rPr>
              <w:br/>
              <w:t xml:space="preserve"> (-0.99, -0.06)</w:t>
            </w:r>
          </w:p>
        </w:tc>
        <w:tc>
          <w:tcPr>
            <w:tcW w:w="0" w:type="auto"/>
            <w:shd w:val="clear" w:color="auto" w:fill="auto"/>
            <w:vAlign w:val="bottom"/>
            <w:hideMark/>
          </w:tcPr>
          <w:p w14:paraId="20651610" w14:textId="77777777" w:rsidR="00DD27DB" w:rsidRPr="008F7C02" w:rsidRDefault="00DD27DB" w:rsidP="006530F0">
            <w:pPr>
              <w:jc w:val="center"/>
              <w:rPr>
                <w:lang w:eastAsia="en-CA"/>
              </w:rPr>
            </w:pPr>
            <w:r w:rsidRPr="008F7C02">
              <w:rPr>
                <w:lang w:eastAsia="en-CA"/>
              </w:rPr>
              <w:t>-0.2</w:t>
            </w:r>
            <w:r w:rsidRPr="008F7C02">
              <w:rPr>
                <w:lang w:eastAsia="en-CA"/>
              </w:rPr>
              <w:br/>
              <w:t xml:space="preserve"> (-0.68, 0.26)</w:t>
            </w:r>
          </w:p>
        </w:tc>
        <w:tc>
          <w:tcPr>
            <w:tcW w:w="0" w:type="auto"/>
            <w:shd w:val="clear" w:color="auto" w:fill="auto"/>
            <w:vAlign w:val="bottom"/>
            <w:hideMark/>
          </w:tcPr>
          <w:p w14:paraId="610C37A8" w14:textId="130CBEEE" w:rsidR="00DD27DB" w:rsidRPr="008F7C02" w:rsidRDefault="00DD27DB" w:rsidP="006530F0">
            <w:pPr>
              <w:jc w:val="center"/>
              <w:rPr>
                <w:lang w:eastAsia="en-CA"/>
              </w:rPr>
            </w:pPr>
            <w:r w:rsidRPr="008F7C02">
              <w:rPr>
                <w:lang w:eastAsia="en-CA"/>
              </w:rPr>
              <w:t>0.42</w:t>
            </w:r>
            <w:r w:rsidR="004251D5" w:rsidRPr="008F7C02">
              <w:rPr>
                <w:lang w:eastAsia="en-CA"/>
              </w:rPr>
              <w:t>**</w:t>
            </w:r>
            <w:r w:rsidRPr="008F7C02">
              <w:rPr>
                <w:lang w:eastAsia="en-CA"/>
              </w:rPr>
              <w:br/>
              <w:t xml:space="preserve"> (-0.01, 0.86)</w:t>
            </w:r>
          </w:p>
        </w:tc>
        <w:tc>
          <w:tcPr>
            <w:tcW w:w="0" w:type="auto"/>
            <w:shd w:val="clear" w:color="auto" w:fill="auto"/>
            <w:vAlign w:val="bottom"/>
            <w:hideMark/>
          </w:tcPr>
          <w:p w14:paraId="2CC00BB0" w14:textId="77777777" w:rsidR="00DD27DB" w:rsidRPr="008F7C02" w:rsidRDefault="00DD27DB" w:rsidP="006530F0">
            <w:pPr>
              <w:jc w:val="center"/>
              <w:rPr>
                <w:lang w:eastAsia="en-CA"/>
              </w:rPr>
            </w:pPr>
            <w:r w:rsidRPr="008F7C02">
              <w:rPr>
                <w:lang w:eastAsia="en-CA"/>
              </w:rPr>
              <w:t>0.14</w:t>
            </w:r>
            <w:r w:rsidRPr="008F7C02">
              <w:rPr>
                <w:lang w:eastAsia="en-CA"/>
              </w:rPr>
              <w:br/>
              <w:t xml:space="preserve"> (-0.35, 0.63)</w:t>
            </w:r>
          </w:p>
        </w:tc>
        <w:tc>
          <w:tcPr>
            <w:tcW w:w="0" w:type="auto"/>
            <w:tcBorders>
              <w:right w:val="nil"/>
            </w:tcBorders>
            <w:shd w:val="clear" w:color="auto" w:fill="auto"/>
            <w:vAlign w:val="center"/>
            <w:hideMark/>
          </w:tcPr>
          <w:p w14:paraId="5E8D28BE" w14:textId="77777777" w:rsidR="00DD27DB" w:rsidRPr="008F7C02" w:rsidRDefault="00DD27DB" w:rsidP="006530F0">
            <w:pPr>
              <w:jc w:val="center"/>
              <w:rPr>
                <w:lang w:eastAsia="en-CA"/>
              </w:rPr>
            </w:pPr>
            <w:r w:rsidRPr="008F7C02">
              <w:rPr>
                <w:lang w:eastAsia="en-CA"/>
              </w:rPr>
              <w:t>0.2</w:t>
            </w:r>
            <w:r w:rsidRPr="008F7C02">
              <w:rPr>
                <w:lang w:eastAsia="en-CA"/>
              </w:rPr>
              <w:br/>
              <w:t xml:space="preserve"> (-0.33, 0.75)</w:t>
            </w:r>
          </w:p>
        </w:tc>
      </w:tr>
      <w:tr w:rsidR="00DD27DB" w:rsidRPr="00DD27DB" w14:paraId="054A48D8" w14:textId="77777777" w:rsidTr="008F7C02">
        <w:trPr>
          <w:trHeight w:val="570"/>
        </w:trPr>
        <w:tc>
          <w:tcPr>
            <w:tcW w:w="0" w:type="auto"/>
            <w:tcBorders>
              <w:top w:val="nil"/>
              <w:left w:val="nil"/>
              <w:bottom w:val="nil"/>
              <w:right w:val="nil"/>
            </w:tcBorders>
            <w:shd w:val="clear" w:color="auto" w:fill="auto"/>
            <w:vAlign w:val="center"/>
            <w:hideMark/>
          </w:tcPr>
          <w:p w14:paraId="663D8784" w14:textId="252E72A8" w:rsidR="00DD27DB" w:rsidRPr="008F7C02" w:rsidRDefault="00DD27DB" w:rsidP="00CC5843">
            <w:pPr>
              <w:rPr>
                <w:lang w:eastAsia="en-CA"/>
              </w:rPr>
            </w:pPr>
            <w:r w:rsidRPr="008F7C02">
              <w:rPr>
                <w:lang w:eastAsia="en-CA"/>
              </w:rPr>
              <w:t>Employment [INC BIAS]</w:t>
            </w:r>
          </w:p>
        </w:tc>
        <w:tc>
          <w:tcPr>
            <w:tcW w:w="0" w:type="auto"/>
            <w:tcBorders>
              <w:top w:val="nil"/>
              <w:left w:val="nil"/>
              <w:bottom w:val="nil"/>
              <w:right w:val="nil"/>
            </w:tcBorders>
            <w:shd w:val="clear" w:color="auto" w:fill="auto"/>
            <w:vAlign w:val="bottom"/>
            <w:hideMark/>
          </w:tcPr>
          <w:p w14:paraId="6184C418" w14:textId="30C0E33D" w:rsidR="00DD27DB" w:rsidRPr="008F7C02" w:rsidRDefault="00DD27DB" w:rsidP="006530F0">
            <w:pPr>
              <w:jc w:val="center"/>
              <w:rPr>
                <w:lang w:eastAsia="en-CA"/>
              </w:rPr>
            </w:pPr>
            <w:r w:rsidRPr="008F7C02">
              <w:rPr>
                <w:lang w:eastAsia="en-CA"/>
              </w:rPr>
              <w:t>-0.35</w:t>
            </w:r>
            <w:r w:rsidR="004251D5" w:rsidRPr="008F7C02">
              <w:rPr>
                <w:lang w:eastAsia="en-CA"/>
              </w:rPr>
              <w:t>**</w:t>
            </w:r>
            <w:r w:rsidRPr="008F7C02">
              <w:rPr>
                <w:lang w:eastAsia="en-CA"/>
              </w:rPr>
              <w:br/>
              <w:t xml:space="preserve"> (-0.73, 0.05)</w:t>
            </w:r>
          </w:p>
        </w:tc>
        <w:tc>
          <w:tcPr>
            <w:tcW w:w="0" w:type="auto"/>
            <w:tcBorders>
              <w:top w:val="nil"/>
              <w:left w:val="nil"/>
              <w:bottom w:val="nil"/>
              <w:right w:val="nil"/>
            </w:tcBorders>
            <w:shd w:val="clear" w:color="auto" w:fill="auto"/>
            <w:vAlign w:val="bottom"/>
            <w:hideMark/>
          </w:tcPr>
          <w:p w14:paraId="3D63B133" w14:textId="77777777" w:rsidR="00DD27DB" w:rsidRPr="008F7C02" w:rsidRDefault="00DD27DB" w:rsidP="006530F0">
            <w:pPr>
              <w:jc w:val="center"/>
              <w:rPr>
                <w:lang w:eastAsia="en-CA"/>
              </w:rPr>
            </w:pPr>
            <w:r w:rsidRPr="008F7C02">
              <w:rPr>
                <w:lang w:eastAsia="en-CA"/>
              </w:rPr>
              <w:t>-0.54</w:t>
            </w:r>
            <w:r w:rsidRPr="008F7C02">
              <w:rPr>
                <w:lang w:eastAsia="en-CA"/>
              </w:rPr>
              <w:br/>
              <w:t xml:space="preserve"> (-1.18, 0.17)</w:t>
            </w:r>
          </w:p>
        </w:tc>
        <w:tc>
          <w:tcPr>
            <w:tcW w:w="0" w:type="auto"/>
            <w:tcBorders>
              <w:top w:val="nil"/>
              <w:left w:val="nil"/>
              <w:bottom w:val="nil"/>
              <w:right w:val="nil"/>
            </w:tcBorders>
            <w:shd w:val="clear" w:color="auto" w:fill="auto"/>
            <w:vAlign w:val="bottom"/>
            <w:hideMark/>
          </w:tcPr>
          <w:p w14:paraId="3491BB42" w14:textId="77777777" w:rsidR="00DD27DB" w:rsidRPr="008F7C02" w:rsidRDefault="00DD27DB" w:rsidP="006530F0">
            <w:pPr>
              <w:jc w:val="center"/>
              <w:rPr>
                <w:lang w:eastAsia="en-CA"/>
              </w:rPr>
            </w:pPr>
            <w:r w:rsidRPr="008F7C02">
              <w:rPr>
                <w:lang w:eastAsia="en-CA"/>
              </w:rPr>
              <w:t>-0.04</w:t>
            </w:r>
            <w:r w:rsidRPr="008F7C02">
              <w:rPr>
                <w:lang w:eastAsia="en-CA"/>
              </w:rPr>
              <w:br/>
              <w:t xml:space="preserve"> (-1.1, 0.98)</w:t>
            </w:r>
          </w:p>
        </w:tc>
        <w:tc>
          <w:tcPr>
            <w:tcW w:w="0" w:type="auto"/>
            <w:tcBorders>
              <w:top w:val="nil"/>
              <w:left w:val="nil"/>
              <w:bottom w:val="nil"/>
              <w:right w:val="nil"/>
            </w:tcBorders>
            <w:shd w:val="clear" w:color="auto" w:fill="auto"/>
            <w:vAlign w:val="bottom"/>
            <w:hideMark/>
          </w:tcPr>
          <w:p w14:paraId="55C9A2A0" w14:textId="77777777" w:rsidR="00DD27DB" w:rsidRPr="008F7C02" w:rsidRDefault="00DD27DB" w:rsidP="006530F0">
            <w:pPr>
              <w:jc w:val="center"/>
              <w:rPr>
                <w:lang w:eastAsia="en-CA"/>
              </w:rPr>
            </w:pPr>
            <w:r w:rsidRPr="008F7C02">
              <w:rPr>
                <w:lang w:eastAsia="en-CA"/>
              </w:rPr>
              <w:t>-0.26</w:t>
            </w:r>
            <w:r w:rsidRPr="008F7C02">
              <w:rPr>
                <w:lang w:eastAsia="en-CA"/>
              </w:rPr>
              <w:br/>
              <w:t xml:space="preserve"> (-1.45, 0.87)</w:t>
            </w:r>
          </w:p>
        </w:tc>
        <w:tc>
          <w:tcPr>
            <w:tcW w:w="0" w:type="auto"/>
            <w:tcBorders>
              <w:top w:val="nil"/>
              <w:left w:val="nil"/>
              <w:bottom w:val="nil"/>
              <w:right w:val="nil"/>
            </w:tcBorders>
            <w:shd w:val="clear" w:color="auto" w:fill="auto"/>
            <w:vAlign w:val="center"/>
            <w:hideMark/>
          </w:tcPr>
          <w:p w14:paraId="3370B130" w14:textId="7C547717" w:rsidR="00DD27DB" w:rsidRPr="008F7C02" w:rsidRDefault="00DD27DB" w:rsidP="006530F0">
            <w:pPr>
              <w:jc w:val="center"/>
              <w:rPr>
                <w:lang w:eastAsia="en-CA"/>
              </w:rPr>
            </w:pPr>
            <w:r w:rsidRPr="008F7C02">
              <w:rPr>
                <w:lang w:eastAsia="en-CA"/>
              </w:rPr>
              <w:t>-1.87</w:t>
            </w:r>
            <w:r w:rsidR="004251D5" w:rsidRPr="008F7C02">
              <w:rPr>
                <w:lang w:eastAsia="en-CA"/>
              </w:rPr>
              <w:t>***</w:t>
            </w:r>
            <w:r w:rsidRPr="008F7C02">
              <w:rPr>
                <w:lang w:eastAsia="en-CA"/>
              </w:rPr>
              <w:br/>
              <w:t xml:space="preserve"> (-3.16, -0.67)</w:t>
            </w:r>
          </w:p>
        </w:tc>
      </w:tr>
      <w:tr w:rsidR="00DD27DB" w:rsidRPr="00DD27DB" w14:paraId="447097F6" w14:textId="77777777" w:rsidTr="008F7C02">
        <w:trPr>
          <w:trHeight w:val="570"/>
        </w:trPr>
        <w:tc>
          <w:tcPr>
            <w:tcW w:w="0" w:type="auto"/>
            <w:tcBorders>
              <w:top w:val="nil"/>
              <w:left w:val="nil"/>
              <w:bottom w:val="nil"/>
              <w:right w:val="nil"/>
            </w:tcBorders>
            <w:shd w:val="clear" w:color="auto" w:fill="auto"/>
            <w:vAlign w:val="center"/>
            <w:hideMark/>
          </w:tcPr>
          <w:p w14:paraId="0DD9481C" w14:textId="01F162A3" w:rsidR="00DD27DB" w:rsidRPr="008F7C02" w:rsidRDefault="00DD27DB" w:rsidP="00CC5843">
            <w:pPr>
              <w:rPr>
                <w:lang w:eastAsia="en-CA"/>
              </w:rPr>
            </w:pPr>
            <w:r w:rsidRPr="008F7C02">
              <w:rPr>
                <w:lang w:eastAsia="en-CA"/>
              </w:rPr>
              <w:t>Employment [OPP BIAS]</w:t>
            </w:r>
          </w:p>
        </w:tc>
        <w:tc>
          <w:tcPr>
            <w:tcW w:w="0" w:type="auto"/>
            <w:tcBorders>
              <w:left w:val="nil"/>
            </w:tcBorders>
            <w:shd w:val="clear" w:color="auto" w:fill="auto"/>
            <w:vAlign w:val="bottom"/>
            <w:hideMark/>
          </w:tcPr>
          <w:p w14:paraId="63B01224" w14:textId="77777777" w:rsidR="00DD27DB" w:rsidRPr="008F7C02" w:rsidRDefault="00DD27DB" w:rsidP="006530F0">
            <w:pPr>
              <w:jc w:val="center"/>
              <w:rPr>
                <w:lang w:eastAsia="en-CA"/>
              </w:rPr>
            </w:pPr>
            <w:r w:rsidRPr="008F7C02">
              <w:rPr>
                <w:lang w:eastAsia="en-CA"/>
              </w:rPr>
              <w:t>-0.13</w:t>
            </w:r>
            <w:r w:rsidRPr="008F7C02">
              <w:rPr>
                <w:lang w:eastAsia="en-CA"/>
              </w:rPr>
              <w:br/>
              <w:t xml:space="preserve"> (-0.42, 0.2)</w:t>
            </w:r>
          </w:p>
        </w:tc>
        <w:tc>
          <w:tcPr>
            <w:tcW w:w="0" w:type="auto"/>
            <w:shd w:val="clear" w:color="auto" w:fill="auto"/>
            <w:vAlign w:val="bottom"/>
            <w:hideMark/>
          </w:tcPr>
          <w:p w14:paraId="74B4E337" w14:textId="77777777" w:rsidR="00DD27DB" w:rsidRPr="008F7C02" w:rsidRDefault="00DD27DB" w:rsidP="006530F0">
            <w:pPr>
              <w:jc w:val="center"/>
              <w:rPr>
                <w:lang w:eastAsia="en-CA"/>
              </w:rPr>
            </w:pPr>
            <w:r w:rsidRPr="008F7C02">
              <w:rPr>
                <w:lang w:eastAsia="en-CA"/>
              </w:rPr>
              <w:t>-0.26</w:t>
            </w:r>
            <w:r w:rsidRPr="008F7C02">
              <w:rPr>
                <w:lang w:eastAsia="en-CA"/>
              </w:rPr>
              <w:br/>
              <w:t xml:space="preserve"> (-0.82, 0.28)</w:t>
            </w:r>
          </w:p>
        </w:tc>
        <w:tc>
          <w:tcPr>
            <w:tcW w:w="0" w:type="auto"/>
            <w:shd w:val="clear" w:color="auto" w:fill="auto"/>
            <w:vAlign w:val="bottom"/>
            <w:hideMark/>
          </w:tcPr>
          <w:p w14:paraId="5A7DA3A6" w14:textId="77777777" w:rsidR="00DD27DB" w:rsidRPr="008F7C02" w:rsidRDefault="00DD27DB" w:rsidP="006530F0">
            <w:pPr>
              <w:jc w:val="center"/>
              <w:rPr>
                <w:lang w:eastAsia="en-CA"/>
              </w:rPr>
            </w:pPr>
            <w:r w:rsidRPr="008F7C02">
              <w:rPr>
                <w:lang w:eastAsia="en-CA"/>
              </w:rPr>
              <w:t>-0.28</w:t>
            </w:r>
            <w:r w:rsidRPr="008F7C02">
              <w:rPr>
                <w:lang w:eastAsia="en-CA"/>
              </w:rPr>
              <w:br/>
              <w:t xml:space="preserve"> (-1.13, 0.55)</w:t>
            </w:r>
          </w:p>
        </w:tc>
        <w:tc>
          <w:tcPr>
            <w:tcW w:w="0" w:type="auto"/>
            <w:shd w:val="clear" w:color="auto" w:fill="auto"/>
            <w:vAlign w:val="bottom"/>
            <w:hideMark/>
          </w:tcPr>
          <w:p w14:paraId="20FBFC16" w14:textId="77777777" w:rsidR="00DD27DB" w:rsidRPr="008F7C02" w:rsidRDefault="00DD27DB" w:rsidP="006530F0">
            <w:pPr>
              <w:jc w:val="center"/>
              <w:rPr>
                <w:lang w:eastAsia="en-CA"/>
              </w:rPr>
            </w:pPr>
            <w:r w:rsidRPr="008F7C02">
              <w:rPr>
                <w:lang w:eastAsia="en-CA"/>
              </w:rPr>
              <w:t>-0.15</w:t>
            </w:r>
            <w:r w:rsidRPr="008F7C02">
              <w:rPr>
                <w:lang w:eastAsia="en-CA"/>
              </w:rPr>
              <w:br/>
              <w:t xml:space="preserve"> (-1.32, 0.87)</w:t>
            </w:r>
          </w:p>
        </w:tc>
        <w:tc>
          <w:tcPr>
            <w:tcW w:w="0" w:type="auto"/>
            <w:shd w:val="clear" w:color="auto" w:fill="auto"/>
            <w:vAlign w:val="center"/>
            <w:hideMark/>
          </w:tcPr>
          <w:p w14:paraId="7E02973A" w14:textId="49224CC6" w:rsidR="00DD27DB" w:rsidRPr="008F7C02" w:rsidRDefault="00DD27DB" w:rsidP="006530F0">
            <w:pPr>
              <w:jc w:val="center"/>
              <w:rPr>
                <w:lang w:eastAsia="en-CA"/>
              </w:rPr>
            </w:pPr>
            <w:r w:rsidRPr="008F7C02">
              <w:rPr>
                <w:lang w:eastAsia="en-CA"/>
              </w:rPr>
              <w:t>-0.78</w:t>
            </w:r>
            <w:r w:rsidR="004251D5" w:rsidRPr="008F7C02">
              <w:rPr>
                <w:lang w:eastAsia="en-CA"/>
              </w:rPr>
              <w:t>*</w:t>
            </w:r>
            <w:r w:rsidRPr="008F7C02">
              <w:rPr>
                <w:lang w:eastAsia="en-CA"/>
              </w:rPr>
              <w:br/>
              <w:t xml:space="preserve"> (-2, 0.46)</w:t>
            </w:r>
          </w:p>
        </w:tc>
      </w:tr>
      <w:tr w:rsidR="00DD27DB" w:rsidRPr="00DD27DB" w14:paraId="4417694F" w14:textId="77777777" w:rsidTr="008F7C02">
        <w:trPr>
          <w:trHeight w:val="576"/>
        </w:trPr>
        <w:tc>
          <w:tcPr>
            <w:tcW w:w="0" w:type="auto"/>
            <w:tcBorders>
              <w:top w:val="nil"/>
              <w:left w:val="nil"/>
              <w:bottom w:val="nil"/>
            </w:tcBorders>
            <w:shd w:val="clear" w:color="auto" w:fill="auto"/>
            <w:vAlign w:val="center"/>
            <w:hideMark/>
          </w:tcPr>
          <w:p w14:paraId="2E829701" w14:textId="77777777" w:rsidR="00DD27DB" w:rsidRPr="008F7C02" w:rsidRDefault="00DD27DB" w:rsidP="006530F0">
            <w:pPr>
              <w:rPr>
                <w:b/>
                <w:bCs/>
                <w:lang w:eastAsia="en-CA"/>
              </w:rPr>
            </w:pPr>
            <w:r w:rsidRPr="008F7C02">
              <w:rPr>
                <w:b/>
                <w:bCs/>
                <w:lang w:eastAsia="en-CA"/>
              </w:rPr>
              <w:t>Employment  [PID BIAS]</w:t>
            </w:r>
          </w:p>
        </w:tc>
        <w:tc>
          <w:tcPr>
            <w:tcW w:w="0" w:type="auto"/>
            <w:shd w:val="clear" w:color="auto" w:fill="auto"/>
            <w:vAlign w:val="bottom"/>
            <w:hideMark/>
          </w:tcPr>
          <w:p w14:paraId="62E7C4A6" w14:textId="6A4A8D79" w:rsidR="00DD27DB" w:rsidRPr="008F7C02" w:rsidRDefault="00DD27DB" w:rsidP="006530F0">
            <w:pPr>
              <w:jc w:val="center"/>
              <w:rPr>
                <w:lang w:eastAsia="en-CA"/>
              </w:rPr>
            </w:pPr>
            <w:r w:rsidRPr="008F7C02">
              <w:rPr>
                <w:lang w:eastAsia="en-CA"/>
              </w:rPr>
              <w:t>-0.22</w:t>
            </w:r>
            <w:r w:rsidR="004251D5" w:rsidRPr="008F7C02">
              <w:rPr>
                <w:lang w:eastAsia="en-CA"/>
              </w:rPr>
              <w:t>*</w:t>
            </w:r>
            <w:r w:rsidRPr="008F7C02">
              <w:rPr>
                <w:lang w:eastAsia="en-CA"/>
              </w:rPr>
              <w:br/>
              <w:t xml:space="preserve"> (-0.56, 0.11)</w:t>
            </w:r>
          </w:p>
        </w:tc>
        <w:tc>
          <w:tcPr>
            <w:tcW w:w="0" w:type="auto"/>
            <w:shd w:val="clear" w:color="auto" w:fill="auto"/>
            <w:vAlign w:val="bottom"/>
            <w:hideMark/>
          </w:tcPr>
          <w:p w14:paraId="706FF27D" w14:textId="77777777" w:rsidR="00DD27DB" w:rsidRPr="008F7C02" w:rsidRDefault="00DD27DB" w:rsidP="006530F0">
            <w:pPr>
              <w:jc w:val="center"/>
              <w:rPr>
                <w:lang w:eastAsia="en-CA"/>
              </w:rPr>
            </w:pPr>
            <w:r w:rsidRPr="008F7C02">
              <w:rPr>
                <w:lang w:eastAsia="en-CA"/>
              </w:rPr>
              <w:t>-0.27</w:t>
            </w:r>
            <w:r w:rsidRPr="008F7C02">
              <w:rPr>
                <w:lang w:eastAsia="en-CA"/>
              </w:rPr>
              <w:br/>
              <w:t xml:space="preserve"> (-0.88, 0.36)</w:t>
            </w:r>
          </w:p>
        </w:tc>
        <w:tc>
          <w:tcPr>
            <w:tcW w:w="0" w:type="auto"/>
            <w:shd w:val="clear" w:color="auto" w:fill="auto"/>
            <w:vAlign w:val="bottom"/>
            <w:hideMark/>
          </w:tcPr>
          <w:p w14:paraId="11B68B9E" w14:textId="77777777" w:rsidR="00DD27DB" w:rsidRPr="008F7C02" w:rsidRDefault="00DD27DB" w:rsidP="006530F0">
            <w:pPr>
              <w:jc w:val="center"/>
              <w:rPr>
                <w:lang w:eastAsia="en-CA"/>
              </w:rPr>
            </w:pPr>
            <w:r w:rsidRPr="008F7C02">
              <w:rPr>
                <w:lang w:eastAsia="en-CA"/>
              </w:rPr>
              <w:t>0.22</w:t>
            </w:r>
            <w:r w:rsidRPr="008F7C02">
              <w:rPr>
                <w:lang w:eastAsia="en-CA"/>
              </w:rPr>
              <w:br/>
              <w:t xml:space="preserve"> (-0.82, 1.27)</w:t>
            </w:r>
          </w:p>
        </w:tc>
        <w:tc>
          <w:tcPr>
            <w:tcW w:w="0" w:type="auto"/>
            <w:shd w:val="clear" w:color="auto" w:fill="auto"/>
            <w:vAlign w:val="bottom"/>
            <w:hideMark/>
          </w:tcPr>
          <w:p w14:paraId="2316D696" w14:textId="77777777" w:rsidR="00DD27DB" w:rsidRPr="008F7C02" w:rsidRDefault="00DD27DB" w:rsidP="006530F0">
            <w:pPr>
              <w:jc w:val="center"/>
              <w:rPr>
                <w:lang w:eastAsia="en-CA"/>
              </w:rPr>
            </w:pPr>
            <w:r w:rsidRPr="008F7C02">
              <w:rPr>
                <w:lang w:eastAsia="en-CA"/>
              </w:rPr>
              <w:t>-0.11</w:t>
            </w:r>
            <w:r w:rsidRPr="008F7C02">
              <w:rPr>
                <w:lang w:eastAsia="en-CA"/>
              </w:rPr>
              <w:br/>
              <w:t xml:space="preserve"> (-1.33, 1.16)</w:t>
            </w:r>
          </w:p>
        </w:tc>
        <w:tc>
          <w:tcPr>
            <w:tcW w:w="0" w:type="auto"/>
            <w:tcBorders>
              <w:right w:val="nil"/>
            </w:tcBorders>
            <w:shd w:val="clear" w:color="auto" w:fill="auto"/>
            <w:vAlign w:val="center"/>
            <w:hideMark/>
          </w:tcPr>
          <w:p w14:paraId="3E32F615" w14:textId="6B0578B1" w:rsidR="00DD27DB" w:rsidRPr="008F7C02" w:rsidRDefault="00DD27DB" w:rsidP="006530F0">
            <w:pPr>
              <w:jc w:val="center"/>
              <w:rPr>
                <w:lang w:eastAsia="en-CA"/>
              </w:rPr>
            </w:pPr>
            <w:r w:rsidRPr="008F7C02">
              <w:rPr>
                <w:lang w:eastAsia="en-CA"/>
              </w:rPr>
              <w:t>-1.11</w:t>
            </w:r>
            <w:r w:rsidR="004251D5" w:rsidRPr="008F7C02">
              <w:rPr>
                <w:lang w:eastAsia="en-CA"/>
              </w:rPr>
              <w:t>**</w:t>
            </w:r>
            <w:r w:rsidRPr="008F7C02">
              <w:rPr>
                <w:lang w:eastAsia="en-CA"/>
              </w:rPr>
              <w:br/>
              <w:t xml:space="preserve"> (-2.3, 0.11)</w:t>
            </w:r>
          </w:p>
        </w:tc>
      </w:tr>
      <w:tr w:rsidR="00DD27DB" w:rsidRPr="00DD27DB" w14:paraId="6D5F9A19" w14:textId="77777777" w:rsidTr="008F7C02">
        <w:trPr>
          <w:trHeight w:val="570"/>
        </w:trPr>
        <w:tc>
          <w:tcPr>
            <w:tcW w:w="0" w:type="auto"/>
            <w:tcBorders>
              <w:top w:val="nil"/>
              <w:left w:val="nil"/>
              <w:bottom w:val="nil"/>
              <w:right w:val="nil"/>
            </w:tcBorders>
            <w:shd w:val="clear" w:color="auto" w:fill="auto"/>
            <w:vAlign w:val="center"/>
            <w:hideMark/>
          </w:tcPr>
          <w:p w14:paraId="512FC1D5" w14:textId="093C3870" w:rsidR="00DD27DB" w:rsidRPr="008F7C02" w:rsidRDefault="00DD27DB" w:rsidP="00CC5843">
            <w:pPr>
              <w:rPr>
                <w:lang w:eastAsia="en-CA"/>
              </w:rPr>
            </w:pPr>
            <w:r w:rsidRPr="008F7C02">
              <w:rPr>
                <w:lang w:eastAsia="en-CA"/>
              </w:rPr>
              <w:t>Intensity [INC BIAS]</w:t>
            </w:r>
          </w:p>
        </w:tc>
        <w:tc>
          <w:tcPr>
            <w:tcW w:w="0" w:type="auto"/>
            <w:tcBorders>
              <w:left w:val="nil"/>
              <w:bottom w:val="nil"/>
              <w:right w:val="nil"/>
            </w:tcBorders>
            <w:shd w:val="clear" w:color="auto" w:fill="auto"/>
            <w:vAlign w:val="bottom"/>
            <w:hideMark/>
          </w:tcPr>
          <w:p w14:paraId="302BE2D2"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left w:val="nil"/>
              <w:bottom w:val="nil"/>
              <w:right w:val="nil"/>
            </w:tcBorders>
            <w:shd w:val="clear" w:color="auto" w:fill="auto"/>
            <w:vAlign w:val="bottom"/>
            <w:hideMark/>
          </w:tcPr>
          <w:p w14:paraId="1EA94EFC"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left w:val="nil"/>
              <w:bottom w:val="nil"/>
              <w:right w:val="nil"/>
            </w:tcBorders>
            <w:shd w:val="clear" w:color="auto" w:fill="auto"/>
            <w:vAlign w:val="bottom"/>
            <w:hideMark/>
          </w:tcPr>
          <w:p w14:paraId="6047D1F7"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left w:val="nil"/>
              <w:bottom w:val="nil"/>
              <w:right w:val="nil"/>
            </w:tcBorders>
            <w:shd w:val="clear" w:color="auto" w:fill="auto"/>
            <w:vAlign w:val="bottom"/>
            <w:hideMark/>
          </w:tcPr>
          <w:p w14:paraId="3E4EE851"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left w:val="nil"/>
              <w:bottom w:val="nil"/>
              <w:right w:val="nil"/>
            </w:tcBorders>
            <w:shd w:val="clear" w:color="auto" w:fill="auto"/>
            <w:vAlign w:val="center"/>
            <w:hideMark/>
          </w:tcPr>
          <w:p w14:paraId="7433415E"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r>
      <w:tr w:rsidR="00DD27DB" w:rsidRPr="00DD27DB" w14:paraId="592CB380" w14:textId="77777777" w:rsidTr="008F7C02">
        <w:trPr>
          <w:trHeight w:val="570"/>
        </w:trPr>
        <w:tc>
          <w:tcPr>
            <w:tcW w:w="0" w:type="auto"/>
            <w:tcBorders>
              <w:top w:val="nil"/>
              <w:left w:val="nil"/>
              <w:bottom w:val="nil"/>
              <w:right w:val="nil"/>
            </w:tcBorders>
            <w:shd w:val="clear" w:color="auto" w:fill="auto"/>
            <w:vAlign w:val="center"/>
            <w:hideMark/>
          </w:tcPr>
          <w:p w14:paraId="07A7A0F4" w14:textId="664DCDF1" w:rsidR="00DD27DB" w:rsidRPr="008F7C02" w:rsidRDefault="00DD27DB" w:rsidP="00CC5843">
            <w:pPr>
              <w:rPr>
                <w:lang w:eastAsia="en-CA"/>
              </w:rPr>
            </w:pPr>
            <w:r w:rsidRPr="008F7C02">
              <w:rPr>
                <w:lang w:eastAsia="en-CA"/>
              </w:rPr>
              <w:t>Intensity [OPP BIAS]</w:t>
            </w:r>
          </w:p>
        </w:tc>
        <w:tc>
          <w:tcPr>
            <w:tcW w:w="0" w:type="auto"/>
            <w:tcBorders>
              <w:top w:val="nil"/>
              <w:left w:val="nil"/>
              <w:bottom w:val="nil"/>
              <w:right w:val="nil"/>
            </w:tcBorders>
            <w:shd w:val="clear" w:color="auto" w:fill="auto"/>
            <w:vAlign w:val="bottom"/>
            <w:hideMark/>
          </w:tcPr>
          <w:p w14:paraId="44D66B76"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70E557E5"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2969D7B7"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5C855421"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center"/>
            <w:hideMark/>
          </w:tcPr>
          <w:p w14:paraId="01F96F3A" w14:textId="77777777" w:rsidR="00DD27DB" w:rsidRPr="008F7C02" w:rsidRDefault="00DD27DB" w:rsidP="006530F0">
            <w:pPr>
              <w:jc w:val="center"/>
              <w:rPr>
                <w:lang w:eastAsia="en-CA"/>
              </w:rPr>
            </w:pPr>
            <w:r w:rsidRPr="008F7C02">
              <w:rPr>
                <w:lang w:eastAsia="en-CA"/>
              </w:rPr>
              <w:t>0</w:t>
            </w:r>
            <w:r w:rsidRPr="008F7C02">
              <w:rPr>
                <w:lang w:eastAsia="en-CA"/>
              </w:rPr>
              <w:br/>
              <w:t xml:space="preserve"> (0, 0)</w:t>
            </w:r>
          </w:p>
        </w:tc>
      </w:tr>
      <w:tr w:rsidR="00DD27DB" w:rsidRPr="00DD27DB" w14:paraId="26933252" w14:textId="77777777" w:rsidTr="008F7C02">
        <w:trPr>
          <w:trHeight w:val="294"/>
        </w:trPr>
        <w:tc>
          <w:tcPr>
            <w:tcW w:w="0" w:type="auto"/>
            <w:tcBorders>
              <w:top w:val="nil"/>
              <w:left w:val="nil"/>
              <w:bottom w:val="single" w:sz="12" w:space="0" w:color="auto"/>
              <w:right w:val="nil"/>
            </w:tcBorders>
            <w:shd w:val="clear" w:color="auto" w:fill="auto"/>
            <w:vAlign w:val="center"/>
            <w:hideMark/>
          </w:tcPr>
          <w:p w14:paraId="22EF0E85" w14:textId="77777777" w:rsidR="00DD27DB" w:rsidRPr="008F7C02" w:rsidRDefault="00DD27DB" w:rsidP="006530F0">
            <w:pPr>
              <w:rPr>
                <w:lang w:eastAsia="en-CA"/>
              </w:rPr>
            </w:pPr>
            <w:r w:rsidRPr="008F7C02">
              <w:rPr>
                <w:lang w:eastAsia="en-CA"/>
              </w:rPr>
              <w:t>DIC</w:t>
            </w:r>
          </w:p>
        </w:tc>
        <w:tc>
          <w:tcPr>
            <w:tcW w:w="0" w:type="auto"/>
            <w:tcBorders>
              <w:top w:val="nil"/>
              <w:left w:val="nil"/>
              <w:bottom w:val="single" w:sz="12" w:space="0" w:color="auto"/>
              <w:right w:val="nil"/>
            </w:tcBorders>
            <w:shd w:val="clear" w:color="auto" w:fill="auto"/>
            <w:vAlign w:val="center"/>
            <w:hideMark/>
          </w:tcPr>
          <w:p w14:paraId="480CC6B4" w14:textId="77777777" w:rsidR="00DD27DB" w:rsidRPr="008F7C02" w:rsidRDefault="00DD27DB" w:rsidP="006530F0">
            <w:pPr>
              <w:jc w:val="center"/>
              <w:rPr>
                <w:lang w:eastAsia="en-CA"/>
              </w:rPr>
            </w:pPr>
            <w:r w:rsidRPr="008F7C02">
              <w:rPr>
                <w:lang w:eastAsia="en-CA"/>
              </w:rPr>
              <w:t>3505.56</w:t>
            </w:r>
          </w:p>
        </w:tc>
        <w:tc>
          <w:tcPr>
            <w:tcW w:w="0" w:type="auto"/>
            <w:tcBorders>
              <w:top w:val="nil"/>
              <w:left w:val="nil"/>
              <w:bottom w:val="single" w:sz="12" w:space="0" w:color="auto"/>
              <w:right w:val="nil"/>
            </w:tcBorders>
            <w:shd w:val="clear" w:color="auto" w:fill="auto"/>
            <w:vAlign w:val="center"/>
            <w:hideMark/>
          </w:tcPr>
          <w:p w14:paraId="2D2FBEAF" w14:textId="77777777" w:rsidR="00DD27DB" w:rsidRPr="008F7C02" w:rsidRDefault="00DD27DB" w:rsidP="006530F0">
            <w:pPr>
              <w:jc w:val="center"/>
              <w:rPr>
                <w:lang w:eastAsia="en-CA"/>
              </w:rPr>
            </w:pPr>
            <w:r w:rsidRPr="008F7C02">
              <w:rPr>
                <w:lang w:eastAsia="en-CA"/>
              </w:rPr>
              <w:t>34091.4</w:t>
            </w:r>
          </w:p>
        </w:tc>
        <w:tc>
          <w:tcPr>
            <w:tcW w:w="0" w:type="auto"/>
            <w:tcBorders>
              <w:top w:val="nil"/>
              <w:left w:val="nil"/>
              <w:bottom w:val="single" w:sz="12" w:space="0" w:color="auto"/>
              <w:right w:val="nil"/>
            </w:tcBorders>
            <w:shd w:val="clear" w:color="auto" w:fill="auto"/>
            <w:vAlign w:val="center"/>
            <w:hideMark/>
          </w:tcPr>
          <w:p w14:paraId="1BB30A81" w14:textId="77777777" w:rsidR="00DD27DB" w:rsidRPr="008F7C02" w:rsidRDefault="00DD27DB" w:rsidP="006530F0">
            <w:pPr>
              <w:jc w:val="center"/>
              <w:rPr>
                <w:lang w:eastAsia="en-CA"/>
              </w:rPr>
            </w:pPr>
            <w:r w:rsidRPr="008F7C02">
              <w:rPr>
                <w:lang w:eastAsia="en-CA"/>
              </w:rPr>
              <w:t>30966.9</w:t>
            </w:r>
          </w:p>
        </w:tc>
        <w:tc>
          <w:tcPr>
            <w:tcW w:w="0" w:type="auto"/>
            <w:tcBorders>
              <w:top w:val="nil"/>
              <w:left w:val="nil"/>
              <w:bottom w:val="single" w:sz="12" w:space="0" w:color="auto"/>
              <w:right w:val="nil"/>
            </w:tcBorders>
            <w:shd w:val="clear" w:color="auto" w:fill="auto"/>
            <w:vAlign w:val="center"/>
            <w:hideMark/>
          </w:tcPr>
          <w:p w14:paraId="3EA6C2EA" w14:textId="77777777" w:rsidR="00DD27DB" w:rsidRPr="008F7C02" w:rsidRDefault="00DD27DB" w:rsidP="006530F0">
            <w:pPr>
              <w:jc w:val="center"/>
              <w:rPr>
                <w:lang w:eastAsia="en-CA"/>
              </w:rPr>
            </w:pPr>
            <w:r w:rsidRPr="008F7C02">
              <w:rPr>
                <w:lang w:eastAsia="en-CA"/>
              </w:rPr>
              <w:t>30966.9</w:t>
            </w:r>
          </w:p>
        </w:tc>
        <w:tc>
          <w:tcPr>
            <w:tcW w:w="0" w:type="auto"/>
            <w:tcBorders>
              <w:top w:val="nil"/>
              <w:left w:val="nil"/>
              <w:bottom w:val="single" w:sz="12" w:space="0" w:color="auto"/>
              <w:right w:val="nil"/>
            </w:tcBorders>
            <w:shd w:val="clear" w:color="auto" w:fill="auto"/>
            <w:vAlign w:val="center"/>
            <w:hideMark/>
          </w:tcPr>
          <w:p w14:paraId="1E9072DC" w14:textId="77777777" w:rsidR="00DD27DB" w:rsidRPr="008F7C02" w:rsidRDefault="00DD27DB" w:rsidP="006530F0">
            <w:pPr>
              <w:jc w:val="center"/>
              <w:rPr>
                <w:lang w:eastAsia="en-CA"/>
              </w:rPr>
            </w:pPr>
            <w:r w:rsidRPr="008F7C02">
              <w:rPr>
                <w:lang w:eastAsia="en-CA"/>
              </w:rPr>
              <w:t>31143.4</w:t>
            </w:r>
          </w:p>
        </w:tc>
      </w:tr>
      <w:tr w:rsidR="00DD27DB" w:rsidRPr="00DD27DB" w14:paraId="282B4CAA" w14:textId="77777777" w:rsidTr="008F7C02">
        <w:trPr>
          <w:trHeight w:val="300"/>
        </w:trPr>
        <w:tc>
          <w:tcPr>
            <w:tcW w:w="0" w:type="auto"/>
            <w:tcBorders>
              <w:top w:val="nil"/>
              <w:left w:val="nil"/>
              <w:bottom w:val="nil"/>
              <w:right w:val="nil"/>
            </w:tcBorders>
            <w:shd w:val="clear" w:color="auto" w:fill="auto"/>
            <w:vAlign w:val="center"/>
            <w:hideMark/>
          </w:tcPr>
          <w:p w14:paraId="77FE49CE" w14:textId="77777777" w:rsidR="00DD27DB" w:rsidRPr="008F7C02" w:rsidRDefault="00DD27DB" w:rsidP="006530F0">
            <w:pPr>
              <w:rPr>
                <w:color w:val="000000"/>
                <w:lang w:eastAsia="en-CA"/>
              </w:rPr>
            </w:pPr>
          </w:p>
        </w:tc>
        <w:tc>
          <w:tcPr>
            <w:tcW w:w="0" w:type="auto"/>
            <w:tcBorders>
              <w:top w:val="nil"/>
              <w:left w:val="nil"/>
              <w:bottom w:val="nil"/>
              <w:right w:val="nil"/>
            </w:tcBorders>
            <w:shd w:val="clear" w:color="auto" w:fill="auto"/>
            <w:noWrap/>
            <w:vAlign w:val="bottom"/>
            <w:hideMark/>
          </w:tcPr>
          <w:p w14:paraId="716251C1" w14:textId="77777777" w:rsidR="00DD27DB" w:rsidRPr="008F7C02" w:rsidRDefault="00DD27DB" w:rsidP="006530F0">
            <w:pPr>
              <w:rPr>
                <w:color w:val="000000"/>
                <w:lang w:eastAsia="en-CA"/>
              </w:rPr>
            </w:pPr>
          </w:p>
        </w:tc>
        <w:tc>
          <w:tcPr>
            <w:tcW w:w="0" w:type="auto"/>
            <w:tcBorders>
              <w:top w:val="nil"/>
              <w:left w:val="nil"/>
              <w:bottom w:val="nil"/>
              <w:right w:val="nil"/>
            </w:tcBorders>
            <w:shd w:val="clear" w:color="auto" w:fill="auto"/>
            <w:noWrap/>
            <w:vAlign w:val="bottom"/>
            <w:hideMark/>
          </w:tcPr>
          <w:p w14:paraId="63E744EF" w14:textId="77777777" w:rsidR="00DD27DB" w:rsidRPr="008F7C02" w:rsidRDefault="00DD27DB" w:rsidP="006530F0">
            <w:pPr>
              <w:rPr>
                <w:color w:val="000000"/>
                <w:lang w:eastAsia="en-CA"/>
              </w:rPr>
            </w:pPr>
          </w:p>
        </w:tc>
        <w:tc>
          <w:tcPr>
            <w:tcW w:w="0" w:type="auto"/>
            <w:tcBorders>
              <w:top w:val="nil"/>
              <w:left w:val="nil"/>
              <w:bottom w:val="nil"/>
              <w:right w:val="nil"/>
            </w:tcBorders>
            <w:shd w:val="clear" w:color="auto" w:fill="auto"/>
            <w:noWrap/>
            <w:vAlign w:val="bottom"/>
            <w:hideMark/>
          </w:tcPr>
          <w:p w14:paraId="3A4C6D5A" w14:textId="77777777" w:rsidR="00DD27DB" w:rsidRPr="008F7C02" w:rsidRDefault="00DD27DB" w:rsidP="006530F0">
            <w:pPr>
              <w:rPr>
                <w:color w:val="000000"/>
                <w:lang w:eastAsia="en-CA"/>
              </w:rPr>
            </w:pPr>
          </w:p>
        </w:tc>
        <w:tc>
          <w:tcPr>
            <w:tcW w:w="0" w:type="auto"/>
            <w:tcBorders>
              <w:top w:val="nil"/>
              <w:left w:val="nil"/>
              <w:bottom w:val="nil"/>
              <w:right w:val="nil"/>
            </w:tcBorders>
            <w:shd w:val="clear" w:color="auto" w:fill="auto"/>
            <w:noWrap/>
            <w:vAlign w:val="bottom"/>
            <w:hideMark/>
          </w:tcPr>
          <w:p w14:paraId="210BD816" w14:textId="77777777" w:rsidR="00DD27DB" w:rsidRPr="008F7C02" w:rsidRDefault="00DD27DB" w:rsidP="006530F0">
            <w:pPr>
              <w:rPr>
                <w:color w:val="000000"/>
                <w:lang w:eastAsia="en-CA"/>
              </w:rPr>
            </w:pPr>
          </w:p>
        </w:tc>
        <w:tc>
          <w:tcPr>
            <w:tcW w:w="0" w:type="auto"/>
            <w:tcBorders>
              <w:top w:val="nil"/>
              <w:left w:val="nil"/>
              <w:bottom w:val="nil"/>
              <w:right w:val="nil"/>
            </w:tcBorders>
            <w:shd w:val="clear" w:color="auto" w:fill="auto"/>
            <w:noWrap/>
            <w:vAlign w:val="bottom"/>
            <w:hideMark/>
          </w:tcPr>
          <w:p w14:paraId="5E6D74EB" w14:textId="77777777" w:rsidR="00DD27DB" w:rsidRPr="008F7C02" w:rsidRDefault="00DD27DB" w:rsidP="006530F0">
            <w:pPr>
              <w:rPr>
                <w:color w:val="000000"/>
                <w:lang w:eastAsia="en-CA"/>
              </w:rPr>
            </w:pPr>
          </w:p>
        </w:tc>
      </w:tr>
    </w:tbl>
    <w:p w14:paraId="1BEBA6E8" w14:textId="77777777" w:rsidR="00DD27DB" w:rsidRPr="00DD27DB" w:rsidRDefault="00DD27DB" w:rsidP="00DD27DB"/>
    <w:p w14:paraId="7B63A047" w14:textId="1ABC3B39" w:rsidR="00057FE6" w:rsidRDefault="00DD32CF" w:rsidP="00FC6C8F">
      <w:pPr>
        <w:rPr>
          <w:lang w:eastAsia="en-CA"/>
        </w:rPr>
      </w:pPr>
      <w:r>
        <w:rPr>
          <w:color w:val="000000"/>
          <w:lang w:eastAsia="en-CA"/>
        </w:rPr>
        <w:t xml:space="preserve">Notes: (a) </w:t>
      </w:r>
      <w:r w:rsidRPr="008F7C02">
        <w:rPr>
          <w:lang w:eastAsia="en-CA"/>
        </w:rPr>
        <w:t>***95% CI</w:t>
      </w:r>
      <w:r>
        <w:rPr>
          <w:lang w:eastAsia="en-CA"/>
        </w:rPr>
        <w:t xml:space="preserve">, </w:t>
      </w:r>
      <w:r w:rsidRPr="008F7C02">
        <w:rPr>
          <w:lang w:eastAsia="en-CA"/>
        </w:rPr>
        <w:t>**90% CI</w:t>
      </w:r>
      <w:r>
        <w:rPr>
          <w:lang w:eastAsia="en-CA"/>
        </w:rPr>
        <w:t xml:space="preserve">, </w:t>
      </w:r>
      <w:r w:rsidRPr="008F7C02">
        <w:rPr>
          <w:lang w:eastAsia="en-CA"/>
        </w:rPr>
        <w:t>*80% CI</w:t>
      </w:r>
      <w:r>
        <w:rPr>
          <w:lang w:eastAsia="en-CA"/>
        </w:rPr>
        <w:t xml:space="preserve">; (b) models include control variables, described in appendix; (c) DIC = Deviance Information Criterion, </w:t>
      </w:r>
      <w:r w:rsidR="00D57635">
        <w:rPr>
          <w:lang w:eastAsia="en-CA"/>
        </w:rPr>
        <w:t xml:space="preserve">which is </w:t>
      </w:r>
      <w:r>
        <w:rPr>
          <w:lang w:eastAsia="en-CA"/>
        </w:rPr>
        <w:t>used to compare models with alternate specifications in the appendix.</w:t>
      </w:r>
    </w:p>
    <w:p w14:paraId="25674961" w14:textId="77777777" w:rsidR="00FC6C8F" w:rsidRDefault="00FC6C8F" w:rsidP="00DD27DB"/>
    <w:p w14:paraId="3A6EE5AD" w14:textId="77777777" w:rsidR="00DD27DB" w:rsidRDefault="00DD27DB" w:rsidP="00DD27DB">
      <w:r w:rsidRPr="00DD27DB">
        <w:br w:type="page"/>
      </w:r>
    </w:p>
    <w:p w14:paraId="2CB92609" w14:textId="19088465" w:rsidR="00DD27DB" w:rsidRPr="00CC5843" w:rsidRDefault="00A43902">
      <w:r>
        <w:rPr>
          <w:color w:val="000000"/>
          <w:lang w:eastAsia="en-CA"/>
        </w:rPr>
        <w:lastRenderedPageBreak/>
        <w:t>Table C</w:t>
      </w:r>
      <w:r w:rsidR="00DD27DB">
        <w:rPr>
          <w:color w:val="000000"/>
          <w:lang w:eastAsia="en-CA"/>
        </w:rPr>
        <w:t>3</w:t>
      </w:r>
      <w:r w:rsidR="006E4E8D">
        <w:rPr>
          <w:color w:val="000000"/>
          <w:lang w:eastAsia="en-CA"/>
        </w:rPr>
        <w:t>.</w:t>
      </w:r>
      <w:r w:rsidR="00DD27DB" w:rsidRPr="008407EA">
        <w:rPr>
          <w:color w:val="000000"/>
          <w:lang w:eastAsia="en-CA"/>
        </w:rPr>
        <w:t xml:space="preserve"> </w:t>
      </w:r>
      <w:r w:rsidR="00DD27DB" w:rsidRPr="008407EA">
        <w:rPr>
          <w:bCs/>
          <w:color w:val="000000"/>
          <w:lang w:eastAsia="en-CA"/>
        </w:rPr>
        <w:t>Lag of Media</w:t>
      </w:r>
    </w:p>
    <w:tbl>
      <w:tblPr>
        <w:tblW w:w="0" w:type="auto"/>
        <w:tblInd w:w="93" w:type="dxa"/>
        <w:tblLook w:val="04A0" w:firstRow="1" w:lastRow="0" w:firstColumn="1" w:lastColumn="0" w:noHBand="0" w:noVBand="1"/>
      </w:tblPr>
      <w:tblGrid>
        <w:gridCol w:w="2850"/>
        <w:gridCol w:w="1556"/>
        <w:gridCol w:w="1476"/>
        <w:gridCol w:w="1476"/>
        <w:gridCol w:w="1476"/>
        <w:gridCol w:w="1556"/>
      </w:tblGrid>
      <w:tr w:rsidR="00DD27DB" w:rsidRPr="00DD27DB" w14:paraId="63A42999" w14:textId="77777777" w:rsidTr="008F7C02">
        <w:trPr>
          <w:trHeight w:val="312"/>
        </w:trPr>
        <w:tc>
          <w:tcPr>
            <w:tcW w:w="0" w:type="auto"/>
            <w:tcBorders>
              <w:top w:val="single" w:sz="12" w:space="0" w:color="auto"/>
              <w:left w:val="nil"/>
              <w:bottom w:val="single" w:sz="8" w:space="0" w:color="auto"/>
              <w:right w:val="nil"/>
            </w:tcBorders>
            <w:shd w:val="clear" w:color="auto" w:fill="auto"/>
            <w:vAlign w:val="center"/>
            <w:hideMark/>
          </w:tcPr>
          <w:p w14:paraId="767BDD4E" w14:textId="77777777" w:rsidR="00DD27DB" w:rsidRPr="008F7C02" w:rsidRDefault="00DD27DB">
            <w:pPr>
              <w:rPr>
                <w:color w:val="000000"/>
                <w:lang w:eastAsia="en-CA"/>
              </w:rPr>
            </w:pPr>
            <w:r w:rsidRPr="008F7C02">
              <w:rPr>
                <w:color w:val="000000"/>
                <w:lang w:eastAsia="en-CA"/>
              </w:rPr>
              <w:t> </w:t>
            </w:r>
          </w:p>
        </w:tc>
        <w:tc>
          <w:tcPr>
            <w:tcW w:w="0" w:type="auto"/>
            <w:tcBorders>
              <w:top w:val="single" w:sz="12" w:space="0" w:color="auto"/>
              <w:left w:val="nil"/>
              <w:bottom w:val="single" w:sz="8" w:space="0" w:color="auto"/>
              <w:right w:val="nil"/>
            </w:tcBorders>
            <w:shd w:val="clear" w:color="auto" w:fill="auto"/>
            <w:vAlign w:val="center"/>
            <w:hideMark/>
          </w:tcPr>
          <w:p w14:paraId="08E5EC5B" w14:textId="77777777" w:rsidR="00DD27DB" w:rsidRPr="008F7C02" w:rsidRDefault="00DD27DB">
            <w:pPr>
              <w:jc w:val="center"/>
              <w:rPr>
                <w:b/>
                <w:bCs/>
                <w:color w:val="000000"/>
                <w:lang w:eastAsia="en-CA"/>
              </w:rPr>
            </w:pPr>
            <w:r w:rsidRPr="008F7C02">
              <w:rPr>
                <w:b/>
                <w:bCs/>
                <w:color w:val="000000"/>
                <w:lang w:eastAsia="en-CA"/>
              </w:rPr>
              <w:t>1993</w:t>
            </w:r>
          </w:p>
        </w:tc>
        <w:tc>
          <w:tcPr>
            <w:tcW w:w="0" w:type="auto"/>
            <w:tcBorders>
              <w:top w:val="single" w:sz="12" w:space="0" w:color="auto"/>
              <w:left w:val="nil"/>
              <w:bottom w:val="single" w:sz="8" w:space="0" w:color="auto"/>
              <w:right w:val="nil"/>
            </w:tcBorders>
            <w:shd w:val="clear" w:color="auto" w:fill="auto"/>
            <w:vAlign w:val="center"/>
            <w:hideMark/>
          </w:tcPr>
          <w:p w14:paraId="77A90BA3" w14:textId="77777777" w:rsidR="00DD27DB" w:rsidRPr="008F7C02" w:rsidRDefault="00DD27DB">
            <w:pPr>
              <w:jc w:val="center"/>
              <w:rPr>
                <w:b/>
                <w:bCs/>
                <w:color w:val="000000"/>
                <w:lang w:eastAsia="en-CA"/>
              </w:rPr>
            </w:pPr>
            <w:r w:rsidRPr="008F7C02">
              <w:rPr>
                <w:b/>
                <w:bCs/>
                <w:color w:val="000000"/>
                <w:lang w:eastAsia="en-CA"/>
              </w:rPr>
              <w:t>1997</w:t>
            </w:r>
          </w:p>
        </w:tc>
        <w:tc>
          <w:tcPr>
            <w:tcW w:w="0" w:type="auto"/>
            <w:tcBorders>
              <w:top w:val="single" w:sz="12" w:space="0" w:color="auto"/>
              <w:left w:val="nil"/>
              <w:bottom w:val="single" w:sz="8" w:space="0" w:color="auto"/>
              <w:right w:val="nil"/>
            </w:tcBorders>
            <w:shd w:val="clear" w:color="auto" w:fill="auto"/>
            <w:vAlign w:val="center"/>
            <w:hideMark/>
          </w:tcPr>
          <w:p w14:paraId="2B306F57" w14:textId="77777777" w:rsidR="00DD27DB" w:rsidRPr="008F7C02" w:rsidRDefault="00DD27DB">
            <w:pPr>
              <w:jc w:val="center"/>
              <w:rPr>
                <w:b/>
                <w:bCs/>
                <w:color w:val="000000"/>
                <w:lang w:eastAsia="en-CA"/>
              </w:rPr>
            </w:pPr>
            <w:r w:rsidRPr="008F7C02">
              <w:rPr>
                <w:b/>
                <w:bCs/>
                <w:color w:val="000000"/>
                <w:lang w:eastAsia="en-CA"/>
              </w:rPr>
              <w:t>2000</w:t>
            </w:r>
          </w:p>
        </w:tc>
        <w:tc>
          <w:tcPr>
            <w:tcW w:w="0" w:type="auto"/>
            <w:tcBorders>
              <w:top w:val="single" w:sz="12" w:space="0" w:color="auto"/>
              <w:left w:val="nil"/>
              <w:bottom w:val="single" w:sz="8" w:space="0" w:color="auto"/>
              <w:right w:val="nil"/>
            </w:tcBorders>
            <w:shd w:val="clear" w:color="auto" w:fill="auto"/>
            <w:vAlign w:val="center"/>
            <w:hideMark/>
          </w:tcPr>
          <w:p w14:paraId="7C2C317F" w14:textId="77777777" w:rsidR="00DD27DB" w:rsidRPr="008F7C02" w:rsidRDefault="00DD27DB">
            <w:pPr>
              <w:jc w:val="center"/>
              <w:rPr>
                <w:b/>
                <w:bCs/>
                <w:color w:val="000000"/>
                <w:lang w:eastAsia="en-CA"/>
              </w:rPr>
            </w:pPr>
            <w:r w:rsidRPr="008F7C02">
              <w:rPr>
                <w:b/>
                <w:bCs/>
                <w:color w:val="000000"/>
                <w:lang w:eastAsia="en-CA"/>
              </w:rPr>
              <w:t>2004</w:t>
            </w:r>
          </w:p>
        </w:tc>
        <w:tc>
          <w:tcPr>
            <w:tcW w:w="0" w:type="auto"/>
            <w:tcBorders>
              <w:top w:val="single" w:sz="12" w:space="0" w:color="auto"/>
              <w:left w:val="nil"/>
              <w:bottom w:val="single" w:sz="8" w:space="0" w:color="auto"/>
              <w:right w:val="nil"/>
            </w:tcBorders>
            <w:shd w:val="clear" w:color="auto" w:fill="auto"/>
            <w:vAlign w:val="center"/>
            <w:hideMark/>
          </w:tcPr>
          <w:p w14:paraId="4673CD9F" w14:textId="77777777" w:rsidR="00DD27DB" w:rsidRPr="008F7C02" w:rsidRDefault="00DD27DB">
            <w:pPr>
              <w:jc w:val="center"/>
              <w:rPr>
                <w:b/>
                <w:bCs/>
                <w:color w:val="000000"/>
                <w:lang w:eastAsia="en-CA"/>
              </w:rPr>
            </w:pPr>
            <w:r w:rsidRPr="008F7C02">
              <w:rPr>
                <w:b/>
                <w:bCs/>
                <w:color w:val="000000"/>
                <w:lang w:eastAsia="en-CA"/>
              </w:rPr>
              <w:t>2006</w:t>
            </w:r>
          </w:p>
        </w:tc>
      </w:tr>
      <w:tr w:rsidR="00DD27DB" w:rsidRPr="00DD27DB" w14:paraId="5FC3E2F6" w14:textId="77777777" w:rsidTr="008F7C02">
        <w:trPr>
          <w:trHeight w:val="576"/>
        </w:trPr>
        <w:tc>
          <w:tcPr>
            <w:tcW w:w="0" w:type="auto"/>
            <w:tcBorders>
              <w:top w:val="nil"/>
              <w:left w:val="nil"/>
              <w:bottom w:val="nil"/>
              <w:right w:val="nil"/>
            </w:tcBorders>
            <w:shd w:val="clear" w:color="auto" w:fill="auto"/>
            <w:vAlign w:val="center"/>
            <w:hideMark/>
          </w:tcPr>
          <w:p w14:paraId="2BDCAE72" w14:textId="7B14CEEC" w:rsidR="00DD27DB" w:rsidRPr="008F7C02" w:rsidRDefault="00DD27DB">
            <w:pPr>
              <w:rPr>
                <w:lang w:eastAsia="en-CA"/>
              </w:rPr>
            </w:pPr>
            <w:r w:rsidRPr="008F7C02">
              <w:rPr>
                <w:lang w:eastAsia="en-CA"/>
              </w:rPr>
              <w:t>Economy [INC BIAS]</w:t>
            </w:r>
          </w:p>
        </w:tc>
        <w:tc>
          <w:tcPr>
            <w:tcW w:w="0" w:type="auto"/>
            <w:tcBorders>
              <w:top w:val="nil"/>
              <w:left w:val="nil"/>
              <w:bottom w:val="nil"/>
              <w:right w:val="nil"/>
            </w:tcBorders>
            <w:shd w:val="clear" w:color="auto" w:fill="auto"/>
            <w:vAlign w:val="bottom"/>
            <w:hideMark/>
          </w:tcPr>
          <w:p w14:paraId="4C1D196A" w14:textId="77777777" w:rsidR="00DD27DB" w:rsidRPr="008F7C02" w:rsidRDefault="00DD27DB">
            <w:pPr>
              <w:jc w:val="center"/>
              <w:rPr>
                <w:lang w:eastAsia="en-CA"/>
              </w:rPr>
            </w:pPr>
            <w:r w:rsidRPr="008F7C02">
              <w:rPr>
                <w:lang w:eastAsia="en-CA"/>
              </w:rPr>
              <w:t>-0.21</w:t>
            </w:r>
            <w:r w:rsidRPr="008F7C02">
              <w:rPr>
                <w:lang w:eastAsia="en-CA"/>
              </w:rPr>
              <w:br/>
              <w:t xml:space="preserve"> (-0.68, 0.29)</w:t>
            </w:r>
          </w:p>
        </w:tc>
        <w:tc>
          <w:tcPr>
            <w:tcW w:w="0" w:type="auto"/>
            <w:tcBorders>
              <w:top w:val="nil"/>
              <w:left w:val="nil"/>
              <w:bottom w:val="nil"/>
              <w:right w:val="nil"/>
            </w:tcBorders>
            <w:shd w:val="clear" w:color="auto" w:fill="auto"/>
            <w:vAlign w:val="bottom"/>
            <w:hideMark/>
          </w:tcPr>
          <w:p w14:paraId="1364D4B9" w14:textId="77777777" w:rsidR="00DD27DB" w:rsidRPr="008F7C02" w:rsidRDefault="00DD27DB">
            <w:pPr>
              <w:jc w:val="center"/>
              <w:rPr>
                <w:lang w:eastAsia="en-CA"/>
              </w:rPr>
            </w:pPr>
            <w:r w:rsidRPr="008F7C02">
              <w:rPr>
                <w:lang w:eastAsia="en-CA"/>
              </w:rPr>
              <w:t>0.16</w:t>
            </w:r>
            <w:r w:rsidRPr="008F7C02">
              <w:rPr>
                <w:lang w:eastAsia="en-CA"/>
              </w:rPr>
              <w:br/>
              <w:t xml:space="preserve"> (-0.46, 0.76)</w:t>
            </w:r>
          </w:p>
        </w:tc>
        <w:tc>
          <w:tcPr>
            <w:tcW w:w="0" w:type="auto"/>
            <w:tcBorders>
              <w:top w:val="nil"/>
              <w:left w:val="nil"/>
              <w:bottom w:val="nil"/>
              <w:right w:val="nil"/>
            </w:tcBorders>
            <w:shd w:val="clear" w:color="auto" w:fill="auto"/>
            <w:vAlign w:val="bottom"/>
            <w:hideMark/>
          </w:tcPr>
          <w:p w14:paraId="1E416F30" w14:textId="77777777" w:rsidR="00DD27DB" w:rsidRPr="008F7C02" w:rsidRDefault="00DD27DB">
            <w:pPr>
              <w:jc w:val="center"/>
              <w:rPr>
                <w:lang w:eastAsia="en-CA"/>
              </w:rPr>
            </w:pPr>
            <w:r w:rsidRPr="008F7C02">
              <w:rPr>
                <w:lang w:eastAsia="en-CA"/>
              </w:rPr>
              <w:t>-0.11</w:t>
            </w:r>
            <w:r w:rsidRPr="008F7C02">
              <w:rPr>
                <w:lang w:eastAsia="en-CA"/>
              </w:rPr>
              <w:br/>
              <w:t xml:space="preserve"> (-0.56, 0.32)</w:t>
            </w:r>
          </w:p>
        </w:tc>
        <w:tc>
          <w:tcPr>
            <w:tcW w:w="0" w:type="auto"/>
            <w:tcBorders>
              <w:top w:val="nil"/>
              <w:left w:val="nil"/>
              <w:bottom w:val="nil"/>
              <w:right w:val="nil"/>
            </w:tcBorders>
            <w:shd w:val="clear" w:color="auto" w:fill="auto"/>
            <w:vAlign w:val="bottom"/>
            <w:hideMark/>
          </w:tcPr>
          <w:p w14:paraId="4F533DD5" w14:textId="77777777" w:rsidR="00DD27DB" w:rsidRPr="008F7C02" w:rsidRDefault="00DD27DB">
            <w:pPr>
              <w:jc w:val="center"/>
              <w:rPr>
                <w:lang w:eastAsia="en-CA"/>
              </w:rPr>
            </w:pPr>
            <w:r w:rsidRPr="008F7C02">
              <w:rPr>
                <w:lang w:eastAsia="en-CA"/>
              </w:rPr>
              <w:t>0.03</w:t>
            </w:r>
            <w:r w:rsidRPr="008F7C02">
              <w:rPr>
                <w:lang w:eastAsia="en-CA"/>
              </w:rPr>
              <w:br/>
              <w:t xml:space="preserve"> (-0.47, 0.54)</w:t>
            </w:r>
          </w:p>
        </w:tc>
        <w:tc>
          <w:tcPr>
            <w:tcW w:w="0" w:type="auto"/>
            <w:tcBorders>
              <w:top w:val="nil"/>
              <w:left w:val="nil"/>
              <w:bottom w:val="nil"/>
              <w:right w:val="nil"/>
            </w:tcBorders>
            <w:shd w:val="clear" w:color="auto" w:fill="auto"/>
            <w:vAlign w:val="center"/>
            <w:hideMark/>
          </w:tcPr>
          <w:p w14:paraId="4777F376" w14:textId="77777777" w:rsidR="00DD27DB" w:rsidRPr="008F7C02" w:rsidRDefault="00DD27DB">
            <w:pPr>
              <w:jc w:val="center"/>
              <w:rPr>
                <w:lang w:eastAsia="en-CA"/>
              </w:rPr>
            </w:pPr>
            <w:r w:rsidRPr="008F7C02">
              <w:rPr>
                <w:lang w:eastAsia="en-CA"/>
              </w:rPr>
              <w:t>-0.18</w:t>
            </w:r>
            <w:r w:rsidRPr="008F7C02">
              <w:rPr>
                <w:lang w:eastAsia="en-CA"/>
              </w:rPr>
              <w:br/>
              <w:t xml:space="preserve"> (-0.68, 0.28)</w:t>
            </w:r>
          </w:p>
        </w:tc>
      </w:tr>
      <w:tr w:rsidR="00DD27DB" w:rsidRPr="00DD27DB" w14:paraId="5455AB7D" w14:textId="77777777" w:rsidTr="008F7C02">
        <w:trPr>
          <w:trHeight w:val="576"/>
        </w:trPr>
        <w:tc>
          <w:tcPr>
            <w:tcW w:w="0" w:type="auto"/>
            <w:tcBorders>
              <w:top w:val="nil"/>
              <w:left w:val="nil"/>
              <w:bottom w:val="nil"/>
              <w:right w:val="nil"/>
            </w:tcBorders>
            <w:shd w:val="clear" w:color="auto" w:fill="auto"/>
            <w:vAlign w:val="center"/>
            <w:hideMark/>
          </w:tcPr>
          <w:p w14:paraId="78E6E330" w14:textId="51E28BAA" w:rsidR="00DD27DB" w:rsidRPr="008F7C02" w:rsidRDefault="00DD27DB">
            <w:pPr>
              <w:rPr>
                <w:lang w:eastAsia="en-CA"/>
              </w:rPr>
            </w:pPr>
            <w:r w:rsidRPr="008F7C02">
              <w:rPr>
                <w:lang w:eastAsia="en-CA"/>
              </w:rPr>
              <w:t>Economy [OPP BIAS]</w:t>
            </w:r>
          </w:p>
        </w:tc>
        <w:tc>
          <w:tcPr>
            <w:tcW w:w="0" w:type="auto"/>
            <w:tcBorders>
              <w:top w:val="nil"/>
              <w:left w:val="nil"/>
              <w:right w:val="nil"/>
            </w:tcBorders>
            <w:shd w:val="clear" w:color="auto" w:fill="auto"/>
            <w:vAlign w:val="bottom"/>
            <w:hideMark/>
          </w:tcPr>
          <w:p w14:paraId="4CA690E3" w14:textId="4F6996A1" w:rsidR="00DD27DB" w:rsidRPr="008F7C02" w:rsidRDefault="00DD27DB">
            <w:pPr>
              <w:jc w:val="center"/>
              <w:rPr>
                <w:lang w:eastAsia="en-CA"/>
              </w:rPr>
            </w:pPr>
            <w:r w:rsidRPr="008F7C02">
              <w:rPr>
                <w:lang w:eastAsia="en-CA"/>
              </w:rPr>
              <w:t>-0.26</w:t>
            </w:r>
            <w:r w:rsidR="004251D5" w:rsidRPr="008F7C02">
              <w:rPr>
                <w:lang w:eastAsia="en-CA"/>
              </w:rPr>
              <w:t>***</w:t>
            </w:r>
            <w:r w:rsidRPr="008F7C02">
              <w:rPr>
                <w:lang w:eastAsia="en-CA"/>
              </w:rPr>
              <w:br/>
              <w:t xml:space="preserve"> (-0.63, 0.1)</w:t>
            </w:r>
          </w:p>
        </w:tc>
        <w:tc>
          <w:tcPr>
            <w:tcW w:w="0" w:type="auto"/>
            <w:tcBorders>
              <w:top w:val="nil"/>
              <w:left w:val="nil"/>
              <w:right w:val="nil"/>
            </w:tcBorders>
            <w:shd w:val="clear" w:color="auto" w:fill="auto"/>
            <w:vAlign w:val="bottom"/>
            <w:hideMark/>
          </w:tcPr>
          <w:p w14:paraId="2D11363F" w14:textId="77777777" w:rsidR="00DD27DB" w:rsidRPr="008F7C02" w:rsidRDefault="00DD27DB">
            <w:pPr>
              <w:jc w:val="center"/>
              <w:rPr>
                <w:lang w:eastAsia="en-CA"/>
              </w:rPr>
            </w:pPr>
            <w:r w:rsidRPr="008F7C02">
              <w:rPr>
                <w:lang w:eastAsia="en-CA"/>
              </w:rPr>
              <w:t>-0.05</w:t>
            </w:r>
            <w:r w:rsidRPr="008F7C02">
              <w:rPr>
                <w:lang w:eastAsia="en-CA"/>
              </w:rPr>
              <w:br/>
              <w:t xml:space="preserve"> (-0.55, 0.41)</w:t>
            </w:r>
          </w:p>
        </w:tc>
        <w:tc>
          <w:tcPr>
            <w:tcW w:w="0" w:type="auto"/>
            <w:tcBorders>
              <w:top w:val="nil"/>
              <w:left w:val="nil"/>
              <w:right w:val="nil"/>
            </w:tcBorders>
            <w:shd w:val="clear" w:color="auto" w:fill="auto"/>
            <w:vAlign w:val="bottom"/>
            <w:hideMark/>
          </w:tcPr>
          <w:p w14:paraId="085AEA4E" w14:textId="77777777" w:rsidR="00DD27DB" w:rsidRPr="008F7C02" w:rsidRDefault="00DD27DB">
            <w:pPr>
              <w:jc w:val="center"/>
              <w:rPr>
                <w:lang w:eastAsia="en-CA"/>
              </w:rPr>
            </w:pPr>
            <w:r w:rsidRPr="008F7C02">
              <w:rPr>
                <w:lang w:eastAsia="en-CA"/>
              </w:rPr>
              <w:t>-0.16</w:t>
            </w:r>
            <w:r w:rsidRPr="008F7C02">
              <w:rPr>
                <w:lang w:eastAsia="en-CA"/>
              </w:rPr>
              <w:br/>
              <w:t xml:space="preserve"> (-0.54, 0.22)</w:t>
            </w:r>
          </w:p>
        </w:tc>
        <w:tc>
          <w:tcPr>
            <w:tcW w:w="0" w:type="auto"/>
            <w:tcBorders>
              <w:top w:val="nil"/>
              <w:left w:val="nil"/>
              <w:right w:val="nil"/>
            </w:tcBorders>
            <w:shd w:val="clear" w:color="auto" w:fill="auto"/>
            <w:vAlign w:val="bottom"/>
            <w:hideMark/>
          </w:tcPr>
          <w:p w14:paraId="22DB5687" w14:textId="77777777" w:rsidR="00DD27DB" w:rsidRPr="008F7C02" w:rsidRDefault="00DD27DB">
            <w:pPr>
              <w:jc w:val="center"/>
              <w:rPr>
                <w:lang w:eastAsia="en-CA"/>
              </w:rPr>
            </w:pPr>
            <w:r w:rsidRPr="008F7C02">
              <w:rPr>
                <w:lang w:eastAsia="en-CA"/>
              </w:rPr>
              <w:t>0.03</w:t>
            </w:r>
            <w:r w:rsidRPr="008F7C02">
              <w:rPr>
                <w:lang w:eastAsia="en-CA"/>
              </w:rPr>
              <w:br/>
              <w:t xml:space="preserve"> (-0.46, 0.53)</w:t>
            </w:r>
          </w:p>
        </w:tc>
        <w:tc>
          <w:tcPr>
            <w:tcW w:w="0" w:type="auto"/>
            <w:tcBorders>
              <w:top w:val="nil"/>
              <w:left w:val="nil"/>
              <w:right w:val="nil"/>
            </w:tcBorders>
            <w:shd w:val="clear" w:color="auto" w:fill="auto"/>
            <w:vAlign w:val="center"/>
            <w:hideMark/>
          </w:tcPr>
          <w:p w14:paraId="5393489E" w14:textId="4BF3FC09" w:rsidR="00DD27DB" w:rsidRPr="008F7C02" w:rsidRDefault="00DD27DB">
            <w:pPr>
              <w:jc w:val="center"/>
              <w:rPr>
                <w:lang w:eastAsia="en-CA"/>
              </w:rPr>
            </w:pPr>
            <w:r w:rsidRPr="008F7C02">
              <w:rPr>
                <w:lang w:eastAsia="en-CA"/>
              </w:rPr>
              <w:t>-0.39</w:t>
            </w:r>
            <w:r w:rsidR="004251D5" w:rsidRPr="008F7C02">
              <w:rPr>
                <w:lang w:eastAsia="en-CA"/>
              </w:rPr>
              <w:t>**</w:t>
            </w:r>
            <w:r w:rsidRPr="008F7C02">
              <w:rPr>
                <w:lang w:eastAsia="en-CA"/>
              </w:rPr>
              <w:br/>
              <w:t xml:space="preserve"> (-0.89, 0.05)</w:t>
            </w:r>
          </w:p>
        </w:tc>
      </w:tr>
      <w:tr w:rsidR="00DD27DB" w:rsidRPr="00DD27DB" w14:paraId="771C719F" w14:textId="77777777" w:rsidTr="008F7C02">
        <w:trPr>
          <w:trHeight w:val="576"/>
        </w:trPr>
        <w:tc>
          <w:tcPr>
            <w:tcW w:w="0" w:type="auto"/>
            <w:tcBorders>
              <w:top w:val="nil"/>
              <w:left w:val="nil"/>
              <w:bottom w:val="nil"/>
              <w:right w:val="nil"/>
            </w:tcBorders>
            <w:shd w:val="clear" w:color="auto" w:fill="auto"/>
            <w:vAlign w:val="center"/>
            <w:hideMark/>
          </w:tcPr>
          <w:p w14:paraId="75A0CF4C" w14:textId="77777777" w:rsidR="00DD27DB" w:rsidRPr="008F7C02" w:rsidRDefault="00DD27DB">
            <w:pPr>
              <w:rPr>
                <w:b/>
                <w:bCs/>
                <w:lang w:eastAsia="en-CA"/>
              </w:rPr>
            </w:pPr>
            <w:r w:rsidRPr="008F7C02">
              <w:rPr>
                <w:b/>
                <w:bCs/>
                <w:lang w:eastAsia="en-CA"/>
              </w:rPr>
              <w:t>Economy [PID BIAS]</w:t>
            </w:r>
          </w:p>
        </w:tc>
        <w:tc>
          <w:tcPr>
            <w:tcW w:w="0" w:type="auto"/>
            <w:tcBorders>
              <w:top w:val="nil"/>
              <w:left w:val="nil"/>
              <w:bottom w:val="nil"/>
              <w:right w:val="nil"/>
            </w:tcBorders>
            <w:shd w:val="clear" w:color="auto" w:fill="auto"/>
            <w:vAlign w:val="bottom"/>
            <w:hideMark/>
          </w:tcPr>
          <w:p w14:paraId="353D7E3C" w14:textId="77777777" w:rsidR="00DD27DB" w:rsidRPr="008F7C02" w:rsidRDefault="00DD27DB">
            <w:pPr>
              <w:jc w:val="center"/>
              <w:rPr>
                <w:lang w:eastAsia="en-CA"/>
              </w:rPr>
            </w:pPr>
            <w:r w:rsidRPr="008F7C02">
              <w:rPr>
                <w:lang w:eastAsia="en-CA"/>
              </w:rPr>
              <w:t>0.05</w:t>
            </w:r>
            <w:r w:rsidRPr="008F7C02">
              <w:rPr>
                <w:lang w:eastAsia="en-CA"/>
              </w:rPr>
              <w:br/>
              <w:t xml:space="preserve"> (-0.38, 0.56)</w:t>
            </w:r>
          </w:p>
        </w:tc>
        <w:tc>
          <w:tcPr>
            <w:tcW w:w="0" w:type="auto"/>
            <w:tcBorders>
              <w:top w:val="nil"/>
              <w:left w:val="nil"/>
              <w:bottom w:val="nil"/>
              <w:right w:val="nil"/>
            </w:tcBorders>
            <w:shd w:val="clear" w:color="auto" w:fill="auto"/>
            <w:vAlign w:val="bottom"/>
            <w:hideMark/>
          </w:tcPr>
          <w:p w14:paraId="1320A5BB" w14:textId="77777777" w:rsidR="00DD27DB" w:rsidRPr="008F7C02" w:rsidRDefault="00DD27DB">
            <w:pPr>
              <w:jc w:val="center"/>
              <w:rPr>
                <w:lang w:eastAsia="en-CA"/>
              </w:rPr>
            </w:pPr>
            <w:r w:rsidRPr="008F7C02">
              <w:rPr>
                <w:lang w:eastAsia="en-CA"/>
              </w:rPr>
              <w:t>0.2</w:t>
            </w:r>
            <w:r w:rsidRPr="008F7C02">
              <w:rPr>
                <w:lang w:eastAsia="en-CA"/>
              </w:rPr>
              <w:br/>
              <w:t xml:space="preserve"> (-0.33, 0.76)</w:t>
            </w:r>
          </w:p>
        </w:tc>
        <w:tc>
          <w:tcPr>
            <w:tcW w:w="0" w:type="auto"/>
            <w:tcBorders>
              <w:top w:val="nil"/>
              <w:left w:val="nil"/>
              <w:bottom w:val="nil"/>
              <w:right w:val="nil"/>
            </w:tcBorders>
            <w:shd w:val="clear" w:color="auto" w:fill="auto"/>
            <w:vAlign w:val="bottom"/>
            <w:hideMark/>
          </w:tcPr>
          <w:p w14:paraId="6682B9EB" w14:textId="77777777" w:rsidR="00DD27DB" w:rsidRPr="008F7C02" w:rsidRDefault="00DD27DB">
            <w:pPr>
              <w:jc w:val="center"/>
              <w:rPr>
                <w:lang w:eastAsia="en-CA"/>
              </w:rPr>
            </w:pPr>
            <w:r w:rsidRPr="008F7C02">
              <w:rPr>
                <w:lang w:eastAsia="en-CA"/>
              </w:rPr>
              <w:t>0.06</w:t>
            </w:r>
            <w:r w:rsidRPr="008F7C02">
              <w:rPr>
                <w:lang w:eastAsia="en-CA"/>
              </w:rPr>
              <w:br/>
              <w:t xml:space="preserve"> (-0.41, 0.52)</w:t>
            </w:r>
          </w:p>
        </w:tc>
        <w:tc>
          <w:tcPr>
            <w:tcW w:w="0" w:type="auto"/>
            <w:tcBorders>
              <w:top w:val="nil"/>
              <w:left w:val="nil"/>
              <w:bottom w:val="nil"/>
              <w:right w:val="nil"/>
            </w:tcBorders>
            <w:shd w:val="clear" w:color="auto" w:fill="auto"/>
            <w:vAlign w:val="bottom"/>
            <w:hideMark/>
          </w:tcPr>
          <w:p w14:paraId="4023550C" w14:textId="77777777" w:rsidR="00DD27DB" w:rsidRPr="008F7C02" w:rsidRDefault="00DD27DB">
            <w:pPr>
              <w:jc w:val="center"/>
              <w:rPr>
                <w:lang w:eastAsia="en-CA"/>
              </w:rPr>
            </w:pPr>
            <w:r w:rsidRPr="008F7C02">
              <w:rPr>
                <w:lang w:eastAsia="en-CA"/>
              </w:rPr>
              <w:t>0.01</w:t>
            </w:r>
            <w:r w:rsidRPr="008F7C02">
              <w:rPr>
                <w:lang w:eastAsia="en-CA"/>
              </w:rPr>
              <w:br/>
              <w:t xml:space="preserve"> (-0.52, 0.51)</w:t>
            </w:r>
          </w:p>
        </w:tc>
        <w:tc>
          <w:tcPr>
            <w:tcW w:w="0" w:type="auto"/>
            <w:tcBorders>
              <w:top w:val="nil"/>
              <w:left w:val="nil"/>
              <w:bottom w:val="nil"/>
              <w:right w:val="nil"/>
            </w:tcBorders>
            <w:shd w:val="clear" w:color="auto" w:fill="auto"/>
            <w:vAlign w:val="center"/>
            <w:hideMark/>
          </w:tcPr>
          <w:p w14:paraId="26827DAF" w14:textId="77777777" w:rsidR="00DD27DB" w:rsidRPr="008F7C02" w:rsidRDefault="00DD27DB">
            <w:pPr>
              <w:jc w:val="center"/>
              <w:rPr>
                <w:lang w:eastAsia="en-CA"/>
              </w:rPr>
            </w:pPr>
            <w:r w:rsidRPr="008F7C02">
              <w:rPr>
                <w:lang w:eastAsia="en-CA"/>
              </w:rPr>
              <w:t>0.22</w:t>
            </w:r>
            <w:r w:rsidRPr="008F7C02">
              <w:rPr>
                <w:lang w:eastAsia="en-CA"/>
              </w:rPr>
              <w:br/>
              <w:t xml:space="preserve"> (-0.27, 0.72)</w:t>
            </w:r>
          </w:p>
        </w:tc>
      </w:tr>
      <w:tr w:rsidR="00DD27DB" w:rsidRPr="00DD27DB" w14:paraId="5FD9D32C" w14:textId="77777777" w:rsidTr="008F7C02">
        <w:trPr>
          <w:trHeight w:val="576"/>
        </w:trPr>
        <w:tc>
          <w:tcPr>
            <w:tcW w:w="0" w:type="auto"/>
            <w:tcBorders>
              <w:top w:val="nil"/>
              <w:left w:val="nil"/>
              <w:bottom w:val="nil"/>
              <w:right w:val="nil"/>
            </w:tcBorders>
            <w:shd w:val="clear" w:color="auto" w:fill="auto"/>
            <w:vAlign w:val="center"/>
            <w:hideMark/>
          </w:tcPr>
          <w:p w14:paraId="193FD2CE" w14:textId="68532F97" w:rsidR="00DD27DB" w:rsidRPr="008F7C02" w:rsidRDefault="00DD27DB">
            <w:pPr>
              <w:rPr>
                <w:lang w:eastAsia="en-CA"/>
              </w:rPr>
            </w:pPr>
            <w:r w:rsidRPr="008F7C02">
              <w:rPr>
                <w:lang w:eastAsia="en-CA"/>
              </w:rPr>
              <w:t>Employment [INC BIAS]</w:t>
            </w:r>
          </w:p>
        </w:tc>
        <w:tc>
          <w:tcPr>
            <w:tcW w:w="0" w:type="auto"/>
            <w:tcBorders>
              <w:left w:val="nil"/>
            </w:tcBorders>
            <w:shd w:val="clear" w:color="auto" w:fill="auto"/>
            <w:vAlign w:val="bottom"/>
            <w:hideMark/>
          </w:tcPr>
          <w:p w14:paraId="4086EDD8" w14:textId="3B3FE8BD" w:rsidR="00DD27DB" w:rsidRPr="008F7C02" w:rsidRDefault="00DD27DB">
            <w:pPr>
              <w:jc w:val="center"/>
              <w:rPr>
                <w:lang w:eastAsia="en-CA"/>
              </w:rPr>
            </w:pPr>
            <w:r w:rsidRPr="008F7C02">
              <w:rPr>
                <w:lang w:eastAsia="en-CA"/>
              </w:rPr>
              <w:t>-0.45</w:t>
            </w:r>
            <w:r w:rsidR="004251D5" w:rsidRPr="008F7C02">
              <w:rPr>
                <w:lang w:eastAsia="en-CA"/>
              </w:rPr>
              <w:t>**</w:t>
            </w:r>
            <w:r w:rsidRPr="008F7C02">
              <w:rPr>
                <w:lang w:eastAsia="en-CA"/>
              </w:rPr>
              <w:br/>
              <w:t xml:space="preserve"> (-0.85, -0.05)</w:t>
            </w:r>
          </w:p>
        </w:tc>
        <w:tc>
          <w:tcPr>
            <w:tcW w:w="0" w:type="auto"/>
            <w:shd w:val="clear" w:color="auto" w:fill="auto"/>
            <w:vAlign w:val="bottom"/>
            <w:hideMark/>
          </w:tcPr>
          <w:p w14:paraId="135F5C7A" w14:textId="43E81E66" w:rsidR="00DD27DB" w:rsidRPr="008F7C02" w:rsidRDefault="00DD27DB">
            <w:pPr>
              <w:jc w:val="center"/>
              <w:rPr>
                <w:lang w:eastAsia="en-CA"/>
              </w:rPr>
            </w:pPr>
            <w:r w:rsidRPr="008F7C02">
              <w:rPr>
                <w:lang w:eastAsia="en-CA"/>
              </w:rPr>
              <w:t>0.17</w:t>
            </w:r>
            <w:r w:rsidR="004251D5" w:rsidRPr="008F7C02">
              <w:rPr>
                <w:lang w:eastAsia="en-CA"/>
              </w:rPr>
              <w:t>*</w:t>
            </w:r>
            <w:r w:rsidRPr="008F7C02">
              <w:rPr>
                <w:lang w:eastAsia="en-CA"/>
              </w:rPr>
              <w:br/>
              <w:t xml:space="preserve"> (-0.48, 0.83)</w:t>
            </w:r>
          </w:p>
        </w:tc>
        <w:tc>
          <w:tcPr>
            <w:tcW w:w="0" w:type="auto"/>
            <w:shd w:val="clear" w:color="auto" w:fill="auto"/>
            <w:vAlign w:val="bottom"/>
            <w:hideMark/>
          </w:tcPr>
          <w:p w14:paraId="4C6B621A" w14:textId="53C15753" w:rsidR="00DD27DB" w:rsidRPr="008F7C02" w:rsidRDefault="00DD27DB">
            <w:pPr>
              <w:jc w:val="center"/>
              <w:rPr>
                <w:lang w:eastAsia="en-CA"/>
              </w:rPr>
            </w:pPr>
            <w:r w:rsidRPr="008F7C02">
              <w:rPr>
                <w:lang w:eastAsia="en-CA"/>
              </w:rPr>
              <w:t>-0.96</w:t>
            </w:r>
            <w:r w:rsidR="004251D5" w:rsidRPr="008F7C02">
              <w:rPr>
                <w:lang w:eastAsia="en-CA"/>
              </w:rPr>
              <w:t>**</w:t>
            </w:r>
            <w:r w:rsidRPr="008F7C02">
              <w:rPr>
                <w:lang w:eastAsia="en-CA"/>
              </w:rPr>
              <w:br/>
              <w:t xml:space="preserve"> (-1.97, 0.07)</w:t>
            </w:r>
          </w:p>
        </w:tc>
        <w:tc>
          <w:tcPr>
            <w:tcW w:w="0" w:type="auto"/>
            <w:shd w:val="clear" w:color="auto" w:fill="auto"/>
            <w:vAlign w:val="bottom"/>
            <w:hideMark/>
          </w:tcPr>
          <w:p w14:paraId="4E9F589C" w14:textId="77777777" w:rsidR="00DD27DB" w:rsidRPr="008F7C02" w:rsidRDefault="00DD27DB">
            <w:pPr>
              <w:jc w:val="center"/>
              <w:rPr>
                <w:lang w:eastAsia="en-CA"/>
              </w:rPr>
            </w:pPr>
            <w:r w:rsidRPr="008F7C02">
              <w:rPr>
                <w:lang w:eastAsia="en-CA"/>
              </w:rPr>
              <w:t>-0.21</w:t>
            </w:r>
            <w:r w:rsidRPr="008F7C02">
              <w:rPr>
                <w:lang w:eastAsia="en-CA"/>
              </w:rPr>
              <w:br/>
              <w:t xml:space="preserve"> (-1.38, 1.22)</w:t>
            </w:r>
          </w:p>
        </w:tc>
        <w:tc>
          <w:tcPr>
            <w:tcW w:w="0" w:type="auto"/>
            <w:tcBorders>
              <w:right w:val="nil"/>
            </w:tcBorders>
            <w:shd w:val="clear" w:color="auto" w:fill="auto"/>
            <w:vAlign w:val="center"/>
            <w:hideMark/>
          </w:tcPr>
          <w:p w14:paraId="5217385B" w14:textId="20C48046" w:rsidR="00DD27DB" w:rsidRPr="008F7C02" w:rsidRDefault="00DD27DB">
            <w:pPr>
              <w:jc w:val="center"/>
              <w:rPr>
                <w:lang w:eastAsia="en-CA"/>
              </w:rPr>
            </w:pPr>
            <w:r w:rsidRPr="008F7C02">
              <w:rPr>
                <w:lang w:eastAsia="en-CA"/>
              </w:rPr>
              <w:t>-2.23</w:t>
            </w:r>
            <w:r w:rsidR="004251D5" w:rsidRPr="008F7C02">
              <w:rPr>
                <w:lang w:eastAsia="en-CA"/>
              </w:rPr>
              <w:t>***</w:t>
            </w:r>
            <w:r w:rsidRPr="008F7C02">
              <w:rPr>
                <w:lang w:eastAsia="en-CA"/>
              </w:rPr>
              <w:br/>
              <w:t xml:space="preserve"> (-3.37, -0.97)</w:t>
            </w:r>
          </w:p>
        </w:tc>
      </w:tr>
      <w:tr w:rsidR="00DD27DB" w:rsidRPr="00DD27DB" w14:paraId="7A19150A" w14:textId="77777777" w:rsidTr="008F7C02">
        <w:trPr>
          <w:trHeight w:val="576"/>
        </w:trPr>
        <w:tc>
          <w:tcPr>
            <w:tcW w:w="0" w:type="auto"/>
            <w:tcBorders>
              <w:top w:val="nil"/>
              <w:left w:val="nil"/>
              <w:bottom w:val="nil"/>
              <w:right w:val="nil"/>
            </w:tcBorders>
            <w:shd w:val="clear" w:color="auto" w:fill="auto"/>
            <w:vAlign w:val="center"/>
            <w:hideMark/>
          </w:tcPr>
          <w:p w14:paraId="42873034" w14:textId="5A55976F" w:rsidR="00DD27DB" w:rsidRPr="008F7C02" w:rsidRDefault="00DD27DB">
            <w:pPr>
              <w:rPr>
                <w:lang w:eastAsia="en-CA"/>
              </w:rPr>
            </w:pPr>
            <w:r w:rsidRPr="008F7C02">
              <w:rPr>
                <w:lang w:eastAsia="en-CA"/>
              </w:rPr>
              <w:t>Employment [OPP BIAS]</w:t>
            </w:r>
          </w:p>
        </w:tc>
        <w:tc>
          <w:tcPr>
            <w:tcW w:w="0" w:type="auto"/>
            <w:tcBorders>
              <w:left w:val="nil"/>
            </w:tcBorders>
            <w:shd w:val="clear" w:color="auto" w:fill="auto"/>
            <w:vAlign w:val="bottom"/>
            <w:hideMark/>
          </w:tcPr>
          <w:p w14:paraId="5750FFF9" w14:textId="77777777" w:rsidR="00DD27DB" w:rsidRPr="008F7C02" w:rsidRDefault="00DD27DB">
            <w:pPr>
              <w:jc w:val="center"/>
              <w:rPr>
                <w:lang w:eastAsia="en-CA"/>
              </w:rPr>
            </w:pPr>
            <w:r w:rsidRPr="008F7C02">
              <w:rPr>
                <w:lang w:eastAsia="en-CA"/>
              </w:rPr>
              <w:t>-0.25</w:t>
            </w:r>
            <w:r w:rsidRPr="008F7C02">
              <w:rPr>
                <w:lang w:eastAsia="en-CA"/>
              </w:rPr>
              <w:br/>
              <w:t xml:space="preserve"> (-0.57, 0.07)</w:t>
            </w:r>
          </w:p>
        </w:tc>
        <w:tc>
          <w:tcPr>
            <w:tcW w:w="0" w:type="auto"/>
            <w:shd w:val="clear" w:color="auto" w:fill="auto"/>
            <w:vAlign w:val="bottom"/>
            <w:hideMark/>
          </w:tcPr>
          <w:p w14:paraId="5978DF6D" w14:textId="77777777" w:rsidR="00DD27DB" w:rsidRPr="008F7C02" w:rsidRDefault="00DD27DB">
            <w:pPr>
              <w:jc w:val="center"/>
              <w:rPr>
                <w:lang w:eastAsia="en-CA"/>
              </w:rPr>
            </w:pPr>
            <w:r w:rsidRPr="008F7C02">
              <w:rPr>
                <w:lang w:eastAsia="en-CA"/>
              </w:rPr>
              <w:t>0.24</w:t>
            </w:r>
            <w:r w:rsidRPr="008F7C02">
              <w:rPr>
                <w:lang w:eastAsia="en-CA"/>
              </w:rPr>
              <w:br/>
              <w:t xml:space="preserve"> (-0.3, 0.82)</w:t>
            </w:r>
          </w:p>
        </w:tc>
        <w:tc>
          <w:tcPr>
            <w:tcW w:w="0" w:type="auto"/>
            <w:shd w:val="clear" w:color="auto" w:fill="auto"/>
            <w:vAlign w:val="bottom"/>
            <w:hideMark/>
          </w:tcPr>
          <w:p w14:paraId="0D204EFD" w14:textId="77777777" w:rsidR="00DD27DB" w:rsidRPr="008F7C02" w:rsidRDefault="00DD27DB">
            <w:pPr>
              <w:jc w:val="center"/>
              <w:rPr>
                <w:lang w:eastAsia="en-CA"/>
              </w:rPr>
            </w:pPr>
            <w:r w:rsidRPr="008F7C02">
              <w:rPr>
                <w:lang w:eastAsia="en-CA"/>
              </w:rPr>
              <w:t>-0.46</w:t>
            </w:r>
            <w:r w:rsidRPr="008F7C02">
              <w:rPr>
                <w:lang w:eastAsia="en-CA"/>
              </w:rPr>
              <w:br/>
              <w:t xml:space="preserve"> (-1.33, 0.48)</w:t>
            </w:r>
          </w:p>
        </w:tc>
        <w:tc>
          <w:tcPr>
            <w:tcW w:w="0" w:type="auto"/>
            <w:shd w:val="clear" w:color="auto" w:fill="auto"/>
            <w:vAlign w:val="bottom"/>
            <w:hideMark/>
          </w:tcPr>
          <w:p w14:paraId="2B82F316" w14:textId="6A18C819" w:rsidR="00DD27DB" w:rsidRPr="008F7C02" w:rsidRDefault="00DD27DB">
            <w:pPr>
              <w:jc w:val="center"/>
              <w:rPr>
                <w:lang w:eastAsia="en-CA"/>
              </w:rPr>
            </w:pPr>
            <w:r w:rsidRPr="008F7C02">
              <w:rPr>
                <w:lang w:eastAsia="en-CA"/>
              </w:rPr>
              <w:t>-1.12</w:t>
            </w:r>
            <w:r w:rsidR="004251D5" w:rsidRPr="008F7C02">
              <w:rPr>
                <w:lang w:eastAsia="en-CA"/>
              </w:rPr>
              <w:t>**</w:t>
            </w:r>
            <w:r w:rsidRPr="008F7C02">
              <w:rPr>
                <w:lang w:eastAsia="en-CA"/>
              </w:rPr>
              <w:br/>
              <w:t xml:space="preserve"> (-2.38, 0.1)</w:t>
            </w:r>
          </w:p>
        </w:tc>
        <w:tc>
          <w:tcPr>
            <w:tcW w:w="0" w:type="auto"/>
            <w:shd w:val="clear" w:color="auto" w:fill="auto"/>
            <w:vAlign w:val="center"/>
            <w:hideMark/>
          </w:tcPr>
          <w:p w14:paraId="59B46F27" w14:textId="2D79B27B" w:rsidR="00DD27DB" w:rsidRPr="008F7C02" w:rsidRDefault="00DD27DB">
            <w:pPr>
              <w:jc w:val="center"/>
              <w:rPr>
                <w:lang w:eastAsia="en-CA"/>
              </w:rPr>
            </w:pPr>
            <w:r w:rsidRPr="008F7C02">
              <w:rPr>
                <w:lang w:eastAsia="en-CA"/>
              </w:rPr>
              <w:t>-1.14</w:t>
            </w:r>
            <w:r w:rsidR="004251D5" w:rsidRPr="008F7C02">
              <w:rPr>
                <w:lang w:eastAsia="en-CA"/>
              </w:rPr>
              <w:t>***</w:t>
            </w:r>
            <w:r w:rsidRPr="008F7C02">
              <w:rPr>
                <w:lang w:eastAsia="en-CA"/>
              </w:rPr>
              <w:br/>
              <w:t xml:space="preserve"> (-2.22, -0.02)</w:t>
            </w:r>
          </w:p>
        </w:tc>
      </w:tr>
      <w:tr w:rsidR="00DD27DB" w:rsidRPr="00DD27DB" w14:paraId="28A3C21E" w14:textId="77777777" w:rsidTr="008F7C02">
        <w:trPr>
          <w:trHeight w:val="576"/>
        </w:trPr>
        <w:tc>
          <w:tcPr>
            <w:tcW w:w="0" w:type="auto"/>
            <w:tcBorders>
              <w:top w:val="nil"/>
              <w:left w:val="nil"/>
              <w:bottom w:val="nil"/>
              <w:right w:val="nil"/>
            </w:tcBorders>
            <w:shd w:val="clear" w:color="auto" w:fill="auto"/>
            <w:vAlign w:val="center"/>
            <w:hideMark/>
          </w:tcPr>
          <w:p w14:paraId="2F4913B9" w14:textId="77777777" w:rsidR="00DD27DB" w:rsidRPr="008F7C02" w:rsidRDefault="00DD27DB">
            <w:pPr>
              <w:rPr>
                <w:b/>
                <w:bCs/>
                <w:lang w:eastAsia="en-CA"/>
              </w:rPr>
            </w:pPr>
            <w:r w:rsidRPr="008F7C02">
              <w:rPr>
                <w:b/>
                <w:bCs/>
                <w:lang w:eastAsia="en-CA"/>
              </w:rPr>
              <w:t>Employment  [PID BIAS]</w:t>
            </w:r>
          </w:p>
        </w:tc>
        <w:tc>
          <w:tcPr>
            <w:tcW w:w="0" w:type="auto"/>
            <w:tcBorders>
              <w:left w:val="nil"/>
            </w:tcBorders>
            <w:shd w:val="clear" w:color="auto" w:fill="auto"/>
            <w:vAlign w:val="bottom"/>
            <w:hideMark/>
          </w:tcPr>
          <w:p w14:paraId="21867A0C" w14:textId="77777777" w:rsidR="00DD27DB" w:rsidRPr="008F7C02" w:rsidRDefault="00DD27DB">
            <w:pPr>
              <w:jc w:val="center"/>
              <w:rPr>
                <w:lang w:eastAsia="en-CA"/>
              </w:rPr>
            </w:pPr>
            <w:r w:rsidRPr="008F7C02">
              <w:rPr>
                <w:lang w:eastAsia="en-CA"/>
              </w:rPr>
              <w:t>-0.2</w:t>
            </w:r>
            <w:r w:rsidRPr="008F7C02">
              <w:rPr>
                <w:lang w:eastAsia="en-CA"/>
              </w:rPr>
              <w:br/>
              <w:t xml:space="preserve"> (-0.56, 0.17)</w:t>
            </w:r>
          </w:p>
        </w:tc>
        <w:tc>
          <w:tcPr>
            <w:tcW w:w="0" w:type="auto"/>
            <w:shd w:val="clear" w:color="auto" w:fill="auto"/>
            <w:vAlign w:val="bottom"/>
            <w:hideMark/>
          </w:tcPr>
          <w:p w14:paraId="3F04F008" w14:textId="77777777" w:rsidR="00DD27DB" w:rsidRPr="008F7C02" w:rsidRDefault="00DD27DB">
            <w:pPr>
              <w:jc w:val="center"/>
              <w:rPr>
                <w:lang w:eastAsia="en-CA"/>
              </w:rPr>
            </w:pPr>
            <w:r w:rsidRPr="008F7C02">
              <w:rPr>
                <w:lang w:eastAsia="en-CA"/>
              </w:rPr>
              <w:t>-0.08</w:t>
            </w:r>
            <w:r w:rsidRPr="008F7C02">
              <w:rPr>
                <w:lang w:eastAsia="en-CA"/>
              </w:rPr>
              <w:br/>
              <w:t xml:space="preserve"> (-0.65, 0.47)</w:t>
            </w:r>
          </w:p>
        </w:tc>
        <w:tc>
          <w:tcPr>
            <w:tcW w:w="0" w:type="auto"/>
            <w:shd w:val="clear" w:color="auto" w:fill="auto"/>
            <w:vAlign w:val="bottom"/>
            <w:hideMark/>
          </w:tcPr>
          <w:p w14:paraId="3B793C4C" w14:textId="77777777" w:rsidR="00DD27DB" w:rsidRPr="008F7C02" w:rsidRDefault="00DD27DB">
            <w:pPr>
              <w:jc w:val="center"/>
              <w:rPr>
                <w:lang w:eastAsia="en-CA"/>
              </w:rPr>
            </w:pPr>
            <w:r w:rsidRPr="008F7C02">
              <w:rPr>
                <w:lang w:eastAsia="en-CA"/>
              </w:rPr>
              <w:t>-0.52</w:t>
            </w:r>
            <w:r w:rsidRPr="008F7C02">
              <w:rPr>
                <w:lang w:eastAsia="en-CA"/>
              </w:rPr>
              <w:br/>
              <w:t xml:space="preserve"> (-1.43, 0.42)</w:t>
            </w:r>
          </w:p>
        </w:tc>
        <w:tc>
          <w:tcPr>
            <w:tcW w:w="0" w:type="auto"/>
            <w:shd w:val="clear" w:color="auto" w:fill="auto"/>
            <w:vAlign w:val="bottom"/>
            <w:hideMark/>
          </w:tcPr>
          <w:p w14:paraId="350AFDD6" w14:textId="3AE2FA0F" w:rsidR="00DD27DB" w:rsidRPr="008F7C02" w:rsidRDefault="00DD27DB">
            <w:pPr>
              <w:jc w:val="center"/>
              <w:rPr>
                <w:lang w:eastAsia="en-CA"/>
              </w:rPr>
            </w:pPr>
            <w:r w:rsidRPr="008F7C02">
              <w:rPr>
                <w:lang w:eastAsia="en-CA"/>
              </w:rPr>
              <w:t>0.93</w:t>
            </w:r>
            <w:r w:rsidR="004251D5" w:rsidRPr="008F7C02">
              <w:rPr>
                <w:lang w:eastAsia="en-CA"/>
              </w:rPr>
              <w:t>*</w:t>
            </w:r>
            <w:r w:rsidRPr="008F7C02">
              <w:rPr>
                <w:lang w:eastAsia="en-CA"/>
              </w:rPr>
              <w:br/>
              <w:t xml:space="preserve"> (-0.35, 2.32)</w:t>
            </w:r>
          </w:p>
        </w:tc>
        <w:tc>
          <w:tcPr>
            <w:tcW w:w="0" w:type="auto"/>
            <w:tcBorders>
              <w:right w:val="nil"/>
            </w:tcBorders>
            <w:shd w:val="clear" w:color="auto" w:fill="auto"/>
            <w:vAlign w:val="center"/>
            <w:hideMark/>
          </w:tcPr>
          <w:p w14:paraId="01B8C680" w14:textId="1DD06F7B" w:rsidR="00DD27DB" w:rsidRPr="008F7C02" w:rsidRDefault="00DD27DB">
            <w:pPr>
              <w:jc w:val="center"/>
              <w:rPr>
                <w:lang w:eastAsia="en-CA"/>
              </w:rPr>
            </w:pPr>
            <w:r w:rsidRPr="008F7C02">
              <w:rPr>
                <w:lang w:eastAsia="en-CA"/>
              </w:rPr>
              <w:t>-1.12</w:t>
            </w:r>
            <w:r w:rsidR="004251D5" w:rsidRPr="008F7C02">
              <w:rPr>
                <w:lang w:eastAsia="en-CA"/>
              </w:rPr>
              <w:t>**</w:t>
            </w:r>
            <w:r w:rsidRPr="008F7C02">
              <w:rPr>
                <w:lang w:eastAsia="en-CA"/>
              </w:rPr>
              <w:br/>
              <w:t xml:space="preserve"> (-2.25, 0.01)</w:t>
            </w:r>
          </w:p>
        </w:tc>
      </w:tr>
      <w:tr w:rsidR="00DD27DB" w:rsidRPr="00DD27DB" w14:paraId="57DCA86A" w14:textId="77777777" w:rsidTr="008F7C02">
        <w:trPr>
          <w:trHeight w:val="576"/>
        </w:trPr>
        <w:tc>
          <w:tcPr>
            <w:tcW w:w="0" w:type="auto"/>
            <w:tcBorders>
              <w:top w:val="nil"/>
              <w:left w:val="nil"/>
              <w:bottom w:val="nil"/>
              <w:right w:val="nil"/>
            </w:tcBorders>
            <w:shd w:val="clear" w:color="auto" w:fill="auto"/>
            <w:vAlign w:val="center"/>
            <w:hideMark/>
          </w:tcPr>
          <w:p w14:paraId="2D5AB36C" w14:textId="1E2CFD6C" w:rsidR="00DD27DB" w:rsidRPr="008F7C02" w:rsidRDefault="00DD27DB">
            <w:pPr>
              <w:rPr>
                <w:lang w:eastAsia="en-CA"/>
              </w:rPr>
            </w:pPr>
            <w:r w:rsidRPr="008F7C02">
              <w:rPr>
                <w:lang w:eastAsia="en-CA"/>
              </w:rPr>
              <w:t>Intensity [INC BIAS]</w:t>
            </w:r>
          </w:p>
        </w:tc>
        <w:tc>
          <w:tcPr>
            <w:tcW w:w="0" w:type="auto"/>
            <w:tcBorders>
              <w:top w:val="nil"/>
              <w:left w:val="nil"/>
              <w:bottom w:val="nil"/>
              <w:right w:val="nil"/>
            </w:tcBorders>
            <w:shd w:val="clear" w:color="auto" w:fill="auto"/>
            <w:vAlign w:val="bottom"/>
            <w:hideMark/>
          </w:tcPr>
          <w:p w14:paraId="0BA1FB66" w14:textId="77777777" w:rsidR="00DD27DB" w:rsidRPr="008F7C02" w:rsidRDefault="00DD27DB">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60361E44" w14:textId="77777777" w:rsidR="00DD27DB" w:rsidRPr="008F7C02" w:rsidRDefault="00DD27DB">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173408F9" w14:textId="77777777" w:rsidR="00DD27DB" w:rsidRPr="008F7C02" w:rsidRDefault="00DD27DB">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bottom"/>
            <w:hideMark/>
          </w:tcPr>
          <w:p w14:paraId="4248EC02" w14:textId="77777777" w:rsidR="00DD27DB" w:rsidRPr="008F7C02" w:rsidRDefault="00DD27DB">
            <w:pPr>
              <w:jc w:val="center"/>
              <w:rPr>
                <w:lang w:eastAsia="en-CA"/>
              </w:rPr>
            </w:pPr>
            <w:r w:rsidRPr="008F7C02">
              <w:rPr>
                <w:lang w:eastAsia="en-CA"/>
              </w:rPr>
              <w:t>0</w:t>
            </w:r>
            <w:r w:rsidRPr="008F7C02">
              <w:rPr>
                <w:lang w:eastAsia="en-CA"/>
              </w:rPr>
              <w:br/>
              <w:t xml:space="preserve"> (0, 0)</w:t>
            </w:r>
          </w:p>
        </w:tc>
        <w:tc>
          <w:tcPr>
            <w:tcW w:w="0" w:type="auto"/>
            <w:tcBorders>
              <w:top w:val="nil"/>
              <w:left w:val="nil"/>
              <w:bottom w:val="nil"/>
              <w:right w:val="nil"/>
            </w:tcBorders>
            <w:shd w:val="clear" w:color="auto" w:fill="auto"/>
            <w:vAlign w:val="center"/>
            <w:hideMark/>
          </w:tcPr>
          <w:p w14:paraId="0292E15F" w14:textId="77777777" w:rsidR="00DD27DB" w:rsidRPr="008F7C02" w:rsidRDefault="00DD27DB">
            <w:pPr>
              <w:jc w:val="center"/>
              <w:rPr>
                <w:lang w:eastAsia="en-CA"/>
              </w:rPr>
            </w:pPr>
            <w:r w:rsidRPr="008F7C02">
              <w:rPr>
                <w:lang w:eastAsia="en-CA"/>
              </w:rPr>
              <w:t>0</w:t>
            </w:r>
            <w:r w:rsidRPr="008F7C02">
              <w:rPr>
                <w:lang w:eastAsia="en-CA"/>
              </w:rPr>
              <w:br/>
              <w:t xml:space="preserve"> (0, 0)</w:t>
            </w:r>
          </w:p>
        </w:tc>
      </w:tr>
      <w:tr w:rsidR="00DD27DB" w:rsidRPr="00DD27DB" w14:paraId="1BD27921" w14:textId="77777777" w:rsidTr="008F7C02">
        <w:trPr>
          <w:trHeight w:val="576"/>
        </w:trPr>
        <w:tc>
          <w:tcPr>
            <w:tcW w:w="0" w:type="auto"/>
            <w:tcBorders>
              <w:top w:val="nil"/>
              <w:left w:val="nil"/>
              <w:bottom w:val="nil"/>
              <w:right w:val="nil"/>
            </w:tcBorders>
            <w:shd w:val="clear" w:color="auto" w:fill="auto"/>
            <w:vAlign w:val="center"/>
            <w:hideMark/>
          </w:tcPr>
          <w:p w14:paraId="4735DF79" w14:textId="775212B4" w:rsidR="00DD27DB" w:rsidRPr="008F7C02" w:rsidRDefault="00DD27DB">
            <w:pPr>
              <w:rPr>
                <w:color w:val="000000"/>
                <w:lang w:eastAsia="en-CA"/>
              </w:rPr>
            </w:pPr>
            <w:r w:rsidRPr="008F7C02">
              <w:rPr>
                <w:color w:val="000000"/>
                <w:lang w:eastAsia="en-CA"/>
              </w:rPr>
              <w:t>Intensity [OPP BIAS]</w:t>
            </w:r>
          </w:p>
        </w:tc>
        <w:tc>
          <w:tcPr>
            <w:tcW w:w="0" w:type="auto"/>
            <w:tcBorders>
              <w:top w:val="nil"/>
              <w:left w:val="nil"/>
              <w:bottom w:val="nil"/>
              <w:right w:val="nil"/>
            </w:tcBorders>
            <w:shd w:val="clear" w:color="auto" w:fill="auto"/>
            <w:vAlign w:val="bottom"/>
            <w:hideMark/>
          </w:tcPr>
          <w:p w14:paraId="78CB0430" w14:textId="77777777" w:rsidR="00DD27DB" w:rsidRPr="008F7C02" w:rsidRDefault="00DD27DB">
            <w:pPr>
              <w:jc w:val="center"/>
              <w:rPr>
                <w:color w:val="000000"/>
                <w:lang w:eastAsia="en-CA"/>
              </w:rPr>
            </w:pPr>
            <w:r w:rsidRPr="008F7C02">
              <w:rPr>
                <w:color w:val="000000"/>
                <w:lang w:eastAsia="en-CA"/>
              </w:rPr>
              <w:t>0</w:t>
            </w:r>
            <w:r w:rsidRPr="008F7C02">
              <w:rPr>
                <w:color w:val="000000"/>
                <w:lang w:eastAsia="en-CA"/>
              </w:rPr>
              <w:br/>
              <w:t xml:space="preserve"> (0, 0)</w:t>
            </w:r>
          </w:p>
        </w:tc>
        <w:tc>
          <w:tcPr>
            <w:tcW w:w="0" w:type="auto"/>
            <w:tcBorders>
              <w:top w:val="nil"/>
              <w:left w:val="nil"/>
              <w:bottom w:val="nil"/>
              <w:right w:val="nil"/>
            </w:tcBorders>
            <w:shd w:val="clear" w:color="auto" w:fill="auto"/>
            <w:vAlign w:val="bottom"/>
            <w:hideMark/>
          </w:tcPr>
          <w:p w14:paraId="1F6CA079" w14:textId="77777777" w:rsidR="00DD27DB" w:rsidRPr="008F7C02" w:rsidRDefault="00DD27DB">
            <w:pPr>
              <w:jc w:val="center"/>
              <w:rPr>
                <w:color w:val="000000"/>
                <w:lang w:eastAsia="en-CA"/>
              </w:rPr>
            </w:pPr>
            <w:r w:rsidRPr="008F7C02">
              <w:rPr>
                <w:color w:val="000000"/>
                <w:lang w:eastAsia="en-CA"/>
              </w:rPr>
              <w:t>0</w:t>
            </w:r>
            <w:r w:rsidRPr="008F7C02">
              <w:rPr>
                <w:color w:val="000000"/>
                <w:lang w:eastAsia="en-CA"/>
              </w:rPr>
              <w:br/>
              <w:t xml:space="preserve"> (0, 0)</w:t>
            </w:r>
          </w:p>
        </w:tc>
        <w:tc>
          <w:tcPr>
            <w:tcW w:w="0" w:type="auto"/>
            <w:tcBorders>
              <w:top w:val="nil"/>
              <w:left w:val="nil"/>
              <w:bottom w:val="nil"/>
              <w:right w:val="nil"/>
            </w:tcBorders>
            <w:shd w:val="clear" w:color="auto" w:fill="auto"/>
            <w:vAlign w:val="bottom"/>
            <w:hideMark/>
          </w:tcPr>
          <w:p w14:paraId="2554FF2D" w14:textId="77777777" w:rsidR="00DD27DB" w:rsidRPr="008F7C02" w:rsidRDefault="00DD27DB">
            <w:pPr>
              <w:jc w:val="center"/>
              <w:rPr>
                <w:color w:val="000000"/>
                <w:lang w:eastAsia="en-CA"/>
              </w:rPr>
            </w:pPr>
            <w:r w:rsidRPr="008F7C02">
              <w:rPr>
                <w:color w:val="000000"/>
                <w:lang w:eastAsia="en-CA"/>
              </w:rPr>
              <w:t>0</w:t>
            </w:r>
            <w:r w:rsidRPr="008F7C02">
              <w:rPr>
                <w:color w:val="000000"/>
                <w:lang w:eastAsia="en-CA"/>
              </w:rPr>
              <w:br/>
              <w:t xml:space="preserve"> (0, 0)</w:t>
            </w:r>
          </w:p>
        </w:tc>
        <w:tc>
          <w:tcPr>
            <w:tcW w:w="0" w:type="auto"/>
            <w:tcBorders>
              <w:top w:val="nil"/>
              <w:left w:val="nil"/>
              <w:bottom w:val="nil"/>
              <w:right w:val="nil"/>
            </w:tcBorders>
            <w:shd w:val="clear" w:color="auto" w:fill="auto"/>
            <w:vAlign w:val="bottom"/>
            <w:hideMark/>
          </w:tcPr>
          <w:p w14:paraId="48CE242F" w14:textId="77777777" w:rsidR="00DD27DB" w:rsidRPr="008F7C02" w:rsidRDefault="00DD27DB">
            <w:pPr>
              <w:jc w:val="center"/>
              <w:rPr>
                <w:color w:val="000000"/>
                <w:lang w:eastAsia="en-CA"/>
              </w:rPr>
            </w:pPr>
            <w:r w:rsidRPr="008F7C02">
              <w:rPr>
                <w:color w:val="000000"/>
                <w:lang w:eastAsia="en-CA"/>
              </w:rPr>
              <w:t>0</w:t>
            </w:r>
            <w:r w:rsidRPr="008F7C02">
              <w:rPr>
                <w:color w:val="000000"/>
                <w:lang w:eastAsia="en-CA"/>
              </w:rPr>
              <w:br/>
              <w:t xml:space="preserve"> (0, 0)</w:t>
            </w:r>
          </w:p>
        </w:tc>
        <w:tc>
          <w:tcPr>
            <w:tcW w:w="0" w:type="auto"/>
            <w:tcBorders>
              <w:top w:val="nil"/>
              <w:left w:val="nil"/>
              <w:bottom w:val="nil"/>
              <w:right w:val="nil"/>
            </w:tcBorders>
            <w:shd w:val="clear" w:color="auto" w:fill="auto"/>
            <w:vAlign w:val="center"/>
            <w:hideMark/>
          </w:tcPr>
          <w:p w14:paraId="274EF9D0" w14:textId="77777777" w:rsidR="00DD27DB" w:rsidRPr="008F7C02" w:rsidRDefault="00DD27DB">
            <w:pPr>
              <w:jc w:val="center"/>
              <w:rPr>
                <w:color w:val="000000"/>
                <w:lang w:eastAsia="en-CA"/>
              </w:rPr>
            </w:pPr>
            <w:r w:rsidRPr="008F7C02">
              <w:rPr>
                <w:color w:val="000000"/>
                <w:lang w:eastAsia="en-CA"/>
              </w:rPr>
              <w:t>0</w:t>
            </w:r>
            <w:r w:rsidRPr="008F7C02">
              <w:rPr>
                <w:color w:val="000000"/>
                <w:lang w:eastAsia="en-CA"/>
              </w:rPr>
              <w:br/>
              <w:t xml:space="preserve"> (0, 0)</w:t>
            </w:r>
          </w:p>
        </w:tc>
      </w:tr>
      <w:tr w:rsidR="00DD27DB" w:rsidRPr="00DD27DB" w14:paraId="4C6F8529" w14:textId="77777777" w:rsidTr="008F7C02">
        <w:trPr>
          <w:trHeight w:val="300"/>
        </w:trPr>
        <w:tc>
          <w:tcPr>
            <w:tcW w:w="0" w:type="auto"/>
            <w:tcBorders>
              <w:top w:val="nil"/>
              <w:left w:val="nil"/>
              <w:bottom w:val="single" w:sz="12" w:space="0" w:color="auto"/>
              <w:right w:val="nil"/>
            </w:tcBorders>
            <w:shd w:val="clear" w:color="auto" w:fill="auto"/>
            <w:vAlign w:val="center"/>
            <w:hideMark/>
          </w:tcPr>
          <w:p w14:paraId="747DB549" w14:textId="77777777" w:rsidR="00DD27DB" w:rsidRPr="008F7C02" w:rsidRDefault="00DD27DB">
            <w:pPr>
              <w:rPr>
                <w:color w:val="000000"/>
                <w:lang w:eastAsia="en-CA"/>
              </w:rPr>
            </w:pPr>
            <w:r w:rsidRPr="008F7C02">
              <w:rPr>
                <w:color w:val="000000"/>
                <w:lang w:eastAsia="en-CA"/>
              </w:rPr>
              <w:t>DIC</w:t>
            </w:r>
          </w:p>
        </w:tc>
        <w:tc>
          <w:tcPr>
            <w:tcW w:w="0" w:type="auto"/>
            <w:tcBorders>
              <w:top w:val="nil"/>
              <w:left w:val="nil"/>
              <w:bottom w:val="single" w:sz="12" w:space="0" w:color="auto"/>
              <w:right w:val="nil"/>
            </w:tcBorders>
            <w:shd w:val="clear" w:color="auto" w:fill="auto"/>
            <w:vAlign w:val="center"/>
            <w:hideMark/>
          </w:tcPr>
          <w:p w14:paraId="15A0AA9B" w14:textId="77777777" w:rsidR="00DD27DB" w:rsidRPr="008F7C02" w:rsidRDefault="00DD27DB">
            <w:pPr>
              <w:jc w:val="center"/>
              <w:rPr>
                <w:color w:val="000000"/>
                <w:lang w:eastAsia="en-CA"/>
              </w:rPr>
            </w:pPr>
            <w:r w:rsidRPr="008F7C02">
              <w:rPr>
                <w:color w:val="000000"/>
                <w:lang w:eastAsia="en-CA"/>
              </w:rPr>
              <w:t>29575.1</w:t>
            </w:r>
          </w:p>
        </w:tc>
        <w:tc>
          <w:tcPr>
            <w:tcW w:w="0" w:type="auto"/>
            <w:tcBorders>
              <w:top w:val="nil"/>
              <w:left w:val="nil"/>
              <w:bottom w:val="single" w:sz="12" w:space="0" w:color="auto"/>
              <w:right w:val="nil"/>
            </w:tcBorders>
            <w:shd w:val="clear" w:color="auto" w:fill="auto"/>
            <w:vAlign w:val="center"/>
            <w:hideMark/>
          </w:tcPr>
          <w:p w14:paraId="4FBDC42A" w14:textId="77777777" w:rsidR="00DD27DB" w:rsidRPr="008F7C02" w:rsidRDefault="00DD27DB">
            <w:pPr>
              <w:jc w:val="center"/>
              <w:rPr>
                <w:color w:val="000000"/>
                <w:lang w:eastAsia="en-CA"/>
              </w:rPr>
            </w:pPr>
            <w:r w:rsidRPr="008F7C02">
              <w:rPr>
                <w:color w:val="000000"/>
                <w:lang w:eastAsia="en-CA"/>
              </w:rPr>
              <w:t>34094.8</w:t>
            </w:r>
          </w:p>
        </w:tc>
        <w:tc>
          <w:tcPr>
            <w:tcW w:w="0" w:type="auto"/>
            <w:tcBorders>
              <w:top w:val="nil"/>
              <w:left w:val="nil"/>
              <w:bottom w:val="single" w:sz="12" w:space="0" w:color="auto"/>
              <w:right w:val="nil"/>
            </w:tcBorders>
            <w:shd w:val="clear" w:color="auto" w:fill="auto"/>
            <w:vAlign w:val="center"/>
            <w:hideMark/>
          </w:tcPr>
          <w:p w14:paraId="3E1B6084" w14:textId="77777777" w:rsidR="00DD27DB" w:rsidRPr="008F7C02" w:rsidRDefault="00DD27DB">
            <w:pPr>
              <w:jc w:val="center"/>
              <w:rPr>
                <w:color w:val="000000"/>
                <w:lang w:eastAsia="en-CA"/>
              </w:rPr>
            </w:pPr>
            <w:r w:rsidRPr="008F7C02">
              <w:rPr>
                <w:color w:val="000000"/>
                <w:lang w:eastAsia="en-CA"/>
              </w:rPr>
              <w:t>30965.7</w:t>
            </w:r>
          </w:p>
        </w:tc>
        <w:tc>
          <w:tcPr>
            <w:tcW w:w="0" w:type="auto"/>
            <w:tcBorders>
              <w:top w:val="nil"/>
              <w:left w:val="nil"/>
              <w:bottom w:val="single" w:sz="12" w:space="0" w:color="auto"/>
              <w:right w:val="nil"/>
            </w:tcBorders>
            <w:shd w:val="clear" w:color="auto" w:fill="auto"/>
            <w:vAlign w:val="center"/>
            <w:hideMark/>
          </w:tcPr>
          <w:p w14:paraId="3B5278F4" w14:textId="77777777" w:rsidR="00DD27DB" w:rsidRPr="008F7C02" w:rsidRDefault="00DD27DB">
            <w:pPr>
              <w:jc w:val="center"/>
              <w:rPr>
                <w:color w:val="000000"/>
                <w:lang w:eastAsia="en-CA"/>
              </w:rPr>
            </w:pPr>
            <w:r w:rsidRPr="008F7C02">
              <w:rPr>
                <w:color w:val="000000"/>
                <w:lang w:eastAsia="en-CA"/>
              </w:rPr>
              <w:t>30965.7</w:t>
            </w:r>
          </w:p>
        </w:tc>
        <w:tc>
          <w:tcPr>
            <w:tcW w:w="0" w:type="auto"/>
            <w:tcBorders>
              <w:top w:val="nil"/>
              <w:left w:val="nil"/>
              <w:bottom w:val="single" w:sz="12" w:space="0" w:color="auto"/>
              <w:right w:val="nil"/>
            </w:tcBorders>
            <w:shd w:val="clear" w:color="auto" w:fill="auto"/>
            <w:vAlign w:val="center"/>
            <w:hideMark/>
          </w:tcPr>
          <w:p w14:paraId="65F6E9AD" w14:textId="77777777" w:rsidR="00DD27DB" w:rsidRPr="008F7C02" w:rsidRDefault="00DD27DB">
            <w:pPr>
              <w:jc w:val="center"/>
              <w:rPr>
                <w:color w:val="000000"/>
                <w:lang w:eastAsia="en-CA"/>
              </w:rPr>
            </w:pPr>
            <w:r w:rsidRPr="008F7C02">
              <w:rPr>
                <w:color w:val="000000"/>
                <w:lang w:eastAsia="en-CA"/>
              </w:rPr>
              <w:t>31140.2</w:t>
            </w:r>
          </w:p>
        </w:tc>
      </w:tr>
      <w:tr w:rsidR="00DD27DB" w:rsidRPr="00DD27DB" w14:paraId="40C4B403" w14:textId="77777777" w:rsidTr="008F7C02">
        <w:trPr>
          <w:trHeight w:val="294"/>
        </w:trPr>
        <w:tc>
          <w:tcPr>
            <w:tcW w:w="0" w:type="auto"/>
            <w:tcBorders>
              <w:top w:val="nil"/>
              <w:left w:val="nil"/>
              <w:bottom w:val="nil"/>
              <w:right w:val="nil"/>
            </w:tcBorders>
            <w:shd w:val="clear" w:color="auto" w:fill="auto"/>
            <w:noWrap/>
            <w:vAlign w:val="bottom"/>
            <w:hideMark/>
          </w:tcPr>
          <w:p w14:paraId="6D5464A3" w14:textId="77777777" w:rsidR="00DD27DB" w:rsidRPr="008F7C02" w:rsidRDefault="00DD27DB">
            <w:pPr>
              <w:rPr>
                <w:color w:val="000000"/>
                <w:lang w:eastAsia="en-CA"/>
              </w:rPr>
            </w:pPr>
          </w:p>
        </w:tc>
        <w:tc>
          <w:tcPr>
            <w:tcW w:w="0" w:type="auto"/>
            <w:tcBorders>
              <w:top w:val="nil"/>
              <w:left w:val="nil"/>
              <w:bottom w:val="nil"/>
              <w:right w:val="nil"/>
            </w:tcBorders>
            <w:shd w:val="clear" w:color="auto" w:fill="auto"/>
            <w:noWrap/>
            <w:vAlign w:val="bottom"/>
            <w:hideMark/>
          </w:tcPr>
          <w:p w14:paraId="59A5ACE3" w14:textId="77777777" w:rsidR="00DD27DB" w:rsidRPr="008F7C02" w:rsidRDefault="00DD27DB">
            <w:pPr>
              <w:rPr>
                <w:color w:val="000000"/>
                <w:lang w:eastAsia="en-CA"/>
              </w:rPr>
            </w:pPr>
          </w:p>
        </w:tc>
        <w:tc>
          <w:tcPr>
            <w:tcW w:w="0" w:type="auto"/>
            <w:tcBorders>
              <w:top w:val="nil"/>
              <w:left w:val="nil"/>
              <w:bottom w:val="nil"/>
              <w:right w:val="nil"/>
            </w:tcBorders>
            <w:shd w:val="clear" w:color="auto" w:fill="auto"/>
            <w:noWrap/>
            <w:vAlign w:val="bottom"/>
            <w:hideMark/>
          </w:tcPr>
          <w:p w14:paraId="43E65B0E" w14:textId="77777777" w:rsidR="00DD27DB" w:rsidRPr="008F7C02" w:rsidRDefault="00DD27DB">
            <w:pPr>
              <w:rPr>
                <w:color w:val="000000"/>
                <w:lang w:eastAsia="en-CA"/>
              </w:rPr>
            </w:pPr>
          </w:p>
        </w:tc>
        <w:tc>
          <w:tcPr>
            <w:tcW w:w="0" w:type="auto"/>
            <w:tcBorders>
              <w:top w:val="nil"/>
              <w:left w:val="nil"/>
              <w:bottom w:val="nil"/>
              <w:right w:val="nil"/>
            </w:tcBorders>
            <w:shd w:val="clear" w:color="auto" w:fill="auto"/>
            <w:noWrap/>
            <w:vAlign w:val="bottom"/>
            <w:hideMark/>
          </w:tcPr>
          <w:p w14:paraId="773FF2B6" w14:textId="77777777" w:rsidR="00DD27DB" w:rsidRPr="008F7C02" w:rsidRDefault="00DD27DB">
            <w:pPr>
              <w:rPr>
                <w:color w:val="000000"/>
                <w:lang w:eastAsia="en-CA"/>
              </w:rPr>
            </w:pPr>
          </w:p>
        </w:tc>
        <w:tc>
          <w:tcPr>
            <w:tcW w:w="0" w:type="auto"/>
            <w:tcBorders>
              <w:top w:val="nil"/>
              <w:left w:val="nil"/>
              <w:bottom w:val="nil"/>
              <w:right w:val="nil"/>
            </w:tcBorders>
            <w:shd w:val="clear" w:color="auto" w:fill="auto"/>
            <w:noWrap/>
            <w:vAlign w:val="bottom"/>
            <w:hideMark/>
          </w:tcPr>
          <w:p w14:paraId="6B4F2D05" w14:textId="77777777" w:rsidR="00DD27DB" w:rsidRPr="008F7C02" w:rsidRDefault="00DD27DB">
            <w:pPr>
              <w:rPr>
                <w:color w:val="000000"/>
                <w:lang w:eastAsia="en-CA"/>
              </w:rPr>
            </w:pPr>
          </w:p>
        </w:tc>
        <w:tc>
          <w:tcPr>
            <w:tcW w:w="0" w:type="auto"/>
            <w:tcBorders>
              <w:top w:val="nil"/>
              <w:left w:val="nil"/>
              <w:bottom w:val="nil"/>
              <w:right w:val="nil"/>
            </w:tcBorders>
            <w:shd w:val="clear" w:color="auto" w:fill="auto"/>
            <w:noWrap/>
            <w:vAlign w:val="bottom"/>
            <w:hideMark/>
          </w:tcPr>
          <w:p w14:paraId="577F113A" w14:textId="77777777" w:rsidR="00DD27DB" w:rsidRPr="008F7C02" w:rsidRDefault="00DD27DB">
            <w:pPr>
              <w:rPr>
                <w:color w:val="000000"/>
                <w:lang w:eastAsia="en-CA"/>
              </w:rPr>
            </w:pPr>
          </w:p>
        </w:tc>
      </w:tr>
    </w:tbl>
    <w:p w14:paraId="70F88276" w14:textId="77777777" w:rsidR="00DD27DB" w:rsidRDefault="00DD27DB" w:rsidP="00DD27DB"/>
    <w:p w14:paraId="313130BF" w14:textId="47F3FC07" w:rsidR="00FC6C8F" w:rsidRDefault="00DD32CF" w:rsidP="00FC6C8F">
      <w:pPr>
        <w:rPr>
          <w:lang w:eastAsia="en-CA"/>
        </w:rPr>
      </w:pPr>
      <w:r>
        <w:rPr>
          <w:color w:val="000000"/>
          <w:lang w:eastAsia="en-CA"/>
        </w:rPr>
        <w:t xml:space="preserve">Notes: (a) </w:t>
      </w:r>
      <w:r w:rsidRPr="008F7C02">
        <w:rPr>
          <w:lang w:eastAsia="en-CA"/>
        </w:rPr>
        <w:t>***95% CI</w:t>
      </w:r>
      <w:r>
        <w:rPr>
          <w:lang w:eastAsia="en-CA"/>
        </w:rPr>
        <w:t xml:space="preserve">, </w:t>
      </w:r>
      <w:r w:rsidRPr="008F7C02">
        <w:rPr>
          <w:lang w:eastAsia="en-CA"/>
        </w:rPr>
        <w:t>**90% CI</w:t>
      </w:r>
      <w:r>
        <w:rPr>
          <w:lang w:eastAsia="en-CA"/>
        </w:rPr>
        <w:t xml:space="preserve">, </w:t>
      </w:r>
      <w:r w:rsidRPr="008F7C02">
        <w:rPr>
          <w:lang w:eastAsia="en-CA"/>
        </w:rPr>
        <w:t>*80% CI</w:t>
      </w:r>
      <w:r>
        <w:rPr>
          <w:lang w:eastAsia="en-CA"/>
        </w:rPr>
        <w:t xml:space="preserve">; (b) models include control variables, described in appendix; (c) DIC = Deviance Information Criterion, </w:t>
      </w:r>
      <w:r w:rsidR="00D278BF">
        <w:rPr>
          <w:lang w:eastAsia="en-CA"/>
        </w:rPr>
        <w:t xml:space="preserve">which is </w:t>
      </w:r>
      <w:r>
        <w:rPr>
          <w:lang w:eastAsia="en-CA"/>
        </w:rPr>
        <w:t>used to compare models with alternate specifications in the appendix.</w:t>
      </w:r>
    </w:p>
    <w:p w14:paraId="281AAB99" w14:textId="77777777" w:rsidR="00FC6C8F" w:rsidRDefault="00FC6C8F" w:rsidP="00DD27DB"/>
    <w:p w14:paraId="7A9BC82D" w14:textId="5F06D980" w:rsidR="00D41A25" w:rsidRDefault="00D41A25">
      <w:r>
        <w:br w:type="page"/>
      </w:r>
    </w:p>
    <w:p w14:paraId="46854088" w14:textId="04DC14AB" w:rsidR="00F40F0A" w:rsidRDefault="00F40F0A" w:rsidP="00F40F0A">
      <w:pPr>
        <w:pStyle w:val="Heading1"/>
      </w:pPr>
      <w:bookmarkStart w:id="4" w:name="_Toc514767984"/>
      <w:r>
        <w:lastRenderedPageBreak/>
        <w:t>D. ESTIMATION DIAGNOSTICS</w:t>
      </w:r>
      <w:bookmarkEnd w:id="4"/>
    </w:p>
    <w:p w14:paraId="526C0E8F" w14:textId="27ADBB00" w:rsidR="00F40F0A" w:rsidRDefault="00F40F0A"/>
    <w:p w14:paraId="2F20D1A6" w14:textId="77777777" w:rsidR="00F40F0A" w:rsidRDefault="00F40F0A" w:rsidP="00D41A25"/>
    <w:p w14:paraId="194EC418" w14:textId="0A2BEE92" w:rsidR="00D41A25" w:rsidRDefault="00D41A25" w:rsidP="00D41A25">
      <w:r>
        <w:t>Table D</w:t>
      </w:r>
      <w:r w:rsidRPr="008F7C02">
        <w:t>1</w:t>
      </w:r>
      <w:r>
        <w:t>.</w:t>
      </w:r>
      <w:r w:rsidRPr="008F7C02">
        <w:t xml:space="preserve"> Gelman and Rubin Diagnostic</w:t>
      </w:r>
    </w:p>
    <w:tbl>
      <w:tblPr>
        <w:tblStyle w:val="LightShading"/>
        <w:tblW w:w="0" w:type="auto"/>
        <w:shd w:val="clear" w:color="auto" w:fill="FFFFFF" w:themeFill="background1"/>
        <w:tblLook w:val="04A0" w:firstRow="1" w:lastRow="0" w:firstColumn="1" w:lastColumn="0" w:noHBand="0" w:noVBand="1"/>
      </w:tblPr>
      <w:tblGrid>
        <w:gridCol w:w="3157"/>
        <w:gridCol w:w="897"/>
        <w:gridCol w:w="1263"/>
        <w:gridCol w:w="777"/>
        <w:gridCol w:w="1023"/>
        <w:gridCol w:w="777"/>
        <w:gridCol w:w="1023"/>
        <w:gridCol w:w="777"/>
        <w:gridCol w:w="1023"/>
        <w:gridCol w:w="777"/>
        <w:gridCol w:w="1023"/>
      </w:tblGrid>
      <w:tr w:rsidR="00D41A25" w:rsidRPr="00DD27DB" w14:paraId="24D5225D" w14:textId="77777777" w:rsidTr="00D80B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noWrap/>
          </w:tcPr>
          <w:p w14:paraId="7DC57F38" w14:textId="77777777" w:rsidR="00D41A25" w:rsidRPr="008F7C02" w:rsidRDefault="00D41A25" w:rsidP="00D80BF8">
            <w:pPr>
              <w:rPr>
                <w:rFonts w:ascii="Times New Roman" w:eastAsia="Times New Roman" w:hAnsi="Times New Roman" w:cs="Times New Roman"/>
                <w:color w:val="000000"/>
                <w:lang w:eastAsia="en-CA"/>
              </w:rPr>
            </w:pPr>
          </w:p>
        </w:tc>
        <w:tc>
          <w:tcPr>
            <w:tcW w:w="0" w:type="auto"/>
            <w:gridSpan w:val="2"/>
            <w:tcBorders>
              <w:bottom w:val="nil"/>
            </w:tcBorders>
            <w:shd w:val="clear" w:color="auto" w:fill="FFFFFF" w:themeFill="background1"/>
            <w:noWrap/>
          </w:tcPr>
          <w:p w14:paraId="1CAE7185" w14:textId="77777777" w:rsidR="00D41A25" w:rsidRPr="008F7C02" w:rsidRDefault="00D41A25" w:rsidP="00D80B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1993</w:t>
            </w:r>
          </w:p>
        </w:tc>
        <w:tc>
          <w:tcPr>
            <w:tcW w:w="0" w:type="auto"/>
            <w:gridSpan w:val="2"/>
            <w:tcBorders>
              <w:bottom w:val="nil"/>
            </w:tcBorders>
            <w:shd w:val="clear" w:color="auto" w:fill="FFFFFF" w:themeFill="background1"/>
            <w:noWrap/>
          </w:tcPr>
          <w:p w14:paraId="6B45BDA0" w14:textId="77777777" w:rsidR="00D41A25" w:rsidRPr="008F7C02" w:rsidRDefault="00D41A25" w:rsidP="00D80B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1997</w:t>
            </w:r>
          </w:p>
        </w:tc>
        <w:tc>
          <w:tcPr>
            <w:tcW w:w="0" w:type="auto"/>
            <w:gridSpan w:val="2"/>
            <w:tcBorders>
              <w:bottom w:val="nil"/>
            </w:tcBorders>
            <w:shd w:val="clear" w:color="auto" w:fill="FFFFFF" w:themeFill="background1"/>
            <w:noWrap/>
          </w:tcPr>
          <w:p w14:paraId="6D8899CF" w14:textId="77777777" w:rsidR="00D41A25" w:rsidRPr="008F7C02" w:rsidRDefault="00D41A25" w:rsidP="00D80B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2000</w:t>
            </w:r>
          </w:p>
        </w:tc>
        <w:tc>
          <w:tcPr>
            <w:tcW w:w="0" w:type="auto"/>
            <w:gridSpan w:val="2"/>
            <w:tcBorders>
              <w:bottom w:val="nil"/>
            </w:tcBorders>
            <w:shd w:val="clear" w:color="auto" w:fill="FFFFFF" w:themeFill="background1"/>
            <w:noWrap/>
          </w:tcPr>
          <w:p w14:paraId="2C818F9D" w14:textId="77777777" w:rsidR="00D41A25" w:rsidRPr="008F7C02" w:rsidRDefault="00D41A25" w:rsidP="00D80B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2004</w:t>
            </w:r>
          </w:p>
        </w:tc>
        <w:tc>
          <w:tcPr>
            <w:tcW w:w="0" w:type="auto"/>
            <w:gridSpan w:val="2"/>
            <w:tcBorders>
              <w:bottom w:val="nil"/>
            </w:tcBorders>
            <w:shd w:val="clear" w:color="auto" w:fill="FFFFFF" w:themeFill="background1"/>
            <w:noWrap/>
          </w:tcPr>
          <w:p w14:paraId="016F45CB" w14:textId="77777777" w:rsidR="00D41A25" w:rsidRPr="008F7C02" w:rsidRDefault="00D41A25" w:rsidP="00D80B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2006</w:t>
            </w:r>
          </w:p>
        </w:tc>
      </w:tr>
      <w:tr w:rsidR="00D41A25" w:rsidRPr="00DD27DB" w14:paraId="753CA8E5"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8" w:space="0" w:color="000000" w:themeColor="text1"/>
            </w:tcBorders>
            <w:shd w:val="clear" w:color="auto" w:fill="FFFFFF" w:themeFill="background1"/>
            <w:noWrap/>
            <w:hideMark/>
          </w:tcPr>
          <w:p w14:paraId="1F94044F" w14:textId="77777777" w:rsidR="00D41A25" w:rsidRPr="008F7C02" w:rsidRDefault="00D41A25" w:rsidP="00D80BF8">
            <w:pPr>
              <w:rPr>
                <w:rFonts w:ascii="Times New Roman" w:eastAsia="Times New Roman" w:hAnsi="Times New Roman" w:cs="Times New Roman"/>
                <w:color w:val="000000"/>
                <w:lang w:eastAsia="en-CA"/>
              </w:rPr>
            </w:pPr>
          </w:p>
        </w:tc>
        <w:tc>
          <w:tcPr>
            <w:tcW w:w="0" w:type="auto"/>
            <w:tcBorders>
              <w:top w:val="nil"/>
              <w:bottom w:val="single" w:sz="8" w:space="0" w:color="000000" w:themeColor="text1"/>
            </w:tcBorders>
            <w:shd w:val="clear" w:color="auto" w:fill="FFFFFF" w:themeFill="background1"/>
            <w:noWrap/>
            <w:vAlign w:val="bottom"/>
            <w:hideMark/>
          </w:tcPr>
          <w:p w14:paraId="0C76045C"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PSRF*</w:t>
            </w:r>
          </w:p>
        </w:tc>
        <w:tc>
          <w:tcPr>
            <w:tcW w:w="0" w:type="auto"/>
            <w:tcBorders>
              <w:top w:val="nil"/>
              <w:bottom w:val="single" w:sz="8" w:space="0" w:color="000000" w:themeColor="text1"/>
            </w:tcBorders>
            <w:shd w:val="clear" w:color="auto" w:fill="FFFFFF" w:themeFill="background1"/>
            <w:noWrap/>
            <w:vAlign w:val="bottom"/>
            <w:hideMark/>
          </w:tcPr>
          <w:p w14:paraId="2691FB5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95% CL**</w:t>
            </w:r>
          </w:p>
        </w:tc>
        <w:tc>
          <w:tcPr>
            <w:tcW w:w="0" w:type="auto"/>
            <w:tcBorders>
              <w:top w:val="nil"/>
              <w:bottom w:val="single" w:sz="8" w:space="0" w:color="000000" w:themeColor="text1"/>
            </w:tcBorders>
            <w:shd w:val="clear" w:color="auto" w:fill="FFFFFF" w:themeFill="background1"/>
            <w:noWrap/>
            <w:vAlign w:val="bottom"/>
            <w:hideMark/>
          </w:tcPr>
          <w:p w14:paraId="4964772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PSRF</w:t>
            </w:r>
          </w:p>
        </w:tc>
        <w:tc>
          <w:tcPr>
            <w:tcW w:w="0" w:type="auto"/>
            <w:tcBorders>
              <w:top w:val="nil"/>
              <w:bottom w:val="single" w:sz="8" w:space="0" w:color="000000" w:themeColor="text1"/>
            </w:tcBorders>
            <w:shd w:val="clear" w:color="auto" w:fill="FFFFFF" w:themeFill="background1"/>
            <w:noWrap/>
            <w:vAlign w:val="bottom"/>
            <w:hideMark/>
          </w:tcPr>
          <w:p w14:paraId="2E3D3335"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95% CL</w:t>
            </w:r>
          </w:p>
        </w:tc>
        <w:tc>
          <w:tcPr>
            <w:tcW w:w="0" w:type="auto"/>
            <w:tcBorders>
              <w:top w:val="nil"/>
              <w:bottom w:val="single" w:sz="8" w:space="0" w:color="000000" w:themeColor="text1"/>
            </w:tcBorders>
            <w:shd w:val="clear" w:color="auto" w:fill="FFFFFF" w:themeFill="background1"/>
            <w:noWrap/>
            <w:vAlign w:val="bottom"/>
            <w:hideMark/>
          </w:tcPr>
          <w:p w14:paraId="7CE2546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PSRF</w:t>
            </w:r>
          </w:p>
        </w:tc>
        <w:tc>
          <w:tcPr>
            <w:tcW w:w="0" w:type="auto"/>
            <w:tcBorders>
              <w:top w:val="nil"/>
              <w:bottom w:val="single" w:sz="8" w:space="0" w:color="000000" w:themeColor="text1"/>
            </w:tcBorders>
            <w:shd w:val="clear" w:color="auto" w:fill="FFFFFF" w:themeFill="background1"/>
            <w:noWrap/>
            <w:vAlign w:val="bottom"/>
            <w:hideMark/>
          </w:tcPr>
          <w:p w14:paraId="11CD5062"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95% CL</w:t>
            </w:r>
          </w:p>
        </w:tc>
        <w:tc>
          <w:tcPr>
            <w:tcW w:w="0" w:type="auto"/>
            <w:tcBorders>
              <w:top w:val="nil"/>
              <w:bottom w:val="single" w:sz="8" w:space="0" w:color="000000" w:themeColor="text1"/>
            </w:tcBorders>
            <w:shd w:val="clear" w:color="auto" w:fill="FFFFFF" w:themeFill="background1"/>
            <w:noWrap/>
            <w:vAlign w:val="bottom"/>
            <w:hideMark/>
          </w:tcPr>
          <w:p w14:paraId="0C918C6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PSRF</w:t>
            </w:r>
          </w:p>
        </w:tc>
        <w:tc>
          <w:tcPr>
            <w:tcW w:w="0" w:type="auto"/>
            <w:tcBorders>
              <w:top w:val="nil"/>
              <w:bottom w:val="single" w:sz="8" w:space="0" w:color="000000" w:themeColor="text1"/>
            </w:tcBorders>
            <w:shd w:val="clear" w:color="auto" w:fill="FFFFFF" w:themeFill="background1"/>
            <w:noWrap/>
            <w:vAlign w:val="bottom"/>
            <w:hideMark/>
          </w:tcPr>
          <w:p w14:paraId="46C42C3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95% CL</w:t>
            </w:r>
          </w:p>
        </w:tc>
        <w:tc>
          <w:tcPr>
            <w:tcW w:w="0" w:type="auto"/>
            <w:tcBorders>
              <w:top w:val="nil"/>
              <w:bottom w:val="single" w:sz="8" w:space="0" w:color="000000" w:themeColor="text1"/>
            </w:tcBorders>
            <w:shd w:val="clear" w:color="auto" w:fill="FFFFFF" w:themeFill="background1"/>
            <w:noWrap/>
            <w:vAlign w:val="bottom"/>
            <w:hideMark/>
          </w:tcPr>
          <w:p w14:paraId="6EE17A9E"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PSRF</w:t>
            </w:r>
          </w:p>
        </w:tc>
        <w:tc>
          <w:tcPr>
            <w:tcW w:w="0" w:type="auto"/>
            <w:tcBorders>
              <w:top w:val="nil"/>
              <w:bottom w:val="single" w:sz="8" w:space="0" w:color="000000" w:themeColor="text1"/>
            </w:tcBorders>
            <w:shd w:val="clear" w:color="auto" w:fill="FFFFFF" w:themeFill="background1"/>
            <w:noWrap/>
            <w:vAlign w:val="bottom"/>
            <w:hideMark/>
          </w:tcPr>
          <w:p w14:paraId="5B29FF86"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95% CL</w:t>
            </w:r>
          </w:p>
        </w:tc>
      </w:tr>
      <w:tr w:rsidR="00D41A25" w:rsidRPr="00DD27DB" w14:paraId="238011D1"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tcBorders>
            <w:shd w:val="clear" w:color="auto" w:fill="FFFFFF" w:themeFill="background1"/>
            <w:noWrap/>
            <w:hideMark/>
          </w:tcPr>
          <w:p w14:paraId="332844A4"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Economy [PID BIAS]</w:t>
            </w:r>
          </w:p>
        </w:tc>
        <w:tc>
          <w:tcPr>
            <w:tcW w:w="0" w:type="auto"/>
            <w:tcBorders>
              <w:top w:val="single" w:sz="8" w:space="0" w:color="000000" w:themeColor="text1"/>
            </w:tcBorders>
            <w:shd w:val="clear" w:color="auto" w:fill="FFFFFF" w:themeFill="background1"/>
            <w:noWrap/>
            <w:hideMark/>
          </w:tcPr>
          <w:p w14:paraId="2ADE0D57"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top w:val="single" w:sz="8" w:space="0" w:color="000000" w:themeColor="text1"/>
            </w:tcBorders>
            <w:shd w:val="clear" w:color="auto" w:fill="FFFFFF" w:themeFill="background1"/>
            <w:noWrap/>
            <w:hideMark/>
          </w:tcPr>
          <w:p w14:paraId="23B27A3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1.05</w:t>
            </w:r>
          </w:p>
        </w:tc>
        <w:tc>
          <w:tcPr>
            <w:tcW w:w="0" w:type="auto"/>
            <w:tcBorders>
              <w:top w:val="single" w:sz="8" w:space="0" w:color="000000" w:themeColor="text1"/>
            </w:tcBorders>
            <w:shd w:val="clear" w:color="auto" w:fill="FFFFFF" w:themeFill="background1"/>
            <w:noWrap/>
            <w:hideMark/>
          </w:tcPr>
          <w:p w14:paraId="1106EE31"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tcBorders>
              <w:top w:val="single" w:sz="8" w:space="0" w:color="000000" w:themeColor="text1"/>
            </w:tcBorders>
            <w:shd w:val="clear" w:color="auto" w:fill="FFFFFF" w:themeFill="background1"/>
            <w:noWrap/>
            <w:hideMark/>
          </w:tcPr>
          <w:p w14:paraId="51EC845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top w:val="single" w:sz="8" w:space="0" w:color="000000" w:themeColor="text1"/>
            </w:tcBorders>
            <w:shd w:val="clear" w:color="auto" w:fill="FFFFFF" w:themeFill="background1"/>
            <w:noWrap/>
            <w:hideMark/>
          </w:tcPr>
          <w:p w14:paraId="799E2D2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tcBorders>
              <w:top w:val="single" w:sz="8" w:space="0" w:color="000000" w:themeColor="text1"/>
            </w:tcBorders>
            <w:shd w:val="clear" w:color="auto" w:fill="FFFFFF" w:themeFill="background1"/>
            <w:noWrap/>
            <w:hideMark/>
          </w:tcPr>
          <w:p w14:paraId="44376E23"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tcBorders>
              <w:top w:val="single" w:sz="8" w:space="0" w:color="000000" w:themeColor="text1"/>
            </w:tcBorders>
            <w:shd w:val="clear" w:color="auto" w:fill="FFFFFF" w:themeFill="background1"/>
            <w:noWrap/>
            <w:hideMark/>
          </w:tcPr>
          <w:p w14:paraId="1D89127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tcBorders>
              <w:top w:val="single" w:sz="8" w:space="0" w:color="000000" w:themeColor="text1"/>
            </w:tcBorders>
            <w:shd w:val="clear" w:color="auto" w:fill="FFFFFF" w:themeFill="background1"/>
            <w:noWrap/>
            <w:hideMark/>
          </w:tcPr>
          <w:p w14:paraId="2E95A88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top w:val="single" w:sz="8" w:space="0" w:color="000000" w:themeColor="text1"/>
            </w:tcBorders>
            <w:shd w:val="clear" w:color="auto" w:fill="FFFFFF" w:themeFill="background1"/>
            <w:noWrap/>
            <w:hideMark/>
          </w:tcPr>
          <w:p w14:paraId="3E6F52A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top w:val="single" w:sz="8" w:space="0" w:color="000000" w:themeColor="text1"/>
            </w:tcBorders>
            <w:shd w:val="clear" w:color="auto" w:fill="FFFFFF" w:themeFill="background1"/>
            <w:noWrap/>
            <w:hideMark/>
          </w:tcPr>
          <w:p w14:paraId="4FC3BEE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r>
      <w:tr w:rsidR="00D41A25" w:rsidRPr="00DD27DB" w14:paraId="2104CAB6"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03384D9B"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Employment [PID BIAS]</w:t>
            </w:r>
          </w:p>
        </w:tc>
        <w:tc>
          <w:tcPr>
            <w:tcW w:w="0" w:type="auto"/>
            <w:shd w:val="clear" w:color="auto" w:fill="FFFFFF" w:themeFill="background1"/>
            <w:noWrap/>
            <w:hideMark/>
          </w:tcPr>
          <w:p w14:paraId="2205DC26"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55DB510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1.06</w:t>
            </w:r>
          </w:p>
        </w:tc>
        <w:tc>
          <w:tcPr>
            <w:tcW w:w="0" w:type="auto"/>
            <w:shd w:val="clear" w:color="auto" w:fill="FFFFFF" w:themeFill="background1"/>
            <w:noWrap/>
            <w:hideMark/>
          </w:tcPr>
          <w:p w14:paraId="59C1803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6F60C107"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6DDA1DD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63B74A9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09B6924D"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3C1753F6"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65FCE2D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3197A0E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r>
      <w:tr w:rsidR="00D41A25" w:rsidRPr="00DD27DB" w14:paraId="793877E3"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FE16735"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Economy [INTERCEPT]</w:t>
            </w:r>
          </w:p>
        </w:tc>
        <w:tc>
          <w:tcPr>
            <w:tcW w:w="0" w:type="auto"/>
            <w:shd w:val="clear" w:color="auto" w:fill="FFFFFF" w:themeFill="background1"/>
            <w:noWrap/>
            <w:hideMark/>
          </w:tcPr>
          <w:p w14:paraId="154133D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016ECC46"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129F5500"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1.03</w:t>
            </w:r>
          </w:p>
        </w:tc>
        <w:tc>
          <w:tcPr>
            <w:tcW w:w="0" w:type="auto"/>
            <w:shd w:val="clear" w:color="auto" w:fill="FFFFFF" w:themeFill="background1"/>
            <w:noWrap/>
            <w:hideMark/>
          </w:tcPr>
          <w:p w14:paraId="058CA3F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1.14</w:t>
            </w:r>
          </w:p>
        </w:tc>
        <w:tc>
          <w:tcPr>
            <w:tcW w:w="0" w:type="auto"/>
            <w:shd w:val="clear" w:color="auto" w:fill="FFFFFF" w:themeFill="background1"/>
            <w:noWrap/>
            <w:hideMark/>
          </w:tcPr>
          <w:p w14:paraId="7F7BEEB8"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50820E2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2866CA36"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0A6848BF"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w:t>
            </w:r>
          </w:p>
        </w:tc>
        <w:tc>
          <w:tcPr>
            <w:tcW w:w="0" w:type="auto"/>
            <w:shd w:val="clear" w:color="auto" w:fill="FFFFFF" w:themeFill="background1"/>
            <w:noWrap/>
            <w:hideMark/>
          </w:tcPr>
          <w:p w14:paraId="5DBB73A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1.15</w:t>
            </w:r>
          </w:p>
        </w:tc>
        <w:tc>
          <w:tcPr>
            <w:tcW w:w="0" w:type="auto"/>
            <w:shd w:val="clear" w:color="auto" w:fill="FFFFFF" w:themeFill="background1"/>
            <w:noWrap/>
            <w:hideMark/>
          </w:tcPr>
          <w:p w14:paraId="7B514E5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1.52</w:t>
            </w:r>
          </w:p>
        </w:tc>
      </w:tr>
      <w:tr w:rsidR="00D41A25" w:rsidRPr="00DD27DB" w14:paraId="4C11205D"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65C3688"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Economy [INC BIAS]</w:t>
            </w:r>
          </w:p>
        </w:tc>
        <w:tc>
          <w:tcPr>
            <w:tcW w:w="0" w:type="auto"/>
            <w:shd w:val="clear" w:color="auto" w:fill="FFFFFF" w:themeFill="background1"/>
            <w:noWrap/>
            <w:hideMark/>
          </w:tcPr>
          <w:p w14:paraId="1AA4A4A6"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394D325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61914317"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1CC7C37E"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1.06</w:t>
            </w:r>
          </w:p>
        </w:tc>
        <w:tc>
          <w:tcPr>
            <w:tcW w:w="0" w:type="auto"/>
            <w:shd w:val="clear" w:color="auto" w:fill="FFFFFF" w:themeFill="background1"/>
            <w:noWrap/>
            <w:hideMark/>
          </w:tcPr>
          <w:p w14:paraId="36A36F1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36E9E002"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454382F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4A04408E"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1.16</w:t>
            </w:r>
          </w:p>
        </w:tc>
        <w:tc>
          <w:tcPr>
            <w:tcW w:w="0" w:type="auto"/>
            <w:shd w:val="clear" w:color="auto" w:fill="FFFFFF" w:themeFill="background1"/>
            <w:noWrap/>
            <w:hideMark/>
          </w:tcPr>
          <w:p w14:paraId="202D66F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1.14</w:t>
            </w:r>
          </w:p>
        </w:tc>
        <w:tc>
          <w:tcPr>
            <w:tcW w:w="0" w:type="auto"/>
            <w:shd w:val="clear" w:color="auto" w:fill="FFFFFF" w:themeFill="background1"/>
            <w:noWrap/>
            <w:hideMark/>
          </w:tcPr>
          <w:p w14:paraId="08D41AB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1.49</w:t>
            </w:r>
          </w:p>
        </w:tc>
      </w:tr>
      <w:tr w:rsidR="00D41A25" w:rsidRPr="00DD27DB" w14:paraId="53DB02B0"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481379BC"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Economy [OPP BIAS]</w:t>
            </w:r>
          </w:p>
        </w:tc>
        <w:tc>
          <w:tcPr>
            <w:tcW w:w="0" w:type="auto"/>
            <w:shd w:val="clear" w:color="auto" w:fill="FFFFFF" w:themeFill="background1"/>
            <w:noWrap/>
            <w:hideMark/>
          </w:tcPr>
          <w:p w14:paraId="2E31F4F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4D9089F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3D0AA752"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1.03</w:t>
            </w:r>
          </w:p>
        </w:tc>
        <w:tc>
          <w:tcPr>
            <w:tcW w:w="0" w:type="auto"/>
            <w:shd w:val="clear" w:color="auto" w:fill="FFFFFF" w:themeFill="background1"/>
            <w:noWrap/>
            <w:hideMark/>
          </w:tcPr>
          <w:p w14:paraId="5CC1CAA8"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1.14</w:t>
            </w:r>
          </w:p>
        </w:tc>
        <w:tc>
          <w:tcPr>
            <w:tcW w:w="0" w:type="auto"/>
            <w:shd w:val="clear" w:color="auto" w:fill="FFFFFF" w:themeFill="background1"/>
            <w:noWrap/>
            <w:hideMark/>
          </w:tcPr>
          <w:p w14:paraId="11886F0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3A17BA1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3B4A7200"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32043095"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1.08</w:t>
            </w:r>
          </w:p>
        </w:tc>
        <w:tc>
          <w:tcPr>
            <w:tcW w:w="0" w:type="auto"/>
            <w:shd w:val="clear" w:color="auto" w:fill="FFFFFF" w:themeFill="background1"/>
            <w:noWrap/>
            <w:hideMark/>
          </w:tcPr>
          <w:p w14:paraId="65C8A203"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w:t>
            </w:r>
          </w:p>
        </w:tc>
        <w:tc>
          <w:tcPr>
            <w:tcW w:w="0" w:type="auto"/>
            <w:shd w:val="clear" w:color="auto" w:fill="FFFFFF" w:themeFill="background1"/>
            <w:noWrap/>
            <w:hideMark/>
          </w:tcPr>
          <w:p w14:paraId="5CFC3DC8"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1.36</w:t>
            </w:r>
          </w:p>
        </w:tc>
      </w:tr>
      <w:tr w:rsidR="00D41A25" w:rsidRPr="00DD27DB" w14:paraId="6EA9AB99"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1402FC65"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Employment [INTERCEPT]</w:t>
            </w:r>
          </w:p>
        </w:tc>
        <w:tc>
          <w:tcPr>
            <w:tcW w:w="0" w:type="auto"/>
            <w:shd w:val="clear" w:color="auto" w:fill="FFFFFF" w:themeFill="background1"/>
            <w:noWrap/>
            <w:hideMark/>
          </w:tcPr>
          <w:p w14:paraId="51997C17"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083A708D"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44FC7DCE"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1.05</w:t>
            </w:r>
          </w:p>
        </w:tc>
        <w:tc>
          <w:tcPr>
            <w:tcW w:w="0" w:type="auto"/>
            <w:shd w:val="clear" w:color="auto" w:fill="FFFFFF" w:themeFill="background1"/>
            <w:noWrap/>
            <w:hideMark/>
          </w:tcPr>
          <w:p w14:paraId="2573249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1.21</w:t>
            </w:r>
          </w:p>
        </w:tc>
        <w:tc>
          <w:tcPr>
            <w:tcW w:w="0" w:type="auto"/>
            <w:shd w:val="clear" w:color="auto" w:fill="FFFFFF" w:themeFill="background1"/>
            <w:noWrap/>
            <w:hideMark/>
          </w:tcPr>
          <w:p w14:paraId="4D4FD67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0AE3D872"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61F343E3"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4C80375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6DD75F83"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1.06</w:t>
            </w:r>
          </w:p>
        </w:tc>
        <w:tc>
          <w:tcPr>
            <w:tcW w:w="0" w:type="auto"/>
            <w:shd w:val="clear" w:color="auto" w:fill="FFFFFF" w:themeFill="background1"/>
            <w:noWrap/>
            <w:hideMark/>
          </w:tcPr>
          <w:p w14:paraId="7A78282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1.24</w:t>
            </w:r>
          </w:p>
        </w:tc>
      </w:tr>
      <w:tr w:rsidR="00D41A25" w:rsidRPr="00DD27DB" w14:paraId="7F1C92D7"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7E28EC69"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Employment [INC BIAS]</w:t>
            </w:r>
          </w:p>
        </w:tc>
        <w:tc>
          <w:tcPr>
            <w:tcW w:w="0" w:type="auto"/>
            <w:shd w:val="clear" w:color="auto" w:fill="FFFFFF" w:themeFill="background1"/>
            <w:noWrap/>
            <w:hideMark/>
          </w:tcPr>
          <w:p w14:paraId="030284A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12A72ADF"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1.00</w:t>
            </w:r>
          </w:p>
        </w:tc>
        <w:tc>
          <w:tcPr>
            <w:tcW w:w="0" w:type="auto"/>
            <w:shd w:val="clear" w:color="auto" w:fill="FFFFFF" w:themeFill="background1"/>
            <w:noWrap/>
            <w:hideMark/>
          </w:tcPr>
          <w:p w14:paraId="322475B2"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3BC3FF7D"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w:t>
            </w:r>
          </w:p>
        </w:tc>
        <w:tc>
          <w:tcPr>
            <w:tcW w:w="0" w:type="auto"/>
            <w:shd w:val="clear" w:color="auto" w:fill="FFFFFF" w:themeFill="background1"/>
            <w:noWrap/>
            <w:hideMark/>
          </w:tcPr>
          <w:p w14:paraId="692D1F5F"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03196BDD"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014BA36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4DC9518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3F49C370"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1.07</w:t>
            </w:r>
          </w:p>
        </w:tc>
        <w:tc>
          <w:tcPr>
            <w:tcW w:w="0" w:type="auto"/>
            <w:shd w:val="clear" w:color="auto" w:fill="FFFFFF" w:themeFill="background1"/>
            <w:noWrap/>
            <w:hideMark/>
          </w:tcPr>
          <w:p w14:paraId="0BDB8226"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1.28</w:t>
            </w:r>
          </w:p>
        </w:tc>
      </w:tr>
      <w:tr w:rsidR="00D41A25" w:rsidRPr="00DD27DB" w14:paraId="52A34EFC"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063A344D"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Employment [OPP BIAS]</w:t>
            </w:r>
          </w:p>
        </w:tc>
        <w:tc>
          <w:tcPr>
            <w:tcW w:w="0" w:type="auto"/>
            <w:shd w:val="clear" w:color="auto" w:fill="FFFFFF" w:themeFill="background1"/>
            <w:noWrap/>
            <w:hideMark/>
          </w:tcPr>
          <w:p w14:paraId="01F51A8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33089659"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1.07</w:t>
            </w:r>
          </w:p>
        </w:tc>
        <w:tc>
          <w:tcPr>
            <w:tcW w:w="0" w:type="auto"/>
            <w:shd w:val="clear" w:color="auto" w:fill="FFFFFF" w:themeFill="background1"/>
            <w:noWrap/>
            <w:hideMark/>
          </w:tcPr>
          <w:p w14:paraId="6B7CA93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2874FF32"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1.16</w:t>
            </w:r>
          </w:p>
        </w:tc>
        <w:tc>
          <w:tcPr>
            <w:tcW w:w="0" w:type="auto"/>
            <w:shd w:val="clear" w:color="auto" w:fill="FFFFFF" w:themeFill="background1"/>
            <w:noWrap/>
            <w:hideMark/>
          </w:tcPr>
          <w:p w14:paraId="2B6EF503"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5ABA3161"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3405466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496ADA66"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234953F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4F28286A"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1.16</w:t>
            </w:r>
          </w:p>
        </w:tc>
      </w:tr>
      <w:tr w:rsidR="00D41A25" w:rsidRPr="00DD27DB" w14:paraId="195F03CC"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hideMark/>
          </w:tcPr>
          <w:p w14:paraId="5E1A09A3"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Intensity [INTERCEPT]</w:t>
            </w:r>
          </w:p>
        </w:tc>
        <w:tc>
          <w:tcPr>
            <w:tcW w:w="0" w:type="auto"/>
            <w:shd w:val="clear" w:color="auto" w:fill="FFFFFF" w:themeFill="background1"/>
            <w:noWrap/>
            <w:hideMark/>
          </w:tcPr>
          <w:p w14:paraId="27F0A83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56729621"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04F660C2"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1.09</w:t>
            </w:r>
          </w:p>
        </w:tc>
        <w:tc>
          <w:tcPr>
            <w:tcW w:w="0" w:type="auto"/>
            <w:shd w:val="clear" w:color="auto" w:fill="FFFFFF" w:themeFill="background1"/>
            <w:noWrap/>
            <w:hideMark/>
          </w:tcPr>
          <w:p w14:paraId="7AEAB41C"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1.34</w:t>
            </w:r>
          </w:p>
        </w:tc>
        <w:tc>
          <w:tcPr>
            <w:tcW w:w="0" w:type="auto"/>
            <w:shd w:val="clear" w:color="auto" w:fill="FFFFFF" w:themeFill="background1"/>
            <w:noWrap/>
            <w:hideMark/>
          </w:tcPr>
          <w:p w14:paraId="190C9ADF"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139E2AD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1.06</w:t>
            </w:r>
          </w:p>
        </w:tc>
        <w:tc>
          <w:tcPr>
            <w:tcW w:w="0" w:type="auto"/>
            <w:shd w:val="clear" w:color="auto" w:fill="FFFFFF" w:themeFill="background1"/>
            <w:noWrap/>
            <w:hideMark/>
          </w:tcPr>
          <w:p w14:paraId="35DF2F8F"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4E306188"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311A7D6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1.03</w:t>
            </w:r>
          </w:p>
        </w:tc>
        <w:tc>
          <w:tcPr>
            <w:tcW w:w="0" w:type="auto"/>
            <w:shd w:val="clear" w:color="auto" w:fill="FFFFFF" w:themeFill="background1"/>
            <w:noWrap/>
            <w:hideMark/>
          </w:tcPr>
          <w:p w14:paraId="604A31A2"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1.08</w:t>
            </w:r>
          </w:p>
        </w:tc>
      </w:tr>
      <w:tr w:rsidR="00D41A25" w:rsidRPr="00DD27DB" w14:paraId="11EDEBDA" w14:textId="77777777" w:rsidTr="00D80B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noWrap/>
            <w:vAlign w:val="center"/>
            <w:hideMark/>
          </w:tcPr>
          <w:p w14:paraId="6D216AD2"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Intensity [INC BIAS]</w:t>
            </w:r>
          </w:p>
        </w:tc>
        <w:tc>
          <w:tcPr>
            <w:tcW w:w="0" w:type="auto"/>
            <w:shd w:val="clear" w:color="auto" w:fill="FFFFFF" w:themeFill="background1"/>
            <w:noWrap/>
            <w:hideMark/>
          </w:tcPr>
          <w:p w14:paraId="360BDF9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008D93E1"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shd w:val="clear" w:color="auto" w:fill="FFFFFF" w:themeFill="background1"/>
            <w:noWrap/>
            <w:hideMark/>
          </w:tcPr>
          <w:p w14:paraId="526EC10E"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7DF1174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1.18</w:t>
            </w:r>
          </w:p>
        </w:tc>
        <w:tc>
          <w:tcPr>
            <w:tcW w:w="0" w:type="auto"/>
            <w:shd w:val="clear" w:color="auto" w:fill="FFFFFF" w:themeFill="background1"/>
            <w:noWrap/>
            <w:hideMark/>
          </w:tcPr>
          <w:p w14:paraId="25168790"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shd w:val="clear" w:color="auto" w:fill="FFFFFF" w:themeFill="background1"/>
            <w:noWrap/>
            <w:hideMark/>
          </w:tcPr>
          <w:p w14:paraId="6C5B5C87"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shd w:val="clear" w:color="auto" w:fill="FFFFFF" w:themeFill="background1"/>
            <w:noWrap/>
            <w:hideMark/>
          </w:tcPr>
          <w:p w14:paraId="07F9903F"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0C1F754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shd w:val="clear" w:color="auto" w:fill="FFFFFF" w:themeFill="background1"/>
            <w:noWrap/>
            <w:hideMark/>
          </w:tcPr>
          <w:p w14:paraId="2DE263E8"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1.03</w:t>
            </w:r>
          </w:p>
        </w:tc>
        <w:tc>
          <w:tcPr>
            <w:tcW w:w="0" w:type="auto"/>
            <w:shd w:val="clear" w:color="auto" w:fill="FFFFFF" w:themeFill="background1"/>
            <w:noWrap/>
            <w:hideMark/>
          </w:tcPr>
          <w:p w14:paraId="611F8994" w14:textId="77777777" w:rsidR="00D41A25" w:rsidRPr="008F7C02" w:rsidRDefault="00D41A25" w:rsidP="00D80BF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1.12</w:t>
            </w:r>
          </w:p>
        </w:tc>
      </w:tr>
      <w:tr w:rsidR="00D41A25" w:rsidRPr="00DD27DB" w14:paraId="7B62FEFE" w14:textId="77777777" w:rsidTr="00D80BF8">
        <w:trPr>
          <w:trHeight w:val="288"/>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shd w:val="clear" w:color="auto" w:fill="FFFFFF" w:themeFill="background1"/>
            <w:noWrap/>
            <w:vAlign w:val="center"/>
            <w:hideMark/>
          </w:tcPr>
          <w:p w14:paraId="6F7DD20D" w14:textId="77777777" w:rsidR="00D41A25" w:rsidRPr="008F7C02" w:rsidRDefault="00D41A25" w:rsidP="00D80BF8">
            <w:pPr>
              <w:rPr>
                <w:rFonts w:ascii="Times New Roman" w:eastAsia="Times New Roman" w:hAnsi="Times New Roman" w:cs="Times New Roman"/>
                <w:b w:val="0"/>
                <w:color w:val="000000"/>
                <w:lang w:eastAsia="en-CA"/>
              </w:rPr>
            </w:pPr>
            <w:r w:rsidRPr="008F7C02">
              <w:rPr>
                <w:rFonts w:ascii="Times New Roman" w:hAnsi="Times New Roman"/>
                <w:color w:val="000000"/>
                <w:lang w:eastAsia="en-CA"/>
              </w:rPr>
              <w:t>Intensity [OPP BIAS]</w:t>
            </w:r>
          </w:p>
        </w:tc>
        <w:tc>
          <w:tcPr>
            <w:tcW w:w="0" w:type="auto"/>
            <w:tcBorders>
              <w:bottom w:val="single" w:sz="8" w:space="0" w:color="000000" w:themeColor="text1"/>
            </w:tcBorders>
            <w:shd w:val="clear" w:color="auto" w:fill="FFFFFF" w:themeFill="background1"/>
            <w:noWrap/>
            <w:hideMark/>
          </w:tcPr>
          <w:p w14:paraId="48F01DF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bottom w:val="single" w:sz="8" w:space="0" w:color="000000" w:themeColor="text1"/>
            </w:tcBorders>
            <w:shd w:val="clear" w:color="auto" w:fill="FFFFFF" w:themeFill="background1"/>
            <w:noWrap/>
            <w:hideMark/>
          </w:tcPr>
          <w:p w14:paraId="3EBAF755"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tcBorders>
              <w:bottom w:val="single" w:sz="8" w:space="0" w:color="000000" w:themeColor="text1"/>
            </w:tcBorders>
            <w:shd w:val="clear" w:color="auto" w:fill="FFFFFF" w:themeFill="background1"/>
            <w:noWrap/>
            <w:hideMark/>
          </w:tcPr>
          <w:p w14:paraId="25AF46D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1.11</w:t>
            </w:r>
          </w:p>
        </w:tc>
        <w:tc>
          <w:tcPr>
            <w:tcW w:w="0" w:type="auto"/>
            <w:tcBorders>
              <w:bottom w:val="single" w:sz="8" w:space="0" w:color="000000" w:themeColor="text1"/>
            </w:tcBorders>
            <w:shd w:val="clear" w:color="auto" w:fill="FFFFFF" w:themeFill="background1"/>
            <w:noWrap/>
            <w:hideMark/>
          </w:tcPr>
          <w:p w14:paraId="503E0444"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1.4</w:t>
            </w:r>
          </w:p>
        </w:tc>
        <w:tc>
          <w:tcPr>
            <w:tcW w:w="0" w:type="auto"/>
            <w:tcBorders>
              <w:bottom w:val="single" w:sz="8" w:space="0" w:color="000000" w:themeColor="text1"/>
            </w:tcBorders>
            <w:shd w:val="clear" w:color="auto" w:fill="FFFFFF" w:themeFill="background1"/>
            <w:noWrap/>
            <w:hideMark/>
          </w:tcPr>
          <w:p w14:paraId="76369432"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1.01</w:t>
            </w:r>
          </w:p>
        </w:tc>
        <w:tc>
          <w:tcPr>
            <w:tcW w:w="0" w:type="auto"/>
            <w:tcBorders>
              <w:bottom w:val="single" w:sz="8" w:space="0" w:color="000000" w:themeColor="text1"/>
            </w:tcBorders>
            <w:shd w:val="clear" w:color="auto" w:fill="FFFFFF" w:themeFill="background1"/>
            <w:noWrap/>
            <w:hideMark/>
          </w:tcPr>
          <w:p w14:paraId="26E026CB"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1.04</w:t>
            </w:r>
          </w:p>
        </w:tc>
        <w:tc>
          <w:tcPr>
            <w:tcW w:w="0" w:type="auto"/>
            <w:tcBorders>
              <w:bottom w:val="single" w:sz="8" w:space="0" w:color="000000" w:themeColor="text1"/>
            </w:tcBorders>
            <w:shd w:val="clear" w:color="auto" w:fill="FFFFFF" w:themeFill="background1"/>
            <w:noWrap/>
            <w:hideMark/>
          </w:tcPr>
          <w:p w14:paraId="003D117E"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tcBorders>
              <w:bottom w:val="single" w:sz="8" w:space="0" w:color="000000" w:themeColor="text1"/>
            </w:tcBorders>
            <w:shd w:val="clear" w:color="auto" w:fill="FFFFFF" w:themeFill="background1"/>
            <w:noWrap/>
            <w:hideMark/>
          </w:tcPr>
          <w:p w14:paraId="41D4B6C9"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7C02">
              <w:rPr>
                <w:rFonts w:ascii="Times New Roman" w:hAnsi="Times New Roman"/>
                <w:color w:val="000000"/>
                <w:lang w:eastAsia="en-CA"/>
              </w:rPr>
              <w:t>1.00</w:t>
            </w:r>
          </w:p>
        </w:tc>
        <w:tc>
          <w:tcPr>
            <w:tcW w:w="0" w:type="auto"/>
            <w:tcBorders>
              <w:bottom w:val="single" w:sz="8" w:space="0" w:color="000000" w:themeColor="text1"/>
            </w:tcBorders>
            <w:shd w:val="clear" w:color="auto" w:fill="FFFFFF" w:themeFill="background1"/>
            <w:noWrap/>
            <w:hideMark/>
          </w:tcPr>
          <w:p w14:paraId="187516B7"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1.02</w:t>
            </w:r>
          </w:p>
        </w:tc>
        <w:tc>
          <w:tcPr>
            <w:tcW w:w="0" w:type="auto"/>
            <w:tcBorders>
              <w:bottom w:val="single" w:sz="8" w:space="0" w:color="000000" w:themeColor="text1"/>
            </w:tcBorders>
            <w:shd w:val="clear" w:color="auto" w:fill="FFFFFF" w:themeFill="background1"/>
            <w:noWrap/>
            <w:hideMark/>
          </w:tcPr>
          <w:p w14:paraId="5EF5163D" w14:textId="77777777" w:rsidR="00D41A25" w:rsidRPr="008F7C02" w:rsidRDefault="00D41A25" w:rsidP="00D80B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CA"/>
              </w:rPr>
            </w:pPr>
            <w:r w:rsidRPr="008F7C02">
              <w:rPr>
                <w:rFonts w:ascii="Times New Roman" w:hAnsi="Times New Roman"/>
                <w:color w:val="000000"/>
                <w:lang w:eastAsia="en-CA"/>
              </w:rPr>
              <w:t>1.07</w:t>
            </w:r>
          </w:p>
        </w:tc>
      </w:tr>
    </w:tbl>
    <w:p w14:paraId="1FDD5880" w14:textId="77777777" w:rsidR="00D41A25" w:rsidRPr="00DD27DB" w:rsidRDefault="00D41A25" w:rsidP="00D41A25">
      <w:r w:rsidRPr="00DD27DB">
        <w:t>*Potential Scale Reduction Factor</w:t>
      </w:r>
    </w:p>
    <w:p w14:paraId="0998F4A7" w14:textId="77777777" w:rsidR="00D41A25" w:rsidRPr="008F7C02" w:rsidRDefault="00D41A25" w:rsidP="00D41A25">
      <w:pPr>
        <w:rPr>
          <w:color w:val="000000"/>
          <w:lang w:eastAsia="en-CA"/>
        </w:rPr>
      </w:pPr>
      <w:r w:rsidRPr="00DD27DB">
        <w:t>**</w:t>
      </w:r>
      <w:r w:rsidRPr="008F7C02">
        <w:rPr>
          <w:color w:val="000000"/>
          <w:lang w:eastAsia="en-CA"/>
        </w:rPr>
        <w:t>Confidence Level</w:t>
      </w:r>
    </w:p>
    <w:p w14:paraId="4BEE6F74" w14:textId="77777777" w:rsidR="00D41A25" w:rsidRPr="008F7C02" w:rsidRDefault="00D41A25" w:rsidP="00D41A25">
      <w:pPr>
        <w:rPr>
          <w:color w:val="000000"/>
          <w:lang w:eastAsia="en-CA"/>
        </w:rPr>
      </w:pPr>
    </w:p>
    <w:p w14:paraId="1BDEED45" w14:textId="6E9FC465" w:rsidR="00541C69" w:rsidRPr="00541C69" w:rsidRDefault="00D41A25" w:rsidP="00774E25">
      <w:r w:rsidRPr="008F7C02">
        <w:rPr>
          <w:color w:val="000000"/>
          <w:lang w:eastAsia="en-CA"/>
        </w:rPr>
        <w:t xml:space="preserve">The convergence is assessed by comparing the estimated between-chains and within-chain variances for each model parameter. Large differences between these variances indicate nonconvergence (Gelman and Rubin 1992; Brooks and Gelman). </w:t>
      </w:r>
      <w:r>
        <w:rPr>
          <w:color w:val="000000"/>
          <w:lang w:eastAsia="en-CA"/>
        </w:rPr>
        <w:t xml:space="preserve">If the potential scale reduction factor is less than </w:t>
      </w:r>
      <w:r w:rsidRPr="008F7C02">
        <w:rPr>
          <w:color w:val="000000"/>
          <w:lang w:eastAsia="en-CA"/>
        </w:rPr>
        <w:t>1.2 and</w:t>
      </w:r>
      <w:r>
        <w:rPr>
          <w:color w:val="000000"/>
          <w:lang w:eastAsia="en-CA"/>
        </w:rPr>
        <w:t xml:space="preserve"> less than the </w:t>
      </w:r>
      <w:r w:rsidRPr="008F7C02">
        <w:rPr>
          <w:color w:val="000000"/>
          <w:lang w:eastAsia="en-CA"/>
        </w:rPr>
        <w:t xml:space="preserve">95% </w:t>
      </w:r>
      <w:r>
        <w:rPr>
          <w:color w:val="000000"/>
          <w:lang w:eastAsia="en-CA"/>
        </w:rPr>
        <w:t>confidence level statistic, there is no evidence of nonconvergence.</w:t>
      </w:r>
    </w:p>
    <w:sectPr w:rsidR="00541C69" w:rsidRPr="00541C69" w:rsidSect="00774E2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17C3" w14:textId="77777777" w:rsidR="00A40011" w:rsidRDefault="00A40011">
      <w:r>
        <w:separator/>
      </w:r>
    </w:p>
  </w:endnote>
  <w:endnote w:type="continuationSeparator" w:id="0">
    <w:p w14:paraId="4D174C1C" w14:textId="77777777" w:rsidR="00A40011" w:rsidRDefault="00A4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6BCE6" w14:textId="77777777" w:rsidR="00A40011" w:rsidRDefault="00A40011">
      <w:r>
        <w:separator/>
      </w:r>
    </w:p>
  </w:footnote>
  <w:footnote w:type="continuationSeparator" w:id="0">
    <w:p w14:paraId="1303399E" w14:textId="77777777" w:rsidR="00A40011" w:rsidRDefault="00A4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C210" w14:textId="4AE1052B" w:rsidR="00D47435" w:rsidRDefault="00D47435" w:rsidP="003E76E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30D">
      <w:rPr>
        <w:rStyle w:val="PageNumber"/>
        <w:noProof/>
      </w:rPr>
      <w:t>11</w:t>
    </w:r>
    <w:r>
      <w:rPr>
        <w:rStyle w:val="PageNumber"/>
      </w:rPr>
      <w:fldChar w:fldCharType="end"/>
    </w:r>
  </w:p>
  <w:p w14:paraId="4217BE5F" w14:textId="3C6BAF87" w:rsidR="00D47435" w:rsidRPr="003A5F5C" w:rsidRDefault="00D47435" w:rsidP="0011582C">
    <w:pPr>
      <w:pStyle w:val="Header"/>
      <w:ind w:right="36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B7F70"/>
    <w:multiLevelType w:val="hybridMultilevel"/>
    <w:tmpl w:val="77DC95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812D5D-E446-41B1-89EF-CE016F1D768F}"/>
    <w:docVar w:name="dgnword-eventsink" w:val="164849992"/>
  </w:docVars>
  <w:rsids>
    <w:rsidRoot w:val="00EE09C2"/>
    <w:rsid w:val="00000BB0"/>
    <w:rsid w:val="00001821"/>
    <w:rsid w:val="00003F6E"/>
    <w:rsid w:val="00011A90"/>
    <w:rsid w:val="0001493C"/>
    <w:rsid w:val="00021C89"/>
    <w:rsid w:val="00023431"/>
    <w:rsid w:val="000234FB"/>
    <w:rsid w:val="00023945"/>
    <w:rsid w:val="000246FD"/>
    <w:rsid w:val="00024D11"/>
    <w:rsid w:val="000257DA"/>
    <w:rsid w:val="00025BBF"/>
    <w:rsid w:val="00025DE8"/>
    <w:rsid w:val="00030132"/>
    <w:rsid w:val="00030AA2"/>
    <w:rsid w:val="00033E0C"/>
    <w:rsid w:val="00037583"/>
    <w:rsid w:val="00041A19"/>
    <w:rsid w:val="00042AFE"/>
    <w:rsid w:val="00043348"/>
    <w:rsid w:val="000436B0"/>
    <w:rsid w:val="000436B3"/>
    <w:rsid w:val="00044972"/>
    <w:rsid w:val="00046777"/>
    <w:rsid w:val="000547A7"/>
    <w:rsid w:val="000559A9"/>
    <w:rsid w:val="000564BA"/>
    <w:rsid w:val="00057FE6"/>
    <w:rsid w:val="00062E98"/>
    <w:rsid w:val="00065644"/>
    <w:rsid w:val="0006565E"/>
    <w:rsid w:val="000659EF"/>
    <w:rsid w:val="000702E5"/>
    <w:rsid w:val="00071078"/>
    <w:rsid w:val="0007358D"/>
    <w:rsid w:val="0007625A"/>
    <w:rsid w:val="000762C8"/>
    <w:rsid w:val="00077B18"/>
    <w:rsid w:val="00077BDC"/>
    <w:rsid w:val="0008066E"/>
    <w:rsid w:val="00082045"/>
    <w:rsid w:val="000828FC"/>
    <w:rsid w:val="00083E46"/>
    <w:rsid w:val="0008455A"/>
    <w:rsid w:val="000848E5"/>
    <w:rsid w:val="00084AFF"/>
    <w:rsid w:val="00085547"/>
    <w:rsid w:val="00087807"/>
    <w:rsid w:val="00093913"/>
    <w:rsid w:val="00094A61"/>
    <w:rsid w:val="00096B6E"/>
    <w:rsid w:val="000978E5"/>
    <w:rsid w:val="000A158F"/>
    <w:rsid w:val="000A2C89"/>
    <w:rsid w:val="000A47B8"/>
    <w:rsid w:val="000A536E"/>
    <w:rsid w:val="000A69BA"/>
    <w:rsid w:val="000A7715"/>
    <w:rsid w:val="000B176F"/>
    <w:rsid w:val="000B1F76"/>
    <w:rsid w:val="000B2197"/>
    <w:rsid w:val="000B6FC8"/>
    <w:rsid w:val="000B76C2"/>
    <w:rsid w:val="000B7ABA"/>
    <w:rsid w:val="000C0043"/>
    <w:rsid w:val="000C00B3"/>
    <w:rsid w:val="000C37A6"/>
    <w:rsid w:val="000C46A5"/>
    <w:rsid w:val="000C4A9D"/>
    <w:rsid w:val="000C5EB7"/>
    <w:rsid w:val="000C5FD4"/>
    <w:rsid w:val="000D06A6"/>
    <w:rsid w:val="000D1013"/>
    <w:rsid w:val="000D12C0"/>
    <w:rsid w:val="000D1D34"/>
    <w:rsid w:val="000D20AC"/>
    <w:rsid w:val="000D2902"/>
    <w:rsid w:val="000D60E4"/>
    <w:rsid w:val="000D6961"/>
    <w:rsid w:val="000D794A"/>
    <w:rsid w:val="000E0BE6"/>
    <w:rsid w:val="000E125E"/>
    <w:rsid w:val="000E2102"/>
    <w:rsid w:val="000E221F"/>
    <w:rsid w:val="000E40E5"/>
    <w:rsid w:val="000E454C"/>
    <w:rsid w:val="000E6F6C"/>
    <w:rsid w:val="000F0BA7"/>
    <w:rsid w:val="000F2155"/>
    <w:rsid w:val="000F2A29"/>
    <w:rsid w:val="000F3FF2"/>
    <w:rsid w:val="000F48AE"/>
    <w:rsid w:val="000F5339"/>
    <w:rsid w:val="000F56A8"/>
    <w:rsid w:val="000F5866"/>
    <w:rsid w:val="000F645A"/>
    <w:rsid w:val="00100A83"/>
    <w:rsid w:val="0010141D"/>
    <w:rsid w:val="001025BF"/>
    <w:rsid w:val="00102E5F"/>
    <w:rsid w:val="00102FEC"/>
    <w:rsid w:val="001030C3"/>
    <w:rsid w:val="00103CAB"/>
    <w:rsid w:val="001049A8"/>
    <w:rsid w:val="00104F98"/>
    <w:rsid w:val="001053D8"/>
    <w:rsid w:val="00106130"/>
    <w:rsid w:val="00106300"/>
    <w:rsid w:val="0011018C"/>
    <w:rsid w:val="0011054A"/>
    <w:rsid w:val="001108E2"/>
    <w:rsid w:val="00110C3C"/>
    <w:rsid w:val="0011582C"/>
    <w:rsid w:val="001160D9"/>
    <w:rsid w:val="0011689E"/>
    <w:rsid w:val="0012150E"/>
    <w:rsid w:val="0012151B"/>
    <w:rsid w:val="0012244C"/>
    <w:rsid w:val="00123852"/>
    <w:rsid w:val="00124D4E"/>
    <w:rsid w:val="00126ADF"/>
    <w:rsid w:val="00131A5E"/>
    <w:rsid w:val="00132247"/>
    <w:rsid w:val="001324B9"/>
    <w:rsid w:val="00132CC4"/>
    <w:rsid w:val="0014044B"/>
    <w:rsid w:val="00142E74"/>
    <w:rsid w:val="00143A51"/>
    <w:rsid w:val="00143E7D"/>
    <w:rsid w:val="00144E31"/>
    <w:rsid w:val="00145591"/>
    <w:rsid w:val="001458B6"/>
    <w:rsid w:val="001514B4"/>
    <w:rsid w:val="001546B5"/>
    <w:rsid w:val="0015530D"/>
    <w:rsid w:val="001573CC"/>
    <w:rsid w:val="00161753"/>
    <w:rsid w:val="00162140"/>
    <w:rsid w:val="00162768"/>
    <w:rsid w:val="0016409B"/>
    <w:rsid w:val="001640CE"/>
    <w:rsid w:val="0016679C"/>
    <w:rsid w:val="00171525"/>
    <w:rsid w:val="0017156E"/>
    <w:rsid w:val="00172130"/>
    <w:rsid w:val="00174C0A"/>
    <w:rsid w:val="00176410"/>
    <w:rsid w:val="001765D1"/>
    <w:rsid w:val="00176E04"/>
    <w:rsid w:val="001770CE"/>
    <w:rsid w:val="00177F34"/>
    <w:rsid w:val="00180177"/>
    <w:rsid w:val="00182096"/>
    <w:rsid w:val="001822CD"/>
    <w:rsid w:val="0018361E"/>
    <w:rsid w:val="00183878"/>
    <w:rsid w:val="00184C3B"/>
    <w:rsid w:val="001856C6"/>
    <w:rsid w:val="00185C33"/>
    <w:rsid w:val="00185DB5"/>
    <w:rsid w:val="0018718D"/>
    <w:rsid w:val="00191E82"/>
    <w:rsid w:val="0019202A"/>
    <w:rsid w:val="0019252D"/>
    <w:rsid w:val="001934FA"/>
    <w:rsid w:val="00194618"/>
    <w:rsid w:val="001950C6"/>
    <w:rsid w:val="001A0DE7"/>
    <w:rsid w:val="001A2E91"/>
    <w:rsid w:val="001A526E"/>
    <w:rsid w:val="001A5C7F"/>
    <w:rsid w:val="001A67B8"/>
    <w:rsid w:val="001B2848"/>
    <w:rsid w:val="001B53C7"/>
    <w:rsid w:val="001B5C38"/>
    <w:rsid w:val="001B7D8C"/>
    <w:rsid w:val="001C09B2"/>
    <w:rsid w:val="001C29C3"/>
    <w:rsid w:val="001C3175"/>
    <w:rsid w:val="001C4611"/>
    <w:rsid w:val="001C46B2"/>
    <w:rsid w:val="001C577A"/>
    <w:rsid w:val="001C5C70"/>
    <w:rsid w:val="001C665E"/>
    <w:rsid w:val="001C6886"/>
    <w:rsid w:val="001C76BE"/>
    <w:rsid w:val="001C79BE"/>
    <w:rsid w:val="001D0E62"/>
    <w:rsid w:val="001D4874"/>
    <w:rsid w:val="001D7035"/>
    <w:rsid w:val="001D70A0"/>
    <w:rsid w:val="001E0957"/>
    <w:rsid w:val="001E3AD5"/>
    <w:rsid w:val="001E52B5"/>
    <w:rsid w:val="001E5F5C"/>
    <w:rsid w:val="001E602D"/>
    <w:rsid w:val="001E6230"/>
    <w:rsid w:val="001F35B0"/>
    <w:rsid w:val="001F35DD"/>
    <w:rsid w:val="0020043D"/>
    <w:rsid w:val="002033DB"/>
    <w:rsid w:val="00203DB3"/>
    <w:rsid w:val="00210DB2"/>
    <w:rsid w:val="002169A7"/>
    <w:rsid w:val="002203AF"/>
    <w:rsid w:val="00223032"/>
    <w:rsid w:val="0022480D"/>
    <w:rsid w:val="0022558A"/>
    <w:rsid w:val="002314EB"/>
    <w:rsid w:val="0023294F"/>
    <w:rsid w:val="002329C5"/>
    <w:rsid w:val="00235C7A"/>
    <w:rsid w:val="00235E17"/>
    <w:rsid w:val="00237827"/>
    <w:rsid w:val="00237B89"/>
    <w:rsid w:val="00243A7C"/>
    <w:rsid w:val="00245679"/>
    <w:rsid w:val="00246BD0"/>
    <w:rsid w:val="0025003B"/>
    <w:rsid w:val="00251553"/>
    <w:rsid w:val="002539F4"/>
    <w:rsid w:val="00253D34"/>
    <w:rsid w:val="00253E3E"/>
    <w:rsid w:val="00256026"/>
    <w:rsid w:val="00256270"/>
    <w:rsid w:val="002575E1"/>
    <w:rsid w:val="00260C6F"/>
    <w:rsid w:val="00260CCF"/>
    <w:rsid w:val="00262AC5"/>
    <w:rsid w:val="00262BC5"/>
    <w:rsid w:val="00262D49"/>
    <w:rsid w:val="00263481"/>
    <w:rsid w:val="0026379A"/>
    <w:rsid w:val="002642C7"/>
    <w:rsid w:val="002646AD"/>
    <w:rsid w:val="00264989"/>
    <w:rsid w:val="00267733"/>
    <w:rsid w:val="00274390"/>
    <w:rsid w:val="002754A0"/>
    <w:rsid w:val="002771D5"/>
    <w:rsid w:val="002819D6"/>
    <w:rsid w:val="00281F4E"/>
    <w:rsid w:val="00282713"/>
    <w:rsid w:val="002855FF"/>
    <w:rsid w:val="00285814"/>
    <w:rsid w:val="00286C76"/>
    <w:rsid w:val="00290FEE"/>
    <w:rsid w:val="00291B2B"/>
    <w:rsid w:val="00292D51"/>
    <w:rsid w:val="0029313F"/>
    <w:rsid w:val="00296C0F"/>
    <w:rsid w:val="00297B39"/>
    <w:rsid w:val="002A0889"/>
    <w:rsid w:val="002A14CB"/>
    <w:rsid w:val="002A4FED"/>
    <w:rsid w:val="002A7711"/>
    <w:rsid w:val="002B268B"/>
    <w:rsid w:val="002B2709"/>
    <w:rsid w:val="002B50E5"/>
    <w:rsid w:val="002B550B"/>
    <w:rsid w:val="002B60F2"/>
    <w:rsid w:val="002B7028"/>
    <w:rsid w:val="002C1030"/>
    <w:rsid w:val="002C127A"/>
    <w:rsid w:val="002C12BD"/>
    <w:rsid w:val="002C3CA6"/>
    <w:rsid w:val="002C74D2"/>
    <w:rsid w:val="002D0302"/>
    <w:rsid w:val="002D2F41"/>
    <w:rsid w:val="002D3812"/>
    <w:rsid w:val="002D4AB2"/>
    <w:rsid w:val="002D57A9"/>
    <w:rsid w:val="002D7A1B"/>
    <w:rsid w:val="002E1636"/>
    <w:rsid w:val="002E284A"/>
    <w:rsid w:val="002E414C"/>
    <w:rsid w:val="002E50D6"/>
    <w:rsid w:val="002E531C"/>
    <w:rsid w:val="002F39A5"/>
    <w:rsid w:val="002F3CAD"/>
    <w:rsid w:val="002F4574"/>
    <w:rsid w:val="002F5BF0"/>
    <w:rsid w:val="002F7376"/>
    <w:rsid w:val="003013AD"/>
    <w:rsid w:val="00304AF7"/>
    <w:rsid w:val="00306200"/>
    <w:rsid w:val="0031082B"/>
    <w:rsid w:val="00310DBF"/>
    <w:rsid w:val="00310F31"/>
    <w:rsid w:val="003111D6"/>
    <w:rsid w:val="003127DF"/>
    <w:rsid w:val="0031361F"/>
    <w:rsid w:val="00313B19"/>
    <w:rsid w:val="00320880"/>
    <w:rsid w:val="00324387"/>
    <w:rsid w:val="00324EBD"/>
    <w:rsid w:val="00325E88"/>
    <w:rsid w:val="00330472"/>
    <w:rsid w:val="00330810"/>
    <w:rsid w:val="00330E89"/>
    <w:rsid w:val="0033105A"/>
    <w:rsid w:val="00331ADE"/>
    <w:rsid w:val="00331E9E"/>
    <w:rsid w:val="00334588"/>
    <w:rsid w:val="00334649"/>
    <w:rsid w:val="00335B86"/>
    <w:rsid w:val="003370F3"/>
    <w:rsid w:val="00337599"/>
    <w:rsid w:val="00337E02"/>
    <w:rsid w:val="003425D8"/>
    <w:rsid w:val="00343356"/>
    <w:rsid w:val="00343F40"/>
    <w:rsid w:val="0034431B"/>
    <w:rsid w:val="0034516E"/>
    <w:rsid w:val="00345BA2"/>
    <w:rsid w:val="00350988"/>
    <w:rsid w:val="0035299B"/>
    <w:rsid w:val="00352E92"/>
    <w:rsid w:val="00352F8E"/>
    <w:rsid w:val="00353B8E"/>
    <w:rsid w:val="00354FBE"/>
    <w:rsid w:val="003570E2"/>
    <w:rsid w:val="00357232"/>
    <w:rsid w:val="003601BE"/>
    <w:rsid w:val="00366757"/>
    <w:rsid w:val="0037007E"/>
    <w:rsid w:val="0037085C"/>
    <w:rsid w:val="0037263B"/>
    <w:rsid w:val="00380D7B"/>
    <w:rsid w:val="0038200C"/>
    <w:rsid w:val="0038330A"/>
    <w:rsid w:val="00383B34"/>
    <w:rsid w:val="00384CCA"/>
    <w:rsid w:val="00387FFB"/>
    <w:rsid w:val="003909F1"/>
    <w:rsid w:val="00390E04"/>
    <w:rsid w:val="0039271F"/>
    <w:rsid w:val="00392AAC"/>
    <w:rsid w:val="00393214"/>
    <w:rsid w:val="00393BB2"/>
    <w:rsid w:val="003942CA"/>
    <w:rsid w:val="0039449B"/>
    <w:rsid w:val="00395156"/>
    <w:rsid w:val="00395B9C"/>
    <w:rsid w:val="003A01FD"/>
    <w:rsid w:val="003A1B1A"/>
    <w:rsid w:val="003A1E3E"/>
    <w:rsid w:val="003A34F1"/>
    <w:rsid w:val="003A381C"/>
    <w:rsid w:val="003A5426"/>
    <w:rsid w:val="003A5F5C"/>
    <w:rsid w:val="003A79A8"/>
    <w:rsid w:val="003B075A"/>
    <w:rsid w:val="003B0DA2"/>
    <w:rsid w:val="003B17CE"/>
    <w:rsid w:val="003B515B"/>
    <w:rsid w:val="003B6D9E"/>
    <w:rsid w:val="003C2127"/>
    <w:rsid w:val="003C329E"/>
    <w:rsid w:val="003C380D"/>
    <w:rsid w:val="003C3BF8"/>
    <w:rsid w:val="003C41E0"/>
    <w:rsid w:val="003C5DC6"/>
    <w:rsid w:val="003C750B"/>
    <w:rsid w:val="003C7C84"/>
    <w:rsid w:val="003C7D0B"/>
    <w:rsid w:val="003D0051"/>
    <w:rsid w:val="003D713E"/>
    <w:rsid w:val="003D76F7"/>
    <w:rsid w:val="003D7CF4"/>
    <w:rsid w:val="003E127B"/>
    <w:rsid w:val="003E1573"/>
    <w:rsid w:val="003E3946"/>
    <w:rsid w:val="003E3B80"/>
    <w:rsid w:val="003E3F17"/>
    <w:rsid w:val="003E46AA"/>
    <w:rsid w:val="003E62EF"/>
    <w:rsid w:val="003E7003"/>
    <w:rsid w:val="003E76EC"/>
    <w:rsid w:val="003F1393"/>
    <w:rsid w:val="003F187E"/>
    <w:rsid w:val="003F3668"/>
    <w:rsid w:val="003F5FE7"/>
    <w:rsid w:val="003F69AD"/>
    <w:rsid w:val="003F6D01"/>
    <w:rsid w:val="003F6D18"/>
    <w:rsid w:val="003F7490"/>
    <w:rsid w:val="003F758B"/>
    <w:rsid w:val="003F788F"/>
    <w:rsid w:val="003F7AE6"/>
    <w:rsid w:val="003F7F86"/>
    <w:rsid w:val="00400615"/>
    <w:rsid w:val="00400D7A"/>
    <w:rsid w:val="004012C8"/>
    <w:rsid w:val="00402FD4"/>
    <w:rsid w:val="004061A8"/>
    <w:rsid w:val="004062EA"/>
    <w:rsid w:val="00407773"/>
    <w:rsid w:val="00410729"/>
    <w:rsid w:val="00410D53"/>
    <w:rsid w:val="00411039"/>
    <w:rsid w:val="00412186"/>
    <w:rsid w:val="004124BA"/>
    <w:rsid w:val="00415452"/>
    <w:rsid w:val="00417B81"/>
    <w:rsid w:val="004221E9"/>
    <w:rsid w:val="004251D5"/>
    <w:rsid w:val="00425FAA"/>
    <w:rsid w:val="0042624E"/>
    <w:rsid w:val="00426293"/>
    <w:rsid w:val="00426448"/>
    <w:rsid w:val="00426901"/>
    <w:rsid w:val="004276D7"/>
    <w:rsid w:val="00431187"/>
    <w:rsid w:val="004318D9"/>
    <w:rsid w:val="00432B81"/>
    <w:rsid w:val="00435ED4"/>
    <w:rsid w:val="00437052"/>
    <w:rsid w:val="004410C9"/>
    <w:rsid w:val="00441C6B"/>
    <w:rsid w:val="004420DB"/>
    <w:rsid w:val="0044313C"/>
    <w:rsid w:val="00443622"/>
    <w:rsid w:val="00443BAE"/>
    <w:rsid w:val="00444429"/>
    <w:rsid w:val="00444BBA"/>
    <w:rsid w:val="00445FFB"/>
    <w:rsid w:val="004478FF"/>
    <w:rsid w:val="004516D5"/>
    <w:rsid w:val="0045171F"/>
    <w:rsid w:val="004522B0"/>
    <w:rsid w:val="00453457"/>
    <w:rsid w:val="004549D5"/>
    <w:rsid w:val="00454BC8"/>
    <w:rsid w:val="00455E83"/>
    <w:rsid w:val="0045603A"/>
    <w:rsid w:val="00461A38"/>
    <w:rsid w:val="0046460C"/>
    <w:rsid w:val="00465683"/>
    <w:rsid w:val="00465D2C"/>
    <w:rsid w:val="00467B47"/>
    <w:rsid w:val="004724C2"/>
    <w:rsid w:val="00473952"/>
    <w:rsid w:val="00473FD8"/>
    <w:rsid w:val="00474F5A"/>
    <w:rsid w:val="0047557B"/>
    <w:rsid w:val="0048066F"/>
    <w:rsid w:val="00480892"/>
    <w:rsid w:val="004816A4"/>
    <w:rsid w:val="00483679"/>
    <w:rsid w:val="00484305"/>
    <w:rsid w:val="004858EB"/>
    <w:rsid w:val="00487592"/>
    <w:rsid w:val="004905CD"/>
    <w:rsid w:val="00490EFE"/>
    <w:rsid w:val="004928EB"/>
    <w:rsid w:val="004948FB"/>
    <w:rsid w:val="004974A3"/>
    <w:rsid w:val="00497DB4"/>
    <w:rsid w:val="004A191D"/>
    <w:rsid w:val="004A21FB"/>
    <w:rsid w:val="004A3DD0"/>
    <w:rsid w:val="004A4D08"/>
    <w:rsid w:val="004A7C28"/>
    <w:rsid w:val="004A7CCF"/>
    <w:rsid w:val="004A7CF4"/>
    <w:rsid w:val="004B08B2"/>
    <w:rsid w:val="004B317C"/>
    <w:rsid w:val="004B42BA"/>
    <w:rsid w:val="004B4FE4"/>
    <w:rsid w:val="004B541D"/>
    <w:rsid w:val="004B5E12"/>
    <w:rsid w:val="004B69ED"/>
    <w:rsid w:val="004C0984"/>
    <w:rsid w:val="004C0F24"/>
    <w:rsid w:val="004C139D"/>
    <w:rsid w:val="004C2649"/>
    <w:rsid w:val="004C3D3A"/>
    <w:rsid w:val="004C5198"/>
    <w:rsid w:val="004C5DF6"/>
    <w:rsid w:val="004C74A9"/>
    <w:rsid w:val="004C7D69"/>
    <w:rsid w:val="004D0AF8"/>
    <w:rsid w:val="004D25AC"/>
    <w:rsid w:val="004D7F4A"/>
    <w:rsid w:val="004E0BB9"/>
    <w:rsid w:val="004E0BE8"/>
    <w:rsid w:val="004E1A59"/>
    <w:rsid w:val="004E2346"/>
    <w:rsid w:val="004E263B"/>
    <w:rsid w:val="004E3000"/>
    <w:rsid w:val="004E5AA6"/>
    <w:rsid w:val="004E7477"/>
    <w:rsid w:val="004F1489"/>
    <w:rsid w:val="004F241A"/>
    <w:rsid w:val="004F3C8F"/>
    <w:rsid w:val="004F4394"/>
    <w:rsid w:val="00501D74"/>
    <w:rsid w:val="00502E69"/>
    <w:rsid w:val="00503335"/>
    <w:rsid w:val="00505317"/>
    <w:rsid w:val="0051224D"/>
    <w:rsid w:val="00513DA2"/>
    <w:rsid w:val="00515BD7"/>
    <w:rsid w:val="00516B4D"/>
    <w:rsid w:val="00517584"/>
    <w:rsid w:val="00520A7A"/>
    <w:rsid w:val="005241C7"/>
    <w:rsid w:val="0052626B"/>
    <w:rsid w:val="00527280"/>
    <w:rsid w:val="00531C98"/>
    <w:rsid w:val="00531EA3"/>
    <w:rsid w:val="00532945"/>
    <w:rsid w:val="00534145"/>
    <w:rsid w:val="00534F6C"/>
    <w:rsid w:val="00535A2A"/>
    <w:rsid w:val="005378E8"/>
    <w:rsid w:val="005413AB"/>
    <w:rsid w:val="00541C69"/>
    <w:rsid w:val="0054276C"/>
    <w:rsid w:val="00544561"/>
    <w:rsid w:val="0054469A"/>
    <w:rsid w:val="00546B52"/>
    <w:rsid w:val="00547EBF"/>
    <w:rsid w:val="005512A6"/>
    <w:rsid w:val="005538B9"/>
    <w:rsid w:val="0055483D"/>
    <w:rsid w:val="00557672"/>
    <w:rsid w:val="00557850"/>
    <w:rsid w:val="00560E88"/>
    <w:rsid w:val="00561E5C"/>
    <w:rsid w:val="005622B1"/>
    <w:rsid w:val="00563A2D"/>
    <w:rsid w:val="0057173D"/>
    <w:rsid w:val="00571BB9"/>
    <w:rsid w:val="00572647"/>
    <w:rsid w:val="00572F36"/>
    <w:rsid w:val="00573ECF"/>
    <w:rsid w:val="00574292"/>
    <w:rsid w:val="00574C07"/>
    <w:rsid w:val="0057658C"/>
    <w:rsid w:val="005769A4"/>
    <w:rsid w:val="005770BC"/>
    <w:rsid w:val="00580F2E"/>
    <w:rsid w:val="00582769"/>
    <w:rsid w:val="005864E5"/>
    <w:rsid w:val="00592998"/>
    <w:rsid w:val="00593E13"/>
    <w:rsid w:val="00594CBD"/>
    <w:rsid w:val="005A03FE"/>
    <w:rsid w:val="005A32E8"/>
    <w:rsid w:val="005A469F"/>
    <w:rsid w:val="005A6DA7"/>
    <w:rsid w:val="005B001B"/>
    <w:rsid w:val="005B0059"/>
    <w:rsid w:val="005B0B58"/>
    <w:rsid w:val="005B5DFC"/>
    <w:rsid w:val="005B6324"/>
    <w:rsid w:val="005C052D"/>
    <w:rsid w:val="005C07C1"/>
    <w:rsid w:val="005C0C7A"/>
    <w:rsid w:val="005C3798"/>
    <w:rsid w:val="005C5493"/>
    <w:rsid w:val="005D01FF"/>
    <w:rsid w:val="005D0400"/>
    <w:rsid w:val="005D1215"/>
    <w:rsid w:val="005D20F9"/>
    <w:rsid w:val="005D39AC"/>
    <w:rsid w:val="005D6712"/>
    <w:rsid w:val="005D7C30"/>
    <w:rsid w:val="005E0C0D"/>
    <w:rsid w:val="005E5A7D"/>
    <w:rsid w:val="005F4B5C"/>
    <w:rsid w:val="005F52EA"/>
    <w:rsid w:val="005F7D13"/>
    <w:rsid w:val="00601336"/>
    <w:rsid w:val="006019FD"/>
    <w:rsid w:val="00603D00"/>
    <w:rsid w:val="006041F9"/>
    <w:rsid w:val="006043E2"/>
    <w:rsid w:val="00604494"/>
    <w:rsid w:val="00606CAE"/>
    <w:rsid w:val="0060735E"/>
    <w:rsid w:val="00610A1D"/>
    <w:rsid w:val="00611404"/>
    <w:rsid w:val="00612B6E"/>
    <w:rsid w:val="00613DD9"/>
    <w:rsid w:val="00614610"/>
    <w:rsid w:val="0061496D"/>
    <w:rsid w:val="00615E9D"/>
    <w:rsid w:val="00616A65"/>
    <w:rsid w:val="00617C37"/>
    <w:rsid w:val="00617ED7"/>
    <w:rsid w:val="006214F1"/>
    <w:rsid w:val="0062278B"/>
    <w:rsid w:val="006250F6"/>
    <w:rsid w:val="006254FF"/>
    <w:rsid w:val="00625964"/>
    <w:rsid w:val="00626BC4"/>
    <w:rsid w:val="00626E5A"/>
    <w:rsid w:val="00627C34"/>
    <w:rsid w:val="0063115A"/>
    <w:rsid w:val="00631C60"/>
    <w:rsid w:val="006322B0"/>
    <w:rsid w:val="006352F0"/>
    <w:rsid w:val="006356B3"/>
    <w:rsid w:val="006357F3"/>
    <w:rsid w:val="006408AA"/>
    <w:rsid w:val="00641565"/>
    <w:rsid w:val="0064204A"/>
    <w:rsid w:val="00642382"/>
    <w:rsid w:val="00643067"/>
    <w:rsid w:val="00644A79"/>
    <w:rsid w:val="00644CAB"/>
    <w:rsid w:val="006530F0"/>
    <w:rsid w:val="00653718"/>
    <w:rsid w:val="00655028"/>
    <w:rsid w:val="00655F4C"/>
    <w:rsid w:val="006565C1"/>
    <w:rsid w:val="00657353"/>
    <w:rsid w:val="00657C9A"/>
    <w:rsid w:val="00657E09"/>
    <w:rsid w:val="00660C6E"/>
    <w:rsid w:val="00661CD4"/>
    <w:rsid w:val="00664B76"/>
    <w:rsid w:val="00664C8A"/>
    <w:rsid w:val="00666A08"/>
    <w:rsid w:val="00673CC1"/>
    <w:rsid w:val="00677C43"/>
    <w:rsid w:val="00677F1F"/>
    <w:rsid w:val="006814FF"/>
    <w:rsid w:val="00681E9F"/>
    <w:rsid w:val="0068405D"/>
    <w:rsid w:val="0068469D"/>
    <w:rsid w:val="006846C9"/>
    <w:rsid w:val="00691C79"/>
    <w:rsid w:val="00693872"/>
    <w:rsid w:val="0069397F"/>
    <w:rsid w:val="00694E24"/>
    <w:rsid w:val="00695AB5"/>
    <w:rsid w:val="00696B6D"/>
    <w:rsid w:val="006A0A29"/>
    <w:rsid w:val="006A1A15"/>
    <w:rsid w:val="006A3DE6"/>
    <w:rsid w:val="006A3E60"/>
    <w:rsid w:val="006A444D"/>
    <w:rsid w:val="006A4623"/>
    <w:rsid w:val="006A4A5B"/>
    <w:rsid w:val="006A74D2"/>
    <w:rsid w:val="006B0AA6"/>
    <w:rsid w:val="006B1A91"/>
    <w:rsid w:val="006B1B85"/>
    <w:rsid w:val="006B20E6"/>
    <w:rsid w:val="006B4F7F"/>
    <w:rsid w:val="006B55DC"/>
    <w:rsid w:val="006B654B"/>
    <w:rsid w:val="006B6E6F"/>
    <w:rsid w:val="006C0787"/>
    <w:rsid w:val="006C23B7"/>
    <w:rsid w:val="006C6B96"/>
    <w:rsid w:val="006C7196"/>
    <w:rsid w:val="006D0D92"/>
    <w:rsid w:val="006D121D"/>
    <w:rsid w:val="006D5FFC"/>
    <w:rsid w:val="006D6A21"/>
    <w:rsid w:val="006D7E12"/>
    <w:rsid w:val="006D7E76"/>
    <w:rsid w:val="006E034B"/>
    <w:rsid w:val="006E0D64"/>
    <w:rsid w:val="006E398F"/>
    <w:rsid w:val="006E4E8D"/>
    <w:rsid w:val="006E6818"/>
    <w:rsid w:val="006E7B28"/>
    <w:rsid w:val="006F2012"/>
    <w:rsid w:val="006F26CD"/>
    <w:rsid w:val="006F4F89"/>
    <w:rsid w:val="006F5B2E"/>
    <w:rsid w:val="006F5E7E"/>
    <w:rsid w:val="006F6FD4"/>
    <w:rsid w:val="00700CF6"/>
    <w:rsid w:val="00700E97"/>
    <w:rsid w:val="00704759"/>
    <w:rsid w:val="00705723"/>
    <w:rsid w:val="0070572D"/>
    <w:rsid w:val="00707E0B"/>
    <w:rsid w:val="0071304B"/>
    <w:rsid w:val="00714CB9"/>
    <w:rsid w:val="007157A4"/>
    <w:rsid w:val="00716AA2"/>
    <w:rsid w:val="007178FB"/>
    <w:rsid w:val="00721195"/>
    <w:rsid w:val="00721C3C"/>
    <w:rsid w:val="00722E58"/>
    <w:rsid w:val="007265D3"/>
    <w:rsid w:val="00726D8B"/>
    <w:rsid w:val="00730D0D"/>
    <w:rsid w:val="00731F12"/>
    <w:rsid w:val="007324F8"/>
    <w:rsid w:val="0073396A"/>
    <w:rsid w:val="00744909"/>
    <w:rsid w:val="00745706"/>
    <w:rsid w:val="00745AF9"/>
    <w:rsid w:val="00750BDF"/>
    <w:rsid w:val="00751F44"/>
    <w:rsid w:val="00752473"/>
    <w:rsid w:val="00756862"/>
    <w:rsid w:val="007678B3"/>
    <w:rsid w:val="00771B5C"/>
    <w:rsid w:val="00771F76"/>
    <w:rsid w:val="0077230D"/>
    <w:rsid w:val="00774E25"/>
    <w:rsid w:val="00775B12"/>
    <w:rsid w:val="00776996"/>
    <w:rsid w:val="00780807"/>
    <w:rsid w:val="00782B51"/>
    <w:rsid w:val="007841DD"/>
    <w:rsid w:val="00786B05"/>
    <w:rsid w:val="007870C7"/>
    <w:rsid w:val="00787F86"/>
    <w:rsid w:val="0079215D"/>
    <w:rsid w:val="0079227B"/>
    <w:rsid w:val="0079580F"/>
    <w:rsid w:val="007972D1"/>
    <w:rsid w:val="007974FA"/>
    <w:rsid w:val="00797654"/>
    <w:rsid w:val="00797B83"/>
    <w:rsid w:val="007A027B"/>
    <w:rsid w:val="007A0759"/>
    <w:rsid w:val="007A139F"/>
    <w:rsid w:val="007A2AE7"/>
    <w:rsid w:val="007A315C"/>
    <w:rsid w:val="007A5602"/>
    <w:rsid w:val="007A7B86"/>
    <w:rsid w:val="007B1672"/>
    <w:rsid w:val="007B2743"/>
    <w:rsid w:val="007B2B22"/>
    <w:rsid w:val="007B3D30"/>
    <w:rsid w:val="007B40DC"/>
    <w:rsid w:val="007B58AA"/>
    <w:rsid w:val="007B6183"/>
    <w:rsid w:val="007C090C"/>
    <w:rsid w:val="007C29B7"/>
    <w:rsid w:val="007C3038"/>
    <w:rsid w:val="007D1162"/>
    <w:rsid w:val="007D26A2"/>
    <w:rsid w:val="007D328D"/>
    <w:rsid w:val="007D50B4"/>
    <w:rsid w:val="007E2B6C"/>
    <w:rsid w:val="007E314F"/>
    <w:rsid w:val="007E3C50"/>
    <w:rsid w:val="007E4698"/>
    <w:rsid w:val="007E5B2F"/>
    <w:rsid w:val="007E62D8"/>
    <w:rsid w:val="007E62EB"/>
    <w:rsid w:val="007E7E4F"/>
    <w:rsid w:val="007F0307"/>
    <w:rsid w:val="007F0F1B"/>
    <w:rsid w:val="007F33F1"/>
    <w:rsid w:val="007F3690"/>
    <w:rsid w:val="007F63E1"/>
    <w:rsid w:val="0080477B"/>
    <w:rsid w:val="008060FD"/>
    <w:rsid w:val="00806DEA"/>
    <w:rsid w:val="008075F1"/>
    <w:rsid w:val="00807871"/>
    <w:rsid w:val="00812167"/>
    <w:rsid w:val="00813431"/>
    <w:rsid w:val="00813718"/>
    <w:rsid w:val="00814A61"/>
    <w:rsid w:val="00814FDD"/>
    <w:rsid w:val="008157D5"/>
    <w:rsid w:val="00815EDB"/>
    <w:rsid w:val="008164B7"/>
    <w:rsid w:val="00816892"/>
    <w:rsid w:val="00816B8B"/>
    <w:rsid w:val="00820FB0"/>
    <w:rsid w:val="008231E2"/>
    <w:rsid w:val="008242F7"/>
    <w:rsid w:val="00825D48"/>
    <w:rsid w:val="008264A4"/>
    <w:rsid w:val="0082661E"/>
    <w:rsid w:val="00826D28"/>
    <w:rsid w:val="0082744F"/>
    <w:rsid w:val="00833926"/>
    <w:rsid w:val="00835A29"/>
    <w:rsid w:val="00836605"/>
    <w:rsid w:val="00836677"/>
    <w:rsid w:val="00836D6D"/>
    <w:rsid w:val="008374A9"/>
    <w:rsid w:val="00842DEA"/>
    <w:rsid w:val="0084463A"/>
    <w:rsid w:val="00844A6E"/>
    <w:rsid w:val="00844F7A"/>
    <w:rsid w:val="00845D2B"/>
    <w:rsid w:val="00846CE7"/>
    <w:rsid w:val="0084798C"/>
    <w:rsid w:val="008479DC"/>
    <w:rsid w:val="008505C8"/>
    <w:rsid w:val="00851FB8"/>
    <w:rsid w:val="008527E7"/>
    <w:rsid w:val="008533F5"/>
    <w:rsid w:val="008541AA"/>
    <w:rsid w:val="00855F0B"/>
    <w:rsid w:val="008562A5"/>
    <w:rsid w:val="00856DB4"/>
    <w:rsid w:val="00866F22"/>
    <w:rsid w:val="0087121F"/>
    <w:rsid w:val="00871363"/>
    <w:rsid w:val="00872548"/>
    <w:rsid w:val="00873787"/>
    <w:rsid w:val="008737B6"/>
    <w:rsid w:val="008748E4"/>
    <w:rsid w:val="008758FA"/>
    <w:rsid w:val="00877C0A"/>
    <w:rsid w:val="00880497"/>
    <w:rsid w:val="0088073B"/>
    <w:rsid w:val="00881458"/>
    <w:rsid w:val="008858F3"/>
    <w:rsid w:val="00885C62"/>
    <w:rsid w:val="00885E15"/>
    <w:rsid w:val="00886AC2"/>
    <w:rsid w:val="008871EA"/>
    <w:rsid w:val="008931FC"/>
    <w:rsid w:val="0089374F"/>
    <w:rsid w:val="00896FA2"/>
    <w:rsid w:val="008A24B8"/>
    <w:rsid w:val="008A5776"/>
    <w:rsid w:val="008A6103"/>
    <w:rsid w:val="008A7E2E"/>
    <w:rsid w:val="008B1756"/>
    <w:rsid w:val="008B1C79"/>
    <w:rsid w:val="008B269D"/>
    <w:rsid w:val="008B3871"/>
    <w:rsid w:val="008B46D9"/>
    <w:rsid w:val="008B4F93"/>
    <w:rsid w:val="008B64BB"/>
    <w:rsid w:val="008B7EAB"/>
    <w:rsid w:val="008C11EA"/>
    <w:rsid w:val="008C140A"/>
    <w:rsid w:val="008C1BEA"/>
    <w:rsid w:val="008C22E2"/>
    <w:rsid w:val="008C37D2"/>
    <w:rsid w:val="008C4435"/>
    <w:rsid w:val="008C4843"/>
    <w:rsid w:val="008D0313"/>
    <w:rsid w:val="008D0467"/>
    <w:rsid w:val="008D5CA8"/>
    <w:rsid w:val="008D6FD0"/>
    <w:rsid w:val="008E1DEB"/>
    <w:rsid w:val="008E3C5B"/>
    <w:rsid w:val="008E4309"/>
    <w:rsid w:val="008E5670"/>
    <w:rsid w:val="008E5967"/>
    <w:rsid w:val="008F064B"/>
    <w:rsid w:val="008F362C"/>
    <w:rsid w:val="008F3D87"/>
    <w:rsid w:val="008F50FD"/>
    <w:rsid w:val="008F5CC9"/>
    <w:rsid w:val="008F5D02"/>
    <w:rsid w:val="008F75C0"/>
    <w:rsid w:val="008F7C02"/>
    <w:rsid w:val="00901480"/>
    <w:rsid w:val="00901FBC"/>
    <w:rsid w:val="00903CC5"/>
    <w:rsid w:val="00906660"/>
    <w:rsid w:val="00912CB5"/>
    <w:rsid w:val="0091456A"/>
    <w:rsid w:val="0091529E"/>
    <w:rsid w:val="00915591"/>
    <w:rsid w:val="00915C7B"/>
    <w:rsid w:val="009201B4"/>
    <w:rsid w:val="00921C58"/>
    <w:rsid w:val="009228F9"/>
    <w:rsid w:val="0092394B"/>
    <w:rsid w:val="0092454B"/>
    <w:rsid w:val="00925596"/>
    <w:rsid w:val="0092597B"/>
    <w:rsid w:val="00926D98"/>
    <w:rsid w:val="0093104C"/>
    <w:rsid w:val="0093297E"/>
    <w:rsid w:val="00935CEA"/>
    <w:rsid w:val="009408E8"/>
    <w:rsid w:val="0094144B"/>
    <w:rsid w:val="009418C9"/>
    <w:rsid w:val="00942EDC"/>
    <w:rsid w:val="009430E0"/>
    <w:rsid w:val="00943CBA"/>
    <w:rsid w:val="009452C2"/>
    <w:rsid w:val="009457A6"/>
    <w:rsid w:val="00945AD6"/>
    <w:rsid w:val="009519A6"/>
    <w:rsid w:val="00954811"/>
    <w:rsid w:val="00956B26"/>
    <w:rsid w:val="009602ED"/>
    <w:rsid w:val="00961585"/>
    <w:rsid w:val="009622CB"/>
    <w:rsid w:val="00962F24"/>
    <w:rsid w:val="00963314"/>
    <w:rsid w:val="00965E7D"/>
    <w:rsid w:val="0096601F"/>
    <w:rsid w:val="009667FC"/>
    <w:rsid w:val="00970C26"/>
    <w:rsid w:val="009728E4"/>
    <w:rsid w:val="00972BC7"/>
    <w:rsid w:val="00972BE8"/>
    <w:rsid w:val="00973925"/>
    <w:rsid w:val="00973F0E"/>
    <w:rsid w:val="0097636F"/>
    <w:rsid w:val="00977D29"/>
    <w:rsid w:val="0098029B"/>
    <w:rsid w:val="00980DFF"/>
    <w:rsid w:val="00982B43"/>
    <w:rsid w:val="00983AA2"/>
    <w:rsid w:val="009848EE"/>
    <w:rsid w:val="00985D90"/>
    <w:rsid w:val="009879CB"/>
    <w:rsid w:val="00987B90"/>
    <w:rsid w:val="00990695"/>
    <w:rsid w:val="009914C1"/>
    <w:rsid w:val="009915E6"/>
    <w:rsid w:val="00991D99"/>
    <w:rsid w:val="00992132"/>
    <w:rsid w:val="0099240C"/>
    <w:rsid w:val="00995416"/>
    <w:rsid w:val="009963BA"/>
    <w:rsid w:val="00997ABC"/>
    <w:rsid w:val="009A073F"/>
    <w:rsid w:val="009A2024"/>
    <w:rsid w:val="009A2979"/>
    <w:rsid w:val="009A3FE4"/>
    <w:rsid w:val="009A49BF"/>
    <w:rsid w:val="009A4A61"/>
    <w:rsid w:val="009A4CF9"/>
    <w:rsid w:val="009A5302"/>
    <w:rsid w:val="009A64DB"/>
    <w:rsid w:val="009B057B"/>
    <w:rsid w:val="009B0634"/>
    <w:rsid w:val="009B4889"/>
    <w:rsid w:val="009B4E55"/>
    <w:rsid w:val="009B5473"/>
    <w:rsid w:val="009B5595"/>
    <w:rsid w:val="009C0C82"/>
    <w:rsid w:val="009C0E23"/>
    <w:rsid w:val="009C1B76"/>
    <w:rsid w:val="009C4414"/>
    <w:rsid w:val="009D025B"/>
    <w:rsid w:val="009D0FF4"/>
    <w:rsid w:val="009D1056"/>
    <w:rsid w:val="009D173E"/>
    <w:rsid w:val="009D22DA"/>
    <w:rsid w:val="009D2502"/>
    <w:rsid w:val="009D2DAF"/>
    <w:rsid w:val="009D35A8"/>
    <w:rsid w:val="009D5B69"/>
    <w:rsid w:val="009D61B6"/>
    <w:rsid w:val="009E09B9"/>
    <w:rsid w:val="009E158D"/>
    <w:rsid w:val="009E1A5B"/>
    <w:rsid w:val="009E485A"/>
    <w:rsid w:val="009E663D"/>
    <w:rsid w:val="009F1C05"/>
    <w:rsid w:val="009F21B7"/>
    <w:rsid w:val="009F5FEB"/>
    <w:rsid w:val="009F6D07"/>
    <w:rsid w:val="009F6DB3"/>
    <w:rsid w:val="00A0146E"/>
    <w:rsid w:val="00A019A5"/>
    <w:rsid w:val="00A05499"/>
    <w:rsid w:val="00A058B0"/>
    <w:rsid w:val="00A10835"/>
    <w:rsid w:val="00A17D9F"/>
    <w:rsid w:val="00A20B56"/>
    <w:rsid w:val="00A20BCE"/>
    <w:rsid w:val="00A20F35"/>
    <w:rsid w:val="00A22317"/>
    <w:rsid w:val="00A2396C"/>
    <w:rsid w:val="00A23B10"/>
    <w:rsid w:val="00A255BF"/>
    <w:rsid w:val="00A25DE4"/>
    <w:rsid w:val="00A30EE0"/>
    <w:rsid w:val="00A33504"/>
    <w:rsid w:val="00A34168"/>
    <w:rsid w:val="00A34D3A"/>
    <w:rsid w:val="00A35246"/>
    <w:rsid w:val="00A3797E"/>
    <w:rsid w:val="00A40011"/>
    <w:rsid w:val="00A41574"/>
    <w:rsid w:val="00A43902"/>
    <w:rsid w:val="00A43C34"/>
    <w:rsid w:val="00A4555F"/>
    <w:rsid w:val="00A46B74"/>
    <w:rsid w:val="00A50BD8"/>
    <w:rsid w:val="00A52813"/>
    <w:rsid w:val="00A53137"/>
    <w:rsid w:val="00A54512"/>
    <w:rsid w:val="00A545E7"/>
    <w:rsid w:val="00A566D5"/>
    <w:rsid w:val="00A569AE"/>
    <w:rsid w:val="00A61B5F"/>
    <w:rsid w:val="00A633CF"/>
    <w:rsid w:val="00A63C51"/>
    <w:rsid w:val="00A641A2"/>
    <w:rsid w:val="00A6574B"/>
    <w:rsid w:val="00A659A3"/>
    <w:rsid w:val="00A65E2D"/>
    <w:rsid w:val="00A6638F"/>
    <w:rsid w:val="00A70213"/>
    <w:rsid w:val="00A703BC"/>
    <w:rsid w:val="00A72149"/>
    <w:rsid w:val="00A766BD"/>
    <w:rsid w:val="00A77F9E"/>
    <w:rsid w:val="00A824F4"/>
    <w:rsid w:val="00A84603"/>
    <w:rsid w:val="00A85337"/>
    <w:rsid w:val="00A85D31"/>
    <w:rsid w:val="00A9106E"/>
    <w:rsid w:val="00A91C25"/>
    <w:rsid w:val="00A9262F"/>
    <w:rsid w:val="00A94101"/>
    <w:rsid w:val="00A952C3"/>
    <w:rsid w:val="00A95B8E"/>
    <w:rsid w:val="00AA083D"/>
    <w:rsid w:val="00AA254E"/>
    <w:rsid w:val="00AA2661"/>
    <w:rsid w:val="00AA48B0"/>
    <w:rsid w:val="00AA4AE6"/>
    <w:rsid w:val="00AA4EBA"/>
    <w:rsid w:val="00AA5D4E"/>
    <w:rsid w:val="00AA7DC1"/>
    <w:rsid w:val="00AA7DF7"/>
    <w:rsid w:val="00AB0DF2"/>
    <w:rsid w:val="00AB1BF6"/>
    <w:rsid w:val="00AB40D4"/>
    <w:rsid w:val="00AB4866"/>
    <w:rsid w:val="00AB526F"/>
    <w:rsid w:val="00AB665B"/>
    <w:rsid w:val="00AB7819"/>
    <w:rsid w:val="00AC0A95"/>
    <w:rsid w:val="00AC57DB"/>
    <w:rsid w:val="00AC5D71"/>
    <w:rsid w:val="00AC5E27"/>
    <w:rsid w:val="00AC778E"/>
    <w:rsid w:val="00AD0915"/>
    <w:rsid w:val="00AD0AA2"/>
    <w:rsid w:val="00AD0F2B"/>
    <w:rsid w:val="00AD2B95"/>
    <w:rsid w:val="00AD3226"/>
    <w:rsid w:val="00AD43E1"/>
    <w:rsid w:val="00AD5542"/>
    <w:rsid w:val="00AD5DDC"/>
    <w:rsid w:val="00AD744A"/>
    <w:rsid w:val="00AD74BF"/>
    <w:rsid w:val="00AE0C56"/>
    <w:rsid w:val="00AE14D3"/>
    <w:rsid w:val="00AE2133"/>
    <w:rsid w:val="00AE3441"/>
    <w:rsid w:val="00AE3850"/>
    <w:rsid w:val="00AE3B86"/>
    <w:rsid w:val="00AE45A0"/>
    <w:rsid w:val="00AE5DE6"/>
    <w:rsid w:val="00AE6990"/>
    <w:rsid w:val="00AE749E"/>
    <w:rsid w:val="00AF47D0"/>
    <w:rsid w:val="00AF6007"/>
    <w:rsid w:val="00AF75E5"/>
    <w:rsid w:val="00AF7869"/>
    <w:rsid w:val="00AF7F4A"/>
    <w:rsid w:val="00B005AA"/>
    <w:rsid w:val="00B01B1B"/>
    <w:rsid w:val="00B03EC4"/>
    <w:rsid w:val="00B03EEB"/>
    <w:rsid w:val="00B06E26"/>
    <w:rsid w:val="00B07EFE"/>
    <w:rsid w:val="00B10681"/>
    <w:rsid w:val="00B10FD2"/>
    <w:rsid w:val="00B11E15"/>
    <w:rsid w:val="00B127A4"/>
    <w:rsid w:val="00B12886"/>
    <w:rsid w:val="00B1561C"/>
    <w:rsid w:val="00B15C4A"/>
    <w:rsid w:val="00B20761"/>
    <w:rsid w:val="00B20E8D"/>
    <w:rsid w:val="00B20F54"/>
    <w:rsid w:val="00B21432"/>
    <w:rsid w:val="00B22B6D"/>
    <w:rsid w:val="00B24800"/>
    <w:rsid w:val="00B26682"/>
    <w:rsid w:val="00B2798F"/>
    <w:rsid w:val="00B30C4B"/>
    <w:rsid w:val="00B30E53"/>
    <w:rsid w:val="00B31A87"/>
    <w:rsid w:val="00B32CEF"/>
    <w:rsid w:val="00B3441F"/>
    <w:rsid w:val="00B3698F"/>
    <w:rsid w:val="00B36F85"/>
    <w:rsid w:val="00B439A1"/>
    <w:rsid w:val="00B43D94"/>
    <w:rsid w:val="00B51C26"/>
    <w:rsid w:val="00B52E64"/>
    <w:rsid w:val="00B53B6B"/>
    <w:rsid w:val="00B616DE"/>
    <w:rsid w:val="00B61C4F"/>
    <w:rsid w:val="00B62D18"/>
    <w:rsid w:val="00B7183D"/>
    <w:rsid w:val="00B74C87"/>
    <w:rsid w:val="00B75765"/>
    <w:rsid w:val="00B75980"/>
    <w:rsid w:val="00B82C11"/>
    <w:rsid w:val="00B84401"/>
    <w:rsid w:val="00B90360"/>
    <w:rsid w:val="00B91211"/>
    <w:rsid w:val="00B92473"/>
    <w:rsid w:val="00B934A6"/>
    <w:rsid w:val="00B93BF4"/>
    <w:rsid w:val="00B958E5"/>
    <w:rsid w:val="00B976F6"/>
    <w:rsid w:val="00B97D2C"/>
    <w:rsid w:val="00BA1BF4"/>
    <w:rsid w:val="00BA3B6B"/>
    <w:rsid w:val="00BA69E2"/>
    <w:rsid w:val="00BB0149"/>
    <w:rsid w:val="00BB03B3"/>
    <w:rsid w:val="00BB0531"/>
    <w:rsid w:val="00BB05DA"/>
    <w:rsid w:val="00BB207E"/>
    <w:rsid w:val="00BB3522"/>
    <w:rsid w:val="00BB419C"/>
    <w:rsid w:val="00BB4A90"/>
    <w:rsid w:val="00BC15BA"/>
    <w:rsid w:val="00BC2EB6"/>
    <w:rsid w:val="00BC3531"/>
    <w:rsid w:val="00BC5BD6"/>
    <w:rsid w:val="00BC6239"/>
    <w:rsid w:val="00BD2CF5"/>
    <w:rsid w:val="00BD3CBD"/>
    <w:rsid w:val="00BD4BC1"/>
    <w:rsid w:val="00BD7A4E"/>
    <w:rsid w:val="00BD7D1A"/>
    <w:rsid w:val="00BE1638"/>
    <w:rsid w:val="00BE3904"/>
    <w:rsid w:val="00BE5D41"/>
    <w:rsid w:val="00BE5D5D"/>
    <w:rsid w:val="00BE6E1C"/>
    <w:rsid w:val="00BE70CC"/>
    <w:rsid w:val="00BE7446"/>
    <w:rsid w:val="00BF0DD6"/>
    <w:rsid w:val="00BF1735"/>
    <w:rsid w:val="00BF20CD"/>
    <w:rsid w:val="00BF409D"/>
    <w:rsid w:val="00BF521B"/>
    <w:rsid w:val="00BF5D6B"/>
    <w:rsid w:val="00BF648C"/>
    <w:rsid w:val="00BF67C4"/>
    <w:rsid w:val="00BF7A34"/>
    <w:rsid w:val="00C018CB"/>
    <w:rsid w:val="00C01EDC"/>
    <w:rsid w:val="00C02BB8"/>
    <w:rsid w:val="00C03814"/>
    <w:rsid w:val="00C03E07"/>
    <w:rsid w:val="00C04E3C"/>
    <w:rsid w:val="00C066E6"/>
    <w:rsid w:val="00C07C7C"/>
    <w:rsid w:val="00C114CF"/>
    <w:rsid w:val="00C12B03"/>
    <w:rsid w:val="00C14414"/>
    <w:rsid w:val="00C210BF"/>
    <w:rsid w:val="00C241F0"/>
    <w:rsid w:val="00C24A18"/>
    <w:rsid w:val="00C253A4"/>
    <w:rsid w:val="00C2638F"/>
    <w:rsid w:val="00C26B52"/>
    <w:rsid w:val="00C30B9E"/>
    <w:rsid w:val="00C3292B"/>
    <w:rsid w:val="00C40D56"/>
    <w:rsid w:val="00C41C03"/>
    <w:rsid w:val="00C420FF"/>
    <w:rsid w:val="00C44A0B"/>
    <w:rsid w:val="00C53ED5"/>
    <w:rsid w:val="00C56461"/>
    <w:rsid w:val="00C5767A"/>
    <w:rsid w:val="00C602B2"/>
    <w:rsid w:val="00C6032E"/>
    <w:rsid w:val="00C60AC3"/>
    <w:rsid w:val="00C60B3D"/>
    <w:rsid w:val="00C60C2B"/>
    <w:rsid w:val="00C70C27"/>
    <w:rsid w:val="00C7173B"/>
    <w:rsid w:val="00C73B60"/>
    <w:rsid w:val="00C73D20"/>
    <w:rsid w:val="00C73D8C"/>
    <w:rsid w:val="00C7796C"/>
    <w:rsid w:val="00C8099C"/>
    <w:rsid w:val="00C80C90"/>
    <w:rsid w:val="00C8183D"/>
    <w:rsid w:val="00C828C9"/>
    <w:rsid w:val="00C849E6"/>
    <w:rsid w:val="00C84C2D"/>
    <w:rsid w:val="00C8525C"/>
    <w:rsid w:val="00C856E5"/>
    <w:rsid w:val="00C85C39"/>
    <w:rsid w:val="00C94D49"/>
    <w:rsid w:val="00C96A3E"/>
    <w:rsid w:val="00C972C1"/>
    <w:rsid w:val="00C973ED"/>
    <w:rsid w:val="00C974C2"/>
    <w:rsid w:val="00CA46D1"/>
    <w:rsid w:val="00CA4D94"/>
    <w:rsid w:val="00CA7972"/>
    <w:rsid w:val="00CA79C4"/>
    <w:rsid w:val="00CB0A82"/>
    <w:rsid w:val="00CB1F87"/>
    <w:rsid w:val="00CB2479"/>
    <w:rsid w:val="00CB2AAB"/>
    <w:rsid w:val="00CB488B"/>
    <w:rsid w:val="00CB50A6"/>
    <w:rsid w:val="00CB74B1"/>
    <w:rsid w:val="00CB7EC1"/>
    <w:rsid w:val="00CB7FCD"/>
    <w:rsid w:val="00CC5843"/>
    <w:rsid w:val="00CC6BF3"/>
    <w:rsid w:val="00CD04D7"/>
    <w:rsid w:val="00CD060C"/>
    <w:rsid w:val="00CD127D"/>
    <w:rsid w:val="00CD1AC8"/>
    <w:rsid w:val="00CD3567"/>
    <w:rsid w:val="00CD40DD"/>
    <w:rsid w:val="00CD5253"/>
    <w:rsid w:val="00CD5380"/>
    <w:rsid w:val="00CD696B"/>
    <w:rsid w:val="00CD72FB"/>
    <w:rsid w:val="00CE0F62"/>
    <w:rsid w:val="00CE1171"/>
    <w:rsid w:val="00CE32C5"/>
    <w:rsid w:val="00CE4791"/>
    <w:rsid w:val="00CE4E81"/>
    <w:rsid w:val="00CE682E"/>
    <w:rsid w:val="00CE710E"/>
    <w:rsid w:val="00CE7A47"/>
    <w:rsid w:val="00CF44DE"/>
    <w:rsid w:val="00CF5651"/>
    <w:rsid w:val="00CF70FB"/>
    <w:rsid w:val="00D03185"/>
    <w:rsid w:val="00D039F1"/>
    <w:rsid w:val="00D06599"/>
    <w:rsid w:val="00D125A1"/>
    <w:rsid w:val="00D145B9"/>
    <w:rsid w:val="00D15420"/>
    <w:rsid w:val="00D155C5"/>
    <w:rsid w:val="00D16699"/>
    <w:rsid w:val="00D16D01"/>
    <w:rsid w:val="00D17098"/>
    <w:rsid w:val="00D207DB"/>
    <w:rsid w:val="00D20F48"/>
    <w:rsid w:val="00D21109"/>
    <w:rsid w:val="00D22500"/>
    <w:rsid w:val="00D22C72"/>
    <w:rsid w:val="00D236E9"/>
    <w:rsid w:val="00D236F1"/>
    <w:rsid w:val="00D23B92"/>
    <w:rsid w:val="00D24369"/>
    <w:rsid w:val="00D24601"/>
    <w:rsid w:val="00D25BEB"/>
    <w:rsid w:val="00D264C1"/>
    <w:rsid w:val="00D278BF"/>
    <w:rsid w:val="00D31FCA"/>
    <w:rsid w:val="00D34ABE"/>
    <w:rsid w:val="00D34C9C"/>
    <w:rsid w:val="00D375E1"/>
    <w:rsid w:val="00D37C6E"/>
    <w:rsid w:val="00D41777"/>
    <w:rsid w:val="00D41A25"/>
    <w:rsid w:val="00D44B91"/>
    <w:rsid w:val="00D44EFE"/>
    <w:rsid w:val="00D4705B"/>
    <w:rsid w:val="00D47435"/>
    <w:rsid w:val="00D50A35"/>
    <w:rsid w:val="00D52193"/>
    <w:rsid w:val="00D53B57"/>
    <w:rsid w:val="00D5409F"/>
    <w:rsid w:val="00D57635"/>
    <w:rsid w:val="00D61F69"/>
    <w:rsid w:val="00D6263A"/>
    <w:rsid w:val="00D629FA"/>
    <w:rsid w:val="00D63D79"/>
    <w:rsid w:val="00D65631"/>
    <w:rsid w:val="00D657E5"/>
    <w:rsid w:val="00D66B5F"/>
    <w:rsid w:val="00D67D7E"/>
    <w:rsid w:val="00D721A7"/>
    <w:rsid w:val="00D7251E"/>
    <w:rsid w:val="00D72F80"/>
    <w:rsid w:val="00D751B9"/>
    <w:rsid w:val="00D82732"/>
    <w:rsid w:val="00D84A89"/>
    <w:rsid w:val="00D84E9C"/>
    <w:rsid w:val="00D854E9"/>
    <w:rsid w:val="00D86771"/>
    <w:rsid w:val="00D904A0"/>
    <w:rsid w:val="00D91F94"/>
    <w:rsid w:val="00D923DB"/>
    <w:rsid w:val="00D926C9"/>
    <w:rsid w:val="00D93DE7"/>
    <w:rsid w:val="00D96FB3"/>
    <w:rsid w:val="00D97080"/>
    <w:rsid w:val="00D973AC"/>
    <w:rsid w:val="00DA15DB"/>
    <w:rsid w:val="00DA2587"/>
    <w:rsid w:val="00DA6931"/>
    <w:rsid w:val="00DB005B"/>
    <w:rsid w:val="00DB063C"/>
    <w:rsid w:val="00DB0A56"/>
    <w:rsid w:val="00DB2F90"/>
    <w:rsid w:val="00DB3E46"/>
    <w:rsid w:val="00DB62EA"/>
    <w:rsid w:val="00DB6CFB"/>
    <w:rsid w:val="00DC02A8"/>
    <w:rsid w:val="00DC0788"/>
    <w:rsid w:val="00DC2102"/>
    <w:rsid w:val="00DC221F"/>
    <w:rsid w:val="00DC2A95"/>
    <w:rsid w:val="00DC5A30"/>
    <w:rsid w:val="00DC5F16"/>
    <w:rsid w:val="00DC60C2"/>
    <w:rsid w:val="00DC6585"/>
    <w:rsid w:val="00DC77FB"/>
    <w:rsid w:val="00DD27DB"/>
    <w:rsid w:val="00DD32CF"/>
    <w:rsid w:val="00DD50C3"/>
    <w:rsid w:val="00DD528D"/>
    <w:rsid w:val="00DD7F85"/>
    <w:rsid w:val="00DE377E"/>
    <w:rsid w:val="00DE4194"/>
    <w:rsid w:val="00DE5088"/>
    <w:rsid w:val="00DE58E9"/>
    <w:rsid w:val="00DE5E65"/>
    <w:rsid w:val="00DE68F3"/>
    <w:rsid w:val="00DE6F71"/>
    <w:rsid w:val="00DF0C94"/>
    <w:rsid w:val="00DF25E9"/>
    <w:rsid w:val="00DF37F5"/>
    <w:rsid w:val="00DF432E"/>
    <w:rsid w:val="00DF4980"/>
    <w:rsid w:val="00DF575E"/>
    <w:rsid w:val="00DF5ED0"/>
    <w:rsid w:val="00DF69D9"/>
    <w:rsid w:val="00E00CA8"/>
    <w:rsid w:val="00E0434D"/>
    <w:rsid w:val="00E045C9"/>
    <w:rsid w:val="00E046B9"/>
    <w:rsid w:val="00E0534D"/>
    <w:rsid w:val="00E070D4"/>
    <w:rsid w:val="00E074FE"/>
    <w:rsid w:val="00E078E6"/>
    <w:rsid w:val="00E10AF0"/>
    <w:rsid w:val="00E119D3"/>
    <w:rsid w:val="00E14092"/>
    <w:rsid w:val="00E14A55"/>
    <w:rsid w:val="00E14F93"/>
    <w:rsid w:val="00E15337"/>
    <w:rsid w:val="00E2018D"/>
    <w:rsid w:val="00E2351E"/>
    <w:rsid w:val="00E23B67"/>
    <w:rsid w:val="00E24A24"/>
    <w:rsid w:val="00E26883"/>
    <w:rsid w:val="00E27465"/>
    <w:rsid w:val="00E306AA"/>
    <w:rsid w:val="00E30DD5"/>
    <w:rsid w:val="00E315B3"/>
    <w:rsid w:val="00E31907"/>
    <w:rsid w:val="00E319A2"/>
    <w:rsid w:val="00E32C4D"/>
    <w:rsid w:val="00E33104"/>
    <w:rsid w:val="00E37AE3"/>
    <w:rsid w:val="00E40CF0"/>
    <w:rsid w:val="00E41615"/>
    <w:rsid w:val="00E43076"/>
    <w:rsid w:val="00E44114"/>
    <w:rsid w:val="00E45597"/>
    <w:rsid w:val="00E45886"/>
    <w:rsid w:val="00E5033B"/>
    <w:rsid w:val="00E529D0"/>
    <w:rsid w:val="00E55845"/>
    <w:rsid w:val="00E5595A"/>
    <w:rsid w:val="00E56054"/>
    <w:rsid w:val="00E60BF1"/>
    <w:rsid w:val="00E61355"/>
    <w:rsid w:val="00E618B1"/>
    <w:rsid w:val="00E6269D"/>
    <w:rsid w:val="00E64B97"/>
    <w:rsid w:val="00E66B66"/>
    <w:rsid w:val="00E66FF7"/>
    <w:rsid w:val="00E7004F"/>
    <w:rsid w:val="00E7021A"/>
    <w:rsid w:val="00E71BD7"/>
    <w:rsid w:val="00E71CC0"/>
    <w:rsid w:val="00E7206D"/>
    <w:rsid w:val="00E75B3A"/>
    <w:rsid w:val="00E75D20"/>
    <w:rsid w:val="00E77C6C"/>
    <w:rsid w:val="00E807A7"/>
    <w:rsid w:val="00E81884"/>
    <w:rsid w:val="00E818D4"/>
    <w:rsid w:val="00E838B0"/>
    <w:rsid w:val="00E861B3"/>
    <w:rsid w:val="00E86E23"/>
    <w:rsid w:val="00E870C3"/>
    <w:rsid w:val="00E9036A"/>
    <w:rsid w:val="00E918A2"/>
    <w:rsid w:val="00E9222C"/>
    <w:rsid w:val="00E9320D"/>
    <w:rsid w:val="00E9388E"/>
    <w:rsid w:val="00E9456A"/>
    <w:rsid w:val="00E94701"/>
    <w:rsid w:val="00E9578F"/>
    <w:rsid w:val="00E957A1"/>
    <w:rsid w:val="00E965BA"/>
    <w:rsid w:val="00EA0234"/>
    <w:rsid w:val="00EA0566"/>
    <w:rsid w:val="00EA08C7"/>
    <w:rsid w:val="00EA34A3"/>
    <w:rsid w:val="00EA4FBA"/>
    <w:rsid w:val="00EA5DFB"/>
    <w:rsid w:val="00EA7E80"/>
    <w:rsid w:val="00EB0B25"/>
    <w:rsid w:val="00EB1241"/>
    <w:rsid w:val="00EB1E4C"/>
    <w:rsid w:val="00EB299F"/>
    <w:rsid w:val="00EB29A1"/>
    <w:rsid w:val="00EB7373"/>
    <w:rsid w:val="00EC383D"/>
    <w:rsid w:val="00EC42B5"/>
    <w:rsid w:val="00EC5E93"/>
    <w:rsid w:val="00EC615E"/>
    <w:rsid w:val="00EC671D"/>
    <w:rsid w:val="00EC7654"/>
    <w:rsid w:val="00EC7A55"/>
    <w:rsid w:val="00ED1D3E"/>
    <w:rsid w:val="00ED26AC"/>
    <w:rsid w:val="00ED2FA6"/>
    <w:rsid w:val="00ED35DD"/>
    <w:rsid w:val="00ED48D1"/>
    <w:rsid w:val="00EE06D9"/>
    <w:rsid w:val="00EE09C2"/>
    <w:rsid w:val="00EE0BF2"/>
    <w:rsid w:val="00EE5133"/>
    <w:rsid w:val="00EE5675"/>
    <w:rsid w:val="00EF21C7"/>
    <w:rsid w:val="00EF46DE"/>
    <w:rsid w:val="00EF4C6D"/>
    <w:rsid w:val="00F04E9D"/>
    <w:rsid w:val="00F05136"/>
    <w:rsid w:val="00F0519B"/>
    <w:rsid w:val="00F05714"/>
    <w:rsid w:val="00F06440"/>
    <w:rsid w:val="00F06BBC"/>
    <w:rsid w:val="00F10340"/>
    <w:rsid w:val="00F14CB1"/>
    <w:rsid w:val="00F16DFE"/>
    <w:rsid w:val="00F2037B"/>
    <w:rsid w:val="00F218A0"/>
    <w:rsid w:val="00F220E6"/>
    <w:rsid w:val="00F2511F"/>
    <w:rsid w:val="00F32DDF"/>
    <w:rsid w:val="00F3390F"/>
    <w:rsid w:val="00F4036C"/>
    <w:rsid w:val="00F40F0A"/>
    <w:rsid w:val="00F42039"/>
    <w:rsid w:val="00F424FA"/>
    <w:rsid w:val="00F45286"/>
    <w:rsid w:val="00F50735"/>
    <w:rsid w:val="00F52989"/>
    <w:rsid w:val="00F54A00"/>
    <w:rsid w:val="00F559D7"/>
    <w:rsid w:val="00F55B71"/>
    <w:rsid w:val="00F560AF"/>
    <w:rsid w:val="00F572B8"/>
    <w:rsid w:val="00F57EB7"/>
    <w:rsid w:val="00F630F8"/>
    <w:rsid w:val="00F634B2"/>
    <w:rsid w:val="00F64181"/>
    <w:rsid w:val="00F66ADE"/>
    <w:rsid w:val="00F716A6"/>
    <w:rsid w:val="00F72911"/>
    <w:rsid w:val="00F7482C"/>
    <w:rsid w:val="00F74F7D"/>
    <w:rsid w:val="00F7596E"/>
    <w:rsid w:val="00F818FB"/>
    <w:rsid w:val="00F826FA"/>
    <w:rsid w:val="00F83A10"/>
    <w:rsid w:val="00F83D6D"/>
    <w:rsid w:val="00F8519C"/>
    <w:rsid w:val="00F9072C"/>
    <w:rsid w:val="00F93873"/>
    <w:rsid w:val="00F94760"/>
    <w:rsid w:val="00F960B9"/>
    <w:rsid w:val="00F96688"/>
    <w:rsid w:val="00FA1D48"/>
    <w:rsid w:val="00FA42F7"/>
    <w:rsid w:val="00FA5792"/>
    <w:rsid w:val="00FB0DAF"/>
    <w:rsid w:val="00FB1273"/>
    <w:rsid w:val="00FB13C0"/>
    <w:rsid w:val="00FB1516"/>
    <w:rsid w:val="00FB1B2C"/>
    <w:rsid w:val="00FB20B1"/>
    <w:rsid w:val="00FB2228"/>
    <w:rsid w:val="00FB24B2"/>
    <w:rsid w:val="00FB45C1"/>
    <w:rsid w:val="00FB49EB"/>
    <w:rsid w:val="00FB4EA3"/>
    <w:rsid w:val="00FB77F6"/>
    <w:rsid w:val="00FC17D1"/>
    <w:rsid w:val="00FC1F83"/>
    <w:rsid w:val="00FC2DE4"/>
    <w:rsid w:val="00FC599A"/>
    <w:rsid w:val="00FC673D"/>
    <w:rsid w:val="00FC6A5E"/>
    <w:rsid w:val="00FC6C7D"/>
    <w:rsid w:val="00FC6C8F"/>
    <w:rsid w:val="00FD1D8C"/>
    <w:rsid w:val="00FD2FD4"/>
    <w:rsid w:val="00FD3A91"/>
    <w:rsid w:val="00FD49F8"/>
    <w:rsid w:val="00FD4E69"/>
    <w:rsid w:val="00FD5BAA"/>
    <w:rsid w:val="00FE0C2D"/>
    <w:rsid w:val="00FE0D07"/>
    <w:rsid w:val="00FE0F71"/>
    <w:rsid w:val="00FE2B94"/>
    <w:rsid w:val="00FE2E45"/>
    <w:rsid w:val="00FE3DEE"/>
    <w:rsid w:val="00FE5ACE"/>
    <w:rsid w:val="00FF304D"/>
    <w:rsid w:val="00FF4D95"/>
    <w:rsid w:val="00FF53C7"/>
    <w:rsid w:val="00FF6008"/>
    <w:rsid w:val="00FF7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51A8F93"/>
  <w15:docId w15:val="{722C4CE2-66AF-40EB-9AC5-D4645D4A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1DD"/>
    <w:rPr>
      <w:sz w:val="24"/>
      <w:szCs w:val="24"/>
      <w:lang w:val="en-US" w:eastAsia="en-US"/>
    </w:rPr>
  </w:style>
  <w:style w:type="paragraph" w:styleId="Heading1">
    <w:name w:val="heading 1"/>
    <w:basedOn w:val="Normal"/>
    <w:next w:val="Normal"/>
    <w:link w:val="Heading1Char"/>
    <w:qFormat/>
    <w:rsid w:val="00432B81"/>
    <w:pPr>
      <w:spacing w:line="480" w:lineRule="auto"/>
      <w:jc w:val="center"/>
      <w:outlineLvl w:val="0"/>
    </w:pPr>
    <w:rPr>
      <w:b/>
      <w:bCs/>
    </w:rPr>
  </w:style>
  <w:style w:type="paragraph" w:styleId="Heading2">
    <w:name w:val="heading 2"/>
    <w:basedOn w:val="Normal"/>
    <w:next w:val="Normal"/>
    <w:qFormat/>
    <w:rsid w:val="004B317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5FAA"/>
    <w:rPr>
      <w:sz w:val="20"/>
      <w:szCs w:val="20"/>
    </w:rPr>
  </w:style>
  <w:style w:type="character" w:styleId="FootnoteReference">
    <w:name w:val="footnote reference"/>
    <w:basedOn w:val="DefaultParagraphFont"/>
    <w:uiPriority w:val="99"/>
    <w:semiHidden/>
    <w:rsid w:val="00425FAA"/>
    <w:rPr>
      <w:vertAlign w:val="superscript"/>
    </w:rPr>
  </w:style>
  <w:style w:type="paragraph" w:styleId="Header">
    <w:name w:val="header"/>
    <w:basedOn w:val="Normal"/>
    <w:rsid w:val="00003F6E"/>
    <w:pPr>
      <w:tabs>
        <w:tab w:val="center" w:pos="4320"/>
        <w:tab w:val="right" w:pos="8640"/>
      </w:tabs>
    </w:pPr>
  </w:style>
  <w:style w:type="character" w:styleId="Hyperlink">
    <w:name w:val="Hyperlink"/>
    <w:basedOn w:val="DefaultParagraphFont"/>
    <w:rsid w:val="00B51C26"/>
    <w:rPr>
      <w:color w:val="0000FF"/>
      <w:u w:val="single"/>
    </w:rPr>
  </w:style>
  <w:style w:type="character" w:styleId="PageNumber">
    <w:name w:val="page number"/>
    <w:basedOn w:val="DefaultParagraphFont"/>
    <w:rsid w:val="002C127A"/>
  </w:style>
  <w:style w:type="paragraph" w:styleId="PlainText">
    <w:name w:val="Plain Text"/>
    <w:basedOn w:val="Normal"/>
    <w:rsid w:val="0042624E"/>
    <w:rPr>
      <w:rFonts w:ascii="Courier New" w:hAnsi="Courier New" w:cs="Courier New"/>
      <w:sz w:val="20"/>
      <w:szCs w:val="20"/>
      <w:lang w:val="en-CA"/>
    </w:rPr>
  </w:style>
  <w:style w:type="table" w:styleId="TableGrid">
    <w:name w:val="Table Grid"/>
    <w:basedOn w:val="TableNormal"/>
    <w:uiPriority w:val="39"/>
    <w:rsid w:val="004262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4E0BE8"/>
    <w:pPr>
      <w:ind w:left="720"/>
    </w:pPr>
    <w:rPr>
      <w:lang w:val="en-CA"/>
    </w:rPr>
  </w:style>
  <w:style w:type="paragraph" w:styleId="BodyTextIndent">
    <w:name w:val="Body Text Indent"/>
    <w:basedOn w:val="Normal"/>
    <w:rsid w:val="004E0BE8"/>
    <w:pPr>
      <w:ind w:left="720"/>
    </w:pPr>
    <w:rPr>
      <w:lang w:val="en-CA"/>
    </w:rPr>
  </w:style>
  <w:style w:type="paragraph" w:styleId="Footer">
    <w:name w:val="footer"/>
    <w:basedOn w:val="Normal"/>
    <w:rsid w:val="00EB7373"/>
    <w:pPr>
      <w:tabs>
        <w:tab w:val="center" w:pos="4320"/>
        <w:tab w:val="right" w:pos="8640"/>
      </w:tabs>
    </w:pPr>
  </w:style>
  <w:style w:type="character" w:styleId="CommentReference">
    <w:name w:val="annotation reference"/>
    <w:basedOn w:val="DefaultParagraphFont"/>
    <w:uiPriority w:val="99"/>
    <w:semiHidden/>
    <w:rsid w:val="00B3441F"/>
    <w:rPr>
      <w:sz w:val="16"/>
      <w:szCs w:val="16"/>
    </w:rPr>
  </w:style>
  <w:style w:type="paragraph" w:styleId="CommentText">
    <w:name w:val="annotation text"/>
    <w:basedOn w:val="Normal"/>
    <w:link w:val="CommentTextChar"/>
    <w:uiPriority w:val="99"/>
    <w:semiHidden/>
    <w:rsid w:val="00B3441F"/>
    <w:rPr>
      <w:sz w:val="20"/>
      <w:szCs w:val="20"/>
    </w:rPr>
  </w:style>
  <w:style w:type="paragraph" w:styleId="CommentSubject">
    <w:name w:val="annotation subject"/>
    <w:basedOn w:val="CommentText"/>
    <w:next w:val="CommentText"/>
    <w:semiHidden/>
    <w:rsid w:val="00B3441F"/>
    <w:rPr>
      <w:b/>
      <w:bCs/>
    </w:rPr>
  </w:style>
  <w:style w:type="paragraph" w:styleId="BalloonText">
    <w:name w:val="Balloon Text"/>
    <w:basedOn w:val="Normal"/>
    <w:semiHidden/>
    <w:rsid w:val="00B3441F"/>
    <w:rPr>
      <w:rFonts w:ascii="Tahoma" w:hAnsi="Tahoma" w:cs="Tahoma"/>
      <w:sz w:val="16"/>
      <w:szCs w:val="16"/>
    </w:rPr>
  </w:style>
  <w:style w:type="character" w:styleId="Strong">
    <w:name w:val="Strong"/>
    <w:basedOn w:val="DefaultParagraphFont"/>
    <w:qFormat/>
    <w:rsid w:val="00432B81"/>
    <w:rPr>
      <w:b/>
      <w:bCs/>
    </w:rPr>
  </w:style>
  <w:style w:type="character" w:styleId="Emphasis">
    <w:name w:val="Emphasis"/>
    <w:basedOn w:val="DefaultParagraphFont"/>
    <w:qFormat/>
    <w:rsid w:val="00432B81"/>
    <w:rPr>
      <w:i/>
      <w:iCs/>
    </w:rPr>
  </w:style>
  <w:style w:type="character" w:customStyle="1" w:styleId="Heading1Char">
    <w:name w:val="Heading 1 Char"/>
    <w:basedOn w:val="DefaultParagraphFont"/>
    <w:link w:val="Heading1"/>
    <w:rsid w:val="00432B81"/>
    <w:rPr>
      <w:b/>
      <w:bCs/>
      <w:sz w:val="24"/>
      <w:szCs w:val="24"/>
      <w:lang w:val="en-US" w:eastAsia="en-US"/>
    </w:rPr>
  </w:style>
  <w:style w:type="character" w:styleId="PlaceholderText">
    <w:name w:val="Placeholder Text"/>
    <w:basedOn w:val="DefaultParagraphFont"/>
    <w:uiPriority w:val="99"/>
    <w:semiHidden/>
    <w:rsid w:val="00820FB0"/>
    <w:rPr>
      <w:color w:val="808080"/>
    </w:rPr>
  </w:style>
  <w:style w:type="character" w:customStyle="1" w:styleId="CommentTextChar">
    <w:name w:val="Comment Text Char"/>
    <w:basedOn w:val="DefaultParagraphFont"/>
    <w:link w:val="CommentText"/>
    <w:uiPriority w:val="99"/>
    <w:semiHidden/>
    <w:rsid w:val="00AE2133"/>
    <w:rPr>
      <w:lang w:val="en-US" w:eastAsia="en-US"/>
    </w:rPr>
  </w:style>
  <w:style w:type="character" w:customStyle="1" w:styleId="apple-converted-space">
    <w:name w:val="apple-converted-space"/>
    <w:basedOn w:val="DefaultParagraphFont"/>
    <w:rsid w:val="003A381C"/>
  </w:style>
  <w:style w:type="paragraph" w:styleId="Revision">
    <w:name w:val="Revision"/>
    <w:hidden/>
    <w:uiPriority w:val="99"/>
    <w:semiHidden/>
    <w:rsid w:val="00B36F85"/>
    <w:rPr>
      <w:sz w:val="24"/>
      <w:szCs w:val="24"/>
      <w:lang w:val="en-US" w:eastAsia="en-US"/>
    </w:rPr>
  </w:style>
  <w:style w:type="character" w:customStyle="1" w:styleId="FootnoteTextChar">
    <w:name w:val="Footnote Text Char"/>
    <w:basedOn w:val="DefaultParagraphFont"/>
    <w:link w:val="FootnoteText"/>
    <w:semiHidden/>
    <w:rsid w:val="002F39A5"/>
    <w:rPr>
      <w:lang w:val="en-US" w:eastAsia="en-US"/>
    </w:rPr>
  </w:style>
  <w:style w:type="paragraph" w:styleId="EndnoteText">
    <w:name w:val="endnote text"/>
    <w:basedOn w:val="Normal"/>
    <w:link w:val="EndnoteTextChar"/>
    <w:semiHidden/>
    <w:unhideWhenUsed/>
    <w:rsid w:val="000C4A9D"/>
    <w:rPr>
      <w:sz w:val="20"/>
      <w:szCs w:val="20"/>
    </w:rPr>
  </w:style>
  <w:style w:type="character" w:customStyle="1" w:styleId="EndnoteTextChar">
    <w:name w:val="Endnote Text Char"/>
    <w:basedOn w:val="DefaultParagraphFont"/>
    <w:link w:val="EndnoteText"/>
    <w:semiHidden/>
    <w:rsid w:val="000C4A9D"/>
    <w:rPr>
      <w:lang w:val="en-US" w:eastAsia="en-US"/>
    </w:rPr>
  </w:style>
  <w:style w:type="character" w:styleId="EndnoteReference">
    <w:name w:val="endnote reference"/>
    <w:basedOn w:val="DefaultParagraphFont"/>
    <w:semiHidden/>
    <w:unhideWhenUsed/>
    <w:rsid w:val="000C4A9D"/>
    <w:rPr>
      <w:vertAlign w:val="superscript"/>
    </w:rPr>
  </w:style>
  <w:style w:type="character" w:styleId="FollowedHyperlink">
    <w:name w:val="FollowedHyperlink"/>
    <w:basedOn w:val="DefaultParagraphFont"/>
    <w:semiHidden/>
    <w:unhideWhenUsed/>
    <w:rsid w:val="000C4A9D"/>
    <w:rPr>
      <w:color w:val="954F72" w:themeColor="followedHyperlink"/>
      <w:u w:val="single"/>
    </w:rPr>
  </w:style>
  <w:style w:type="table" w:styleId="LightShading">
    <w:name w:val="Light Shading"/>
    <w:basedOn w:val="TableNormal"/>
    <w:uiPriority w:val="60"/>
    <w:rsid w:val="00DD27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l">
    <w:name w:val="il"/>
    <w:basedOn w:val="DefaultParagraphFont"/>
    <w:rsid w:val="006041F9"/>
  </w:style>
  <w:style w:type="paragraph" w:styleId="TOCHeading">
    <w:name w:val="TOC Heading"/>
    <w:basedOn w:val="Heading1"/>
    <w:next w:val="Normal"/>
    <w:uiPriority w:val="39"/>
    <w:unhideWhenUsed/>
    <w:qFormat/>
    <w:rsid w:val="00306200"/>
    <w:pPr>
      <w:keepNext/>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06200"/>
    <w:pPr>
      <w:spacing w:after="100"/>
    </w:pPr>
  </w:style>
  <w:style w:type="paragraph" w:styleId="NoSpacing">
    <w:name w:val="No Spacing"/>
    <w:basedOn w:val="Normal"/>
    <w:uiPriority w:val="1"/>
    <w:qFormat/>
    <w:rsid w:val="00B934A6"/>
    <w:pPr>
      <w:spacing w:line="480" w:lineRule="auto"/>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749902">
      <w:bodyDiv w:val="1"/>
      <w:marLeft w:val="0"/>
      <w:marRight w:val="0"/>
      <w:marTop w:val="0"/>
      <w:marBottom w:val="0"/>
      <w:divBdr>
        <w:top w:val="none" w:sz="0" w:space="0" w:color="auto"/>
        <w:left w:val="none" w:sz="0" w:space="0" w:color="auto"/>
        <w:bottom w:val="none" w:sz="0" w:space="0" w:color="auto"/>
        <w:right w:val="none" w:sz="0" w:space="0" w:color="auto"/>
      </w:divBdr>
    </w:div>
    <w:div w:id="764575592">
      <w:bodyDiv w:val="1"/>
      <w:marLeft w:val="0"/>
      <w:marRight w:val="0"/>
      <w:marTop w:val="0"/>
      <w:marBottom w:val="0"/>
      <w:divBdr>
        <w:top w:val="none" w:sz="0" w:space="0" w:color="auto"/>
        <w:left w:val="none" w:sz="0" w:space="0" w:color="auto"/>
        <w:bottom w:val="none" w:sz="0" w:space="0" w:color="auto"/>
        <w:right w:val="none" w:sz="0" w:space="0" w:color="auto"/>
      </w:divBdr>
    </w:div>
    <w:div w:id="923612067">
      <w:bodyDiv w:val="1"/>
      <w:marLeft w:val="0"/>
      <w:marRight w:val="0"/>
      <w:marTop w:val="0"/>
      <w:marBottom w:val="0"/>
      <w:divBdr>
        <w:top w:val="none" w:sz="0" w:space="0" w:color="auto"/>
        <w:left w:val="none" w:sz="0" w:space="0" w:color="auto"/>
        <w:bottom w:val="none" w:sz="0" w:space="0" w:color="auto"/>
        <w:right w:val="none" w:sz="0" w:space="0" w:color="auto"/>
      </w:divBdr>
    </w:div>
    <w:div w:id="1196579969">
      <w:bodyDiv w:val="1"/>
      <w:marLeft w:val="0"/>
      <w:marRight w:val="0"/>
      <w:marTop w:val="0"/>
      <w:marBottom w:val="0"/>
      <w:divBdr>
        <w:top w:val="none" w:sz="0" w:space="0" w:color="auto"/>
        <w:left w:val="none" w:sz="0" w:space="0" w:color="auto"/>
        <w:bottom w:val="none" w:sz="0" w:space="0" w:color="auto"/>
        <w:right w:val="none" w:sz="0" w:space="0" w:color="auto"/>
      </w:divBdr>
    </w:div>
    <w:div w:id="1227914607">
      <w:bodyDiv w:val="1"/>
      <w:marLeft w:val="0"/>
      <w:marRight w:val="0"/>
      <w:marTop w:val="0"/>
      <w:marBottom w:val="0"/>
      <w:divBdr>
        <w:top w:val="none" w:sz="0" w:space="0" w:color="auto"/>
        <w:left w:val="none" w:sz="0" w:space="0" w:color="auto"/>
        <w:bottom w:val="none" w:sz="0" w:space="0" w:color="auto"/>
        <w:right w:val="none" w:sz="0" w:space="0" w:color="auto"/>
      </w:divBdr>
    </w:div>
    <w:div w:id="1430351297">
      <w:bodyDiv w:val="1"/>
      <w:marLeft w:val="0"/>
      <w:marRight w:val="0"/>
      <w:marTop w:val="0"/>
      <w:marBottom w:val="0"/>
      <w:divBdr>
        <w:top w:val="none" w:sz="0" w:space="0" w:color="auto"/>
        <w:left w:val="none" w:sz="0" w:space="0" w:color="auto"/>
        <w:bottom w:val="none" w:sz="0" w:space="0" w:color="auto"/>
        <w:right w:val="none" w:sz="0" w:space="0" w:color="auto"/>
      </w:divBdr>
    </w:div>
    <w:div w:id="1708752593">
      <w:bodyDiv w:val="1"/>
      <w:marLeft w:val="0"/>
      <w:marRight w:val="0"/>
      <w:marTop w:val="0"/>
      <w:marBottom w:val="0"/>
      <w:divBdr>
        <w:top w:val="none" w:sz="0" w:space="0" w:color="auto"/>
        <w:left w:val="none" w:sz="0" w:space="0" w:color="auto"/>
        <w:bottom w:val="none" w:sz="0" w:space="0" w:color="auto"/>
        <w:right w:val="none" w:sz="0" w:space="0" w:color="auto"/>
      </w:divBdr>
    </w:div>
    <w:div w:id="1718358028">
      <w:bodyDiv w:val="1"/>
      <w:marLeft w:val="0"/>
      <w:marRight w:val="0"/>
      <w:marTop w:val="0"/>
      <w:marBottom w:val="0"/>
      <w:divBdr>
        <w:top w:val="none" w:sz="0" w:space="0" w:color="auto"/>
        <w:left w:val="none" w:sz="0" w:space="0" w:color="auto"/>
        <w:bottom w:val="none" w:sz="0" w:space="0" w:color="auto"/>
        <w:right w:val="none" w:sz="0" w:space="0" w:color="auto"/>
      </w:divBdr>
    </w:div>
    <w:div w:id="18162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tthews@mu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_pickup@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6DD8-7FC5-4E4A-AFEF-D2ED0D4B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1487</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Mass perceptions of national economic conditions derive from sources both external and internal to the individual</vt:lpstr>
    </vt:vector>
  </TitlesOfParts>
  <Company>Department of Political Studies, Queen's University</Company>
  <LinksUpToDate>false</LinksUpToDate>
  <CharactersWithSpaces>10095</CharactersWithSpaces>
  <SharedDoc>false</SharedDoc>
  <HLinks>
    <vt:vector size="12" baseType="variant">
      <vt:variant>
        <vt:i4>3473454</vt:i4>
      </vt:variant>
      <vt:variant>
        <vt:i4>3</vt:i4>
      </vt:variant>
      <vt:variant>
        <vt:i4>0</vt:i4>
      </vt:variant>
      <vt:variant>
        <vt:i4>5</vt:i4>
      </vt:variant>
      <vt:variant>
        <vt:lpwstr>mailto:mark_pickup@sfu.ca</vt:lpwstr>
      </vt:variant>
      <vt:variant>
        <vt:lpwstr/>
      </vt:variant>
      <vt:variant>
        <vt:i4>7733264</vt:i4>
      </vt:variant>
      <vt:variant>
        <vt:i4>0</vt:i4>
      </vt:variant>
      <vt:variant>
        <vt:i4>0</vt:i4>
      </vt:variant>
      <vt:variant>
        <vt:i4>5</vt:i4>
      </vt:variant>
      <vt:variant>
        <vt:lpwstr>mailto:scott.matthews@mun.ca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perceptions of national economic conditions derive from sources both external and internal to the individual</dc:title>
  <dc:creator>Scott Matthews</dc:creator>
  <cp:lastModifiedBy>Elizabeth Pando</cp:lastModifiedBy>
  <cp:revision>2</cp:revision>
  <cp:lastPrinted>2018-05-29T16:37:00Z</cp:lastPrinted>
  <dcterms:created xsi:type="dcterms:W3CDTF">2018-06-12T15:41:00Z</dcterms:created>
  <dcterms:modified xsi:type="dcterms:W3CDTF">2018-06-12T15:41:00Z</dcterms:modified>
</cp:coreProperties>
</file>