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7D" w:rsidRPr="003468E5" w:rsidRDefault="00B40A7D" w:rsidP="00B40A7D">
      <w:pPr>
        <w:spacing w:line="276" w:lineRule="auto"/>
        <w:rPr>
          <w:b/>
          <w:bCs/>
        </w:rPr>
      </w:pPr>
      <w:r w:rsidRPr="003468E5">
        <w:rPr>
          <w:b/>
          <w:bCs/>
        </w:rPr>
        <w:t xml:space="preserve">Supplementary material, Tables S1. </w:t>
      </w:r>
      <w:r w:rsidRPr="003468E5">
        <w:rPr>
          <w:bCs/>
        </w:rPr>
        <w:t xml:space="preserve">Polymerase chain reaction recipes and thermal profiles used for </w:t>
      </w:r>
      <w:r w:rsidRPr="003468E5">
        <w:rPr>
          <w:bCs/>
          <w:i/>
        </w:rPr>
        <w:t>CO</w:t>
      </w:r>
      <w:r w:rsidRPr="003468E5">
        <w:rPr>
          <w:bCs/>
        </w:rPr>
        <w:t xml:space="preserve">1 and </w:t>
      </w:r>
      <w:r w:rsidRPr="003468E5">
        <w:rPr>
          <w:bCs/>
          <w:i/>
        </w:rPr>
        <w:t>ITS</w:t>
      </w:r>
      <w:r w:rsidRPr="003468E5">
        <w:rPr>
          <w:bCs/>
        </w:rPr>
        <w:t>2 gene amplification</w:t>
      </w:r>
    </w:p>
    <w:p w:rsidR="00B40A7D" w:rsidRPr="003468E5" w:rsidRDefault="00B40A7D" w:rsidP="00B40A7D">
      <w:pPr>
        <w:spacing w:line="240" w:lineRule="auto"/>
      </w:pPr>
      <w:r w:rsidRPr="003468E5">
        <w:t>For fresh material (</w:t>
      </w:r>
      <w:r w:rsidRPr="003468E5">
        <w:rPr>
          <w:i/>
        </w:rPr>
        <w:t>i.e</w:t>
      </w:r>
      <w:r w:rsidRPr="003468E5">
        <w:t xml:space="preserve">., preserved in 95% ethanol, stored in freezer) </w:t>
      </w:r>
    </w:p>
    <w:p w:rsidR="00B40A7D" w:rsidRPr="003468E5" w:rsidRDefault="00B40A7D" w:rsidP="00B40A7D">
      <w:pPr>
        <w:spacing w:line="240" w:lineRule="auto"/>
      </w:pPr>
      <w:r w:rsidRPr="003468E5">
        <w:t xml:space="preserve">Per sample (for </w:t>
      </w:r>
      <w:r w:rsidRPr="003468E5">
        <w:rPr>
          <w:i/>
        </w:rPr>
        <w:t>CO</w:t>
      </w:r>
      <w:r w:rsidRPr="003468E5">
        <w:t xml:space="preserve">1; see Folmer </w:t>
      </w:r>
      <w:r w:rsidRPr="003468E5">
        <w:rPr>
          <w:i/>
        </w:rPr>
        <w:t>et al.</w:t>
      </w:r>
      <w:r w:rsidRPr="003468E5">
        <w:t xml:space="preserve"> (1994) for description of primers):</w:t>
      </w:r>
    </w:p>
    <w:p w:rsidR="00B40A7D" w:rsidRPr="003468E5" w:rsidRDefault="00B40A7D" w:rsidP="00B40A7D">
      <w:pPr>
        <w:spacing w:line="240" w:lineRule="auto"/>
        <w:rPr>
          <w:i/>
          <w:iCs/>
        </w:rPr>
      </w:pPr>
    </w:p>
    <w:tbl>
      <w:tblPr>
        <w:tblStyle w:val="TableGrid"/>
        <w:tblW w:w="4504" w:type="dxa"/>
        <w:tblLook w:val="04A0" w:firstRow="1" w:lastRow="0" w:firstColumn="1" w:lastColumn="0" w:noHBand="0" w:noVBand="1"/>
      </w:tblPr>
      <w:tblGrid>
        <w:gridCol w:w="2689"/>
        <w:gridCol w:w="1815"/>
      </w:tblGrid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DNA water</w:t>
            </w:r>
            <w:r w:rsidRPr="003468E5">
              <w:tab/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9.05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Q5 buffer (5</w:t>
            </w:r>
            <w:r w:rsidRPr="003468E5">
              <w:rPr>
                <w:rFonts w:cs="Times New Roman"/>
              </w:rPr>
              <w:t>×</w:t>
            </w:r>
            <w:r w:rsidRPr="003468E5">
              <w:t>)</w:t>
            </w:r>
          </w:p>
          <w:p w:rsidR="00B40A7D" w:rsidRPr="003468E5" w:rsidRDefault="00B40A7D" w:rsidP="00391175">
            <w:pPr>
              <w:pStyle w:val="NoSpacing"/>
            </w:pPr>
            <w:r w:rsidRPr="003468E5">
              <w:t>(https://www.neb.ca/q5)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3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dNTPs (10 mM)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0.3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rPr>
                <w:i/>
              </w:rPr>
              <w:t>LCO</w:t>
            </w:r>
            <w:r w:rsidRPr="003468E5">
              <w:t>1490 (10 μM)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0.75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rPr>
                <w:i/>
              </w:rPr>
              <w:t>HCO</w:t>
            </w:r>
            <w:r w:rsidRPr="003468E5">
              <w:t>2198 (10 μM)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0.75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Q5 polymerase (2 U/μL)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0.15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 xml:space="preserve">Template DNA 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1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Total reaction volume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>
              <w:t xml:space="preserve">15 </w:t>
            </w:r>
            <w:r w:rsidRPr="003468E5">
              <w:t>μL</w:t>
            </w:r>
          </w:p>
        </w:tc>
      </w:tr>
    </w:tbl>
    <w:p w:rsidR="00B40A7D" w:rsidRPr="003468E5" w:rsidRDefault="00B40A7D" w:rsidP="00B40A7D">
      <w:pPr>
        <w:spacing w:line="240" w:lineRule="auto"/>
      </w:pPr>
      <w:r w:rsidRPr="003468E5">
        <w:t xml:space="preserve">*Use “Step up / Touch down” thermal profile outlined in Astrin </w:t>
      </w:r>
      <w:r w:rsidRPr="003468E5">
        <w:rPr>
          <w:i/>
        </w:rPr>
        <w:t>et al.</w:t>
      </w:r>
      <w:r w:rsidRPr="003468E5">
        <w:t xml:space="preserve"> (2012) </w:t>
      </w:r>
    </w:p>
    <w:p w:rsidR="00B40A7D" w:rsidRPr="003468E5" w:rsidRDefault="00B40A7D" w:rsidP="00B40A7D">
      <w:pPr>
        <w:spacing w:line="240" w:lineRule="auto"/>
      </w:pPr>
    </w:p>
    <w:p w:rsidR="00B40A7D" w:rsidRPr="003468E5" w:rsidRDefault="00B40A7D" w:rsidP="00B40A7D">
      <w:pPr>
        <w:spacing w:line="240" w:lineRule="auto"/>
      </w:pPr>
      <w:r w:rsidRPr="003468E5">
        <w:t xml:space="preserve">Per sample (for </w:t>
      </w:r>
      <w:r w:rsidRPr="003468E5">
        <w:rPr>
          <w:i/>
        </w:rPr>
        <w:t>ITS</w:t>
      </w:r>
      <w:r w:rsidRPr="003468E5">
        <w:t xml:space="preserve">2; see Andreev </w:t>
      </w:r>
      <w:r w:rsidRPr="003468E5">
        <w:rPr>
          <w:i/>
        </w:rPr>
        <w:t>et al.</w:t>
      </w:r>
      <w:r w:rsidRPr="003468E5">
        <w:t xml:space="preserve"> (1998) for description of primers):</w:t>
      </w:r>
    </w:p>
    <w:tbl>
      <w:tblPr>
        <w:tblStyle w:val="TableGrid"/>
        <w:tblW w:w="4504" w:type="dxa"/>
        <w:tblLook w:val="04A0" w:firstRow="1" w:lastRow="0" w:firstColumn="1" w:lastColumn="0" w:noHBand="0" w:noVBand="1"/>
      </w:tblPr>
      <w:tblGrid>
        <w:gridCol w:w="2689"/>
        <w:gridCol w:w="1815"/>
      </w:tblGrid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DNA water</w:t>
            </w:r>
            <w:r w:rsidRPr="003468E5">
              <w:tab/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9.05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Q5 buffer (5</w:t>
            </w:r>
            <w:r w:rsidRPr="003468E5">
              <w:rPr>
                <w:rFonts w:cs="Times New Roman"/>
              </w:rPr>
              <w:t>×</w:t>
            </w:r>
            <w:r w:rsidRPr="003468E5">
              <w:t>)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3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dNTPs (10 mM)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0.3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rPr>
                <w:i/>
              </w:rPr>
              <w:t>ITS</w:t>
            </w:r>
            <w:r w:rsidRPr="003468E5">
              <w:t>2F (10 μM)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0.75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rPr>
                <w:i/>
              </w:rPr>
              <w:t>ITS</w:t>
            </w:r>
            <w:r w:rsidRPr="003468E5">
              <w:t>2R (10 μM)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0.75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Q5 polymerase (2 U/μL)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0.15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 xml:space="preserve">Template DNA 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1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Total reaction volume</w:t>
            </w:r>
          </w:p>
        </w:tc>
        <w:tc>
          <w:tcPr>
            <w:tcW w:w="1815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15 μl</w:t>
            </w:r>
          </w:p>
        </w:tc>
      </w:tr>
    </w:tbl>
    <w:p w:rsidR="00B40A7D" w:rsidRPr="003468E5" w:rsidRDefault="00B40A7D" w:rsidP="00B40A7D">
      <w:pPr>
        <w:spacing w:line="240" w:lineRule="auto"/>
      </w:pPr>
    </w:p>
    <w:p w:rsidR="00B40A7D" w:rsidRPr="003468E5" w:rsidRDefault="00B40A7D" w:rsidP="00B40A7D">
      <w:pPr>
        <w:spacing w:line="240" w:lineRule="auto"/>
      </w:pPr>
      <w:r w:rsidRPr="003468E5">
        <w:t xml:space="preserve">Thermal profile (for </w:t>
      </w:r>
      <w:r w:rsidRPr="003468E5">
        <w:rPr>
          <w:i/>
        </w:rPr>
        <w:t>ITS</w:t>
      </w:r>
      <w:r w:rsidRPr="003468E5">
        <w:t>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40A7D" w:rsidRPr="003468E5" w:rsidTr="00391175"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Initial</w:t>
            </w:r>
          </w:p>
        </w:tc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98 °C</w:t>
            </w:r>
          </w:p>
        </w:tc>
        <w:tc>
          <w:tcPr>
            <w:tcW w:w="300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10 seconds</w:t>
            </w:r>
          </w:p>
        </w:tc>
      </w:tr>
      <w:tr w:rsidR="00B40A7D" w:rsidRPr="003468E5" w:rsidTr="00391175"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Denaturing</w:t>
            </w:r>
          </w:p>
        </w:tc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98 °C</w:t>
            </w:r>
          </w:p>
        </w:tc>
        <w:tc>
          <w:tcPr>
            <w:tcW w:w="300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10 seconds</w:t>
            </w:r>
          </w:p>
        </w:tc>
      </w:tr>
      <w:tr w:rsidR="00B40A7D" w:rsidRPr="003468E5" w:rsidTr="00391175"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Annealing</w:t>
            </w:r>
          </w:p>
        </w:tc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56 °C</w:t>
            </w:r>
          </w:p>
        </w:tc>
        <w:tc>
          <w:tcPr>
            <w:tcW w:w="300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30 seconds</w:t>
            </w:r>
          </w:p>
        </w:tc>
      </w:tr>
      <w:tr w:rsidR="00B40A7D" w:rsidRPr="003468E5" w:rsidTr="00391175"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Extension</w:t>
            </w:r>
          </w:p>
        </w:tc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72 °C</w:t>
            </w:r>
          </w:p>
        </w:tc>
        <w:tc>
          <w:tcPr>
            <w:tcW w:w="300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30 seconds</w:t>
            </w:r>
          </w:p>
        </w:tc>
      </w:tr>
      <w:tr w:rsidR="00B40A7D" w:rsidRPr="003468E5" w:rsidTr="00391175"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</w:p>
        </w:tc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</w:p>
        </w:tc>
        <w:tc>
          <w:tcPr>
            <w:tcW w:w="300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# cycles: 34</w:t>
            </w:r>
          </w:p>
        </w:tc>
      </w:tr>
      <w:tr w:rsidR="00B40A7D" w:rsidRPr="003468E5" w:rsidTr="00391175"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Final</w:t>
            </w:r>
          </w:p>
        </w:tc>
        <w:tc>
          <w:tcPr>
            <w:tcW w:w="3003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72 °C</w:t>
            </w:r>
          </w:p>
        </w:tc>
        <w:tc>
          <w:tcPr>
            <w:tcW w:w="300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5 minutes</w:t>
            </w:r>
          </w:p>
        </w:tc>
      </w:tr>
    </w:tbl>
    <w:p w:rsidR="00B40A7D" w:rsidRPr="003468E5" w:rsidRDefault="00B40A7D" w:rsidP="00B40A7D">
      <w:pPr>
        <w:spacing w:line="240" w:lineRule="auto"/>
      </w:pPr>
    </w:p>
    <w:p w:rsidR="00B40A7D" w:rsidRPr="003468E5" w:rsidRDefault="00B40A7D" w:rsidP="00B40A7D">
      <w:pPr>
        <w:spacing w:line="240" w:lineRule="auto"/>
      </w:pPr>
      <w:r w:rsidRPr="003468E5">
        <w:t xml:space="preserve">For older, pinned material (used for both </w:t>
      </w:r>
      <w:r w:rsidRPr="003468E5">
        <w:rPr>
          <w:i/>
        </w:rPr>
        <w:t>CO</w:t>
      </w:r>
      <w:r w:rsidRPr="003468E5">
        <w:t xml:space="preserve">1 and </w:t>
      </w:r>
      <w:r w:rsidRPr="003468E5">
        <w:rPr>
          <w:i/>
        </w:rPr>
        <w:t>ITS</w:t>
      </w:r>
      <w:r w:rsidRPr="003468E5">
        <w:t>2):</w:t>
      </w:r>
    </w:p>
    <w:tbl>
      <w:tblPr>
        <w:tblStyle w:val="TableGrid"/>
        <w:tblW w:w="4673" w:type="dxa"/>
        <w:tblLook w:val="04A0" w:firstRow="1" w:lastRow="0" w:firstColumn="1" w:lastColumn="0" w:noHBand="0" w:noVBand="1"/>
      </w:tblPr>
      <w:tblGrid>
        <w:gridCol w:w="2689"/>
        <w:gridCol w:w="1984"/>
      </w:tblGrid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DNA water</w:t>
            </w:r>
            <w:r w:rsidRPr="003468E5">
              <w:tab/>
            </w:r>
          </w:p>
        </w:tc>
        <w:tc>
          <w:tcPr>
            <w:tcW w:w="198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32.5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Q5 buffer (5</w:t>
            </w:r>
            <w:r w:rsidRPr="003468E5">
              <w:rPr>
                <w:rFonts w:cs="Times New Roman"/>
              </w:rPr>
              <w:t>×</w:t>
            </w:r>
            <w:r w:rsidRPr="003468E5">
              <w:t>)</w:t>
            </w:r>
          </w:p>
        </w:tc>
        <w:tc>
          <w:tcPr>
            <w:tcW w:w="198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10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dNTPs (10 mM)</w:t>
            </w:r>
          </w:p>
        </w:tc>
        <w:tc>
          <w:tcPr>
            <w:tcW w:w="198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1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Fw. primer (10 μM)</w:t>
            </w:r>
          </w:p>
        </w:tc>
        <w:tc>
          <w:tcPr>
            <w:tcW w:w="198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2.5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Rev. primer (10 μM)</w:t>
            </w:r>
          </w:p>
        </w:tc>
        <w:tc>
          <w:tcPr>
            <w:tcW w:w="198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2.5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Q5 polymerase (2 U/μL)</w:t>
            </w:r>
          </w:p>
        </w:tc>
        <w:tc>
          <w:tcPr>
            <w:tcW w:w="198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0.5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 xml:space="preserve">Template DNA </w:t>
            </w:r>
          </w:p>
        </w:tc>
        <w:tc>
          <w:tcPr>
            <w:tcW w:w="1984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1 μL</w:t>
            </w:r>
          </w:p>
        </w:tc>
      </w:tr>
      <w:tr w:rsidR="00B40A7D" w:rsidRPr="003468E5" w:rsidTr="00391175">
        <w:tc>
          <w:tcPr>
            <w:tcW w:w="2689" w:type="dxa"/>
          </w:tcPr>
          <w:p w:rsidR="00B40A7D" w:rsidRPr="003468E5" w:rsidRDefault="00B40A7D" w:rsidP="00391175">
            <w:pPr>
              <w:pStyle w:val="NoSpacing"/>
            </w:pPr>
            <w:r w:rsidRPr="003468E5">
              <w:t>Total reaction volume</w:t>
            </w:r>
          </w:p>
        </w:tc>
        <w:tc>
          <w:tcPr>
            <w:tcW w:w="1984" w:type="dxa"/>
          </w:tcPr>
          <w:p w:rsidR="00B40A7D" w:rsidRPr="003468E5" w:rsidRDefault="00B40A7D" w:rsidP="00391175">
            <w:pPr>
              <w:pStyle w:val="NoSpacing"/>
            </w:pPr>
            <w:r>
              <w:t xml:space="preserve">50 </w:t>
            </w:r>
            <w:r w:rsidRPr="003468E5">
              <w:t>μL</w:t>
            </w:r>
          </w:p>
        </w:tc>
      </w:tr>
    </w:tbl>
    <w:p w:rsidR="002D5707" w:rsidRDefault="00B40A7D">
      <w:r w:rsidRPr="003468E5">
        <w:t>*Note that thermal profiles remain the same when using this higher polymerase chain reaction volume</w:t>
      </w:r>
      <w:bookmarkStart w:id="0" w:name="_GoBack"/>
      <w:bookmarkEnd w:id="0"/>
    </w:p>
    <w:sectPr w:rsidR="002D5707" w:rsidSect="0038097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mirrorMargins/>
  <w:proofState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7D"/>
    <w:rsid w:val="000E12E7"/>
    <w:rsid w:val="001A3CF7"/>
    <w:rsid w:val="00236DAD"/>
    <w:rsid w:val="002B34F1"/>
    <w:rsid w:val="002D5707"/>
    <w:rsid w:val="0030096A"/>
    <w:rsid w:val="0038097B"/>
    <w:rsid w:val="003D72B0"/>
    <w:rsid w:val="005260AA"/>
    <w:rsid w:val="00612FD4"/>
    <w:rsid w:val="00632F9B"/>
    <w:rsid w:val="006930DE"/>
    <w:rsid w:val="006E6A1A"/>
    <w:rsid w:val="00725DC2"/>
    <w:rsid w:val="00752E6C"/>
    <w:rsid w:val="007A79AC"/>
    <w:rsid w:val="00837D74"/>
    <w:rsid w:val="0087460F"/>
    <w:rsid w:val="0087659E"/>
    <w:rsid w:val="008F3DE2"/>
    <w:rsid w:val="00904A48"/>
    <w:rsid w:val="00913080"/>
    <w:rsid w:val="00A57A8B"/>
    <w:rsid w:val="00B40A7D"/>
    <w:rsid w:val="00B53629"/>
    <w:rsid w:val="00C569B3"/>
    <w:rsid w:val="00CB1EDB"/>
    <w:rsid w:val="00D05A7D"/>
    <w:rsid w:val="00DA1834"/>
    <w:rsid w:val="00DC75F3"/>
    <w:rsid w:val="00E05FF2"/>
    <w:rsid w:val="00E20431"/>
    <w:rsid w:val="00F56447"/>
    <w:rsid w:val="00F7147F"/>
    <w:rsid w:val="00F81339"/>
    <w:rsid w:val="00F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96DBC1F-2ADC-1E4F-992B-601A117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 (Body CS)"/>
        <w:sz w:val="24"/>
        <w:szCs w:val="22"/>
        <w:vertAlign w:val="superscript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A7D"/>
    <w:pPr>
      <w:spacing w:line="480" w:lineRule="auto"/>
    </w:pPr>
    <w:rPr>
      <w:rFonts w:ascii="Times New Roman" w:eastAsia="Times New Roman" w:hAnsi="Times New Roman" w:cs="Times New Roman"/>
      <w:szCs w:val="24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A7D"/>
    <w:rPr>
      <w:rFonts w:asciiTheme="minorHAnsi" w:eastAsiaTheme="minorEastAsia" w:hAnsiTheme="minorHAnsi" w:cstheme="minorBidi"/>
      <w:szCs w:val="24"/>
      <w:vertAlign w:val="baseline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0A7D"/>
    <w:rPr>
      <w:rFonts w:ascii="Times New Roman" w:eastAsiaTheme="minorEastAsia" w:hAnsi="Times New Roman" w:cstheme="minorBidi"/>
      <w:szCs w:val="24"/>
      <w:vertAlign w:val="baselin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1</cp:revision>
  <dcterms:created xsi:type="dcterms:W3CDTF">2023-01-23T19:14:00Z</dcterms:created>
  <dcterms:modified xsi:type="dcterms:W3CDTF">2023-01-23T19:14:00Z</dcterms:modified>
</cp:coreProperties>
</file>