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1F6A0" w14:textId="77777777" w:rsidR="00762F51" w:rsidRPr="00DF4A33" w:rsidRDefault="00762F51" w:rsidP="00762F51">
      <w:pPr>
        <w:spacing w:after="0" w:line="480" w:lineRule="auto"/>
        <w:jc w:val="both"/>
        <w:rPr>
          <w:rFonts w:cs="Calibri"/>
          <w:b/>
          <w:lang w:val="en-US"/>
        </w:rPr>
      </w:pPr>
    </w:p>
    <w:p w14:paraId="67D1F6A1" w14:textId="77777777" w:rsidR="00762F51" w:rsidRPr="00DF4A33" w:rsidRDefault="00EB2E72" w:rsidP="00762F51">
      <w:pPr>
        <w:rPr>
          <w:rFonts w:cs="Calibri"/>
          <w:b/>
          <w:lang w:val="en-US"/>
        </w:rPr>
      </w:pPr>
      <w:r w:rsidRPr="00DF4A33">
        <w:rPr>
          <w:rFonts w:cs="Calibri"/>
          <w:b/>
          <w:lang w:val="en-US"/>
        </w:rPr>
        <w:t>Supplementary Material</w:t>
      </w:r>
      <w:r w:rsidR="000E727B" w:rsidRPr="00DF4A33">
        <w:rPr>
          <w:rFonts w:cs="Calibri"/>
          <w:b/>
          <w:lang w:val="en-US"/>
        </w:rPr>
        <w:t>s</w:t>
      </w:r>
      <w:r w:rsidRPr="00DF4A33">
        <w:rPr>
          <w:rFonts w:cs="Calibri"/>
          <w:b/>
          <w:lang w:val="en-US"/>
        </w:rPr>
        <w:t xml:space="preserve"> </w:t>
      </w:r>
      <w:r w:rsidR="00762F51" w:rsidRPr="00DF4A33">
        <w:rPr>
          <w:rFonts w:cs="Calibri"/>
          <w:b/>
          <w:lang w:val="en-US"/>
        </w:rPr>
        <w:t>for</w:t>
      </w:r>
    </w:p>
    <w:p w14:paraId="67D1F6A2" w14:textId="77777777" w:rsidR="006E58CF" w:rsidRPr="00DF4A33" w:rsidRDefault="006E58CF" w:rsidP="00762F51">
      <w:pPr>
        <w:rPr>
          <w:rFonts w:cs="Calibri"/>
          <w:sz w:val="28"/>
          <w:lang w:val="en-US"/>
        </w:rPr>
      </w:pPr>
    </w:p>
    <w:p w14:paraId="67D1F6A3" w14:textId="77777777" w:rsidR="000E727B" w:rsidRPr="00776978" w:rsidRDefault="000E727B" w:rsidP="000E727B">
      <w:pPr>
        <w:pStyle w:val="Textoindependiente"/>
        <w:spacing w:line="480" w:lineRule="auto"/>
        <w:rPr>
          <w:rFonts w:asciiTheme="minorHAnsi" w:hAnsiTheme="minorHAnsi" w:cstheme="minorHAnsi"/>
          <w:b/>
          <w:lang w:val="en-US"/>
        </w:rPr>
      </w:pPr>
      <w:r w:rsidRPr="00776978">
        <w:rPr>
          <w:rFonts w:asciiTheme="minorHAnsi" w:hAnsiTheme="minorHAnsi" w:cstheme="minorHAnsi"/>
          <w:b/>
          <w:lang w:val="en-US"/>
        </w:rPr>
        <w:t xml:space="preserve">Biological traits of the predatory mirid </w:t>
      </w:r>
      <w:proofErr w:type="spellStart"/>
      <w:r w:rsidRPr="00776978">
        <w:rPr>
          <w:rFonts w:asciiTheme="minorHAnsi" w:hAnsiTheme="minorHAnsi" w:cstheme="minorHAnsi"/>
          <w:b/>
          <w:i/>
          <w:lang w:val="en-US"/>
        </w:rPr>
        <w:t>Macrolophus</w:t>
      </w:r>
      <w:proofErr w:type="spellEnd"/>
      <w:r w:rsidRPr="00776978">
        <w:rPr>
          <w:rFonts w:asciiTheme="minorHAnsi" w:hAnsiTheme="minorHAnsi" w:cstheme="minorHAnsi"/>
          <w:b/>
          <w:i/>
          <w:lang w:val="en-US"/>
        </w:rPr>
        <w:t xml:space="preserve"> </w:t>
      </w:r>
      <w:proofErr w:type="spellStart"/>
      <w:r w:rsidRPr="00776978">
        <w:rPr>
          <w:rFonts w:asciiTheme="minorHAnsi" w:hAnsiTheme="minorHAnsi" w:cstheme="minorHAnsi"/>
          <w:b/>
          <w:i/>
          <w:lang w:val="en-US"/>
        </w:rPr>
        <w:t>praeclarus</w:t>
      </w:r>
      <w:proofErr w:type="spellEnd"/>
      <w:r w:rsidRPr="00776978">
        <w:rPr>
          <w:rFonts w:asciiTheme="minorHAnsi" w:hAnsiTheme="minorHAnsi" w:cstheme="minorHAnsi"/>
          <w:b/>
          <w:i/>
          <w:lang w:val="en-US"/>
        </w:rPr>
        <w:t>,</w:t>
      </w:r>
      <w:r w:rsidRPr="00776978">
        <w:rPr>
          <w:rFonts w:asciiTheme="minorHAnsi" w:hAnsiTheme="minorHAnsi" w:cstheme="minorHAnsi"/>
          <w:b/>
          <w:lang w:val="en-US"/>
        </w:rPr>
        <w:t xml:space="preserve"> a candidate biocontrol agent for the Neotropical region</w:t>
      </w:r>
    </w:p>
    <w:p w14:paraId="67D1F6A4" w14:textId="77777777" w:rsidR="000E727B" w:rsidRPr="007C2610" w:rsidRDefault="000E727B" w:rsidP="000E727B">
      <w:pPr>
        <w:pStyle w:val="Textoindependiente"/>
        <w:spacing w:line="480" w:lineRule="auto"/>
        <w:rPr>
          <w:b/>
          <w:lang w:val="en-US"/>
        </w:rPr>
      </w:pPr>
    </w:p>
    <w:p w14:paraId="67D1F6A5" w14:textId="18AFFF49" w:rsidR="000E727B" w:rsidRPr="005C0517" w:rsidRDefault="000E727B" w:rsidP="000E727B">
      <w:pPr>
        <w:rPr>
          <w:rFonts w:cs="Arial"/>
          <w:vertAlign w:val="superscript"/>
        </w:rPr>
      </w:pPr>
      <w:r w:rsidRPr="005C0517">
        <w:rPr>
          <w:rFonts w:cs="Arial"/>
        </w:rPr>
        <w:t>Meritxell Pérez-Hedo</w:t>
      </w:r>
      <w:r w:rsidRPr="005C0517">
        <w:rPr>
          <w:rFonts w:cs="Arial"/>
          <w:vertAlign w:val="superscript"/>
        </w:rPr>
        <w:t>1</w:t>
      </w:r>
      <w:r w:rsidRPr="005C0517">
        <w:rPr>
          <w:rFonts w:cs="Arial"/>
        </w:rPr>
        <w:t>, Carolina Gallego</w:t>
      </w:r>
      <w:r w:rsidRPr="005C0517">
        <w:rPr>
          <w:rFonts w:cs="Arial"/>
          <w:vertAlign w:val="superscript"/>
        </w:rPr>
        <w:t>1</w:t>
      </w:r>
      <w:r w:rsidRPr="005C0517">
        <w:rPr>
          <w:rFonts w:cs="Arial"/>
        </w:rPr>
        <w:t>, Amy Roda</w:t>
      </w:r>
      <w:r>
        <w:rPr>
          <w:rFonts w:cs="Arial"/>
          <w:vertAlign w:val="superscript"/>
        </w:rPr>
        <w:t>2</w:t>
      </w:r>
      <w:r w:rsidRPr="005C0517">
        <w:rPr>
          <w:rFonts w:cs="Arial"/>
        </w:rPr>
        <w:t>, Barry Kostyk</w:t>
      </w:r>
      <w:r>
        <w:rPr>
          <w:rFonts w:cs="Arial"/>
          <w:vertAlign w:val="superscript"/>
        </w:rPr>
        <w:t>3</w:t>
      </w:r>
      <w:r w:rsidRPr="005C0517">
        <w:rPr>
          <w:rFonts w:cs="Arial"/>
        </w:rPr>
        <w:t>, Mónica Triana</w:t>
      </w:r>
      <w:r>
        <w:rPr>
          <w:rFonts w:cs="Arial"/>
          <w:vertAlign w:val="superscript"/>
        </w:rPr>
        <w:t>3</w:t>
      </w:r>
      <w:r w:rsidRPr="005C0517">
        <w:rPr>
          <w:rFonts w:cs="Arial"/>
        </w:rPr>
        <w:t>, Fernando Alférez</w:t>
      </w:r>
      <w:r>
        <w:rPr>
          <w:rFonts w:cs="Arial"/>
          <w:vertAlign w:val="superscript"/>
        </w:rPr>
        <w:t>3</w:t>
      </w:r>
      <w:r w:rsidRPr="005C0517">
        <w:rPr>
          <w:rFonts w:cs="Arial"/>
        </w:rPr>
        <w:t xml:space="preserve">, </w:t>
      </w:r>
      <w:r w:rsidRPr="00A26F88">
        <w:rPr>
          <w:rFonts w:cs="Arial"/>
        </w:rPr>
        <w:t>Philip A. Stansly</w:t>
      </w:r>
      <w:r w:rsidRPr="00A26F88">
        <w:rPr>
          <w:rFonts w:cs="Arial"/>
          <w:vertAlign w:val="superscript"/>
        </w:rPr>
        <w:t>3†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J</w:t>
      </w:r>
      <w:r w:rsidRPr="005C0517">
        <w:rPr>
          <w:rFonts w:cs="Arial"/>
        </w:rPr>
        <w:t>awwad</w:t>
      </w:r>
      <w:proofErr w:type="spellEnd"/>
      <w:r w:rsidRPr="005C0517">
        <w:rPr>
          <w:rFonts w:cs="Arial"/>
        </w:rPr>
        <w:t xml:space="preserve"> Qureshi</w:t>
      </w:r>
      <w:r>
        <w:rPr>
          <w:rFonts w:cs="Arial"/>
          <w:vertAlign w:val="superscript"/>
        </w:rPr>
        <w:t>3</w:t>
      </w:r>
      <w:r w:rsidRPr="005C0517">
        <w:rPr>
          <w:rFonts w:cs="Arial"/>
        </w:rPr>
        <w:t>, Alberto Urbaneja</w:t>
      </w:r>
      <w:r w:rsidRPr="005C0517">
        <w:rPr>
          <w:rFonts w:cs="Arial"/>
          <w:vertAlign w:val="superscript"/>
        </w:rPr>
        <w:t>1</w:t>
      </w:r>
    </w:p>
    <w:p w14:paraId="67D1F6A6" w14:textId="77777777" w:rsidR="000E727B" w:rsidRPr="005C0517" w:rsidRDefault="000E727B" w:rsidP="000E727B">
      <w:pPr>
        <w:rPr>
          <w:rFonts w:cs="Arial"/>
          <w:vertAlign w:val="superscript"/>
        </w:rPr>
      </w:pPr>
    </w:p>
    <w:p w14:paraId="67D1F6A7" w14:textId="77777777" w:rsidR="000E727B" w:rsidRDefault="000E727B" w:rsidP="000E727B">
      <w:pPr>
        <w:spacing w:line="360" w:lineRule="auto"/>
        <w:rPr>
          <w:rFonts w:cs="Arial"/>
          <w:lang w:val="en-US"/>
        </w:rPr>
      </w:pPr>
      <w:r w:rsidRPr="00C204CE">
        <w:rPr>
          <w:rFonts w:cs="Arial"/>
          <w:vertAlign w:val="superscript"/>
        </w:rPr>
        <w:t>1</w:t>
      </w:r>
      <w:r w:rsidRPr="00C204CE">
        <w:rPr>
          <w:rFonts w:cs="Arial"/>
        </w:rPr>
        <w:t>Instituto Valenciano de Investigaciones Agrarias (IVIA)</w:t>
      </w:r>
      <w:r>
        <w:rPr>
          <w:rFonts w:cs="Arial"/>
        </w:rPr>
        <w:t>.</w:t>
      </w:r>
      <w:r w:rsidRPr="00F90462">
        <w:rPr>
          <w:rFonts w:cs="Arial"/>
        </w:rPr>
        <w:t xml:space="preserve"> </w:t>
      </w:r>
      <w:r w:rsidRPr="00C204CE">
        <w:rPr>
          <w:rFonts w:cs="Arial"/>
        </w:rPr>
        <w:t>Centro de Protección Vegetal y Biotecnología</w:t>
      </w:r>
      <w:r>
        <w:rPr>
          <w:rFonts w:cs="Arial"/>
        </w:rPr>
        <w:t>.</w:t>
      </w:r>
      <w:r w:rsidRPr="00C204CE">
        <w:rPr>
          <w:rFonts w:cs="Arial"/>
        </w:rPr>
        <w:t xml:space="preserve"> </w:t>
      </w:r>
      <w:r w:rsidRPr="00F90462">
        <w:rPr>
          <w:rFonts w:cs="Arial"/>
          <w:lang w:val="en-US"/>
        </w:rPr>
        <w:t xml:space="preserve">Unidad de </w:t>
      </w:r>
      <w:proofErr w:type="spellStart"/>
      <w:r w:rsidRPr="00F90462">
        <w:rPr>
          <w:rFonts w:cs="Arial"/>
          <w:lang w:val="en-US"/>
        </w:rPr>
        <w:t>Entomología</w:t>
      </w:r>
      <w:proofErr w:type="spellEnd"/>
      <w:r w:rsidRPr="00F90462">
        <w:rPr>
          <w:rFonts w:cs="Arial"/>
          <w:lang w:val="en-US"/>
        </w:rPr>
        <w:t xml:space="preserve">. Carretera CV-315, Km 10'7 - 46113 Moncada, Spain </w:t>
      </w:r>
    </w:p>
    <w:p w14:paraId="67D1F6A8" w14:textId="77777777" w:rsidR="000E727B" w:rsidRPr="00F90462" w:rsidRDefault="000E727B" w:rsidP="000E727B">
      <w:pPr>
        <w:spacing w:line="360" w:lineRule="auto"/>
        <w:rPr>
          <w:rFonts w:cs="Arial"/>
          <w:lang w:val="en-US"/>
        </w:rPr>
      </w:pPr>
      <w:r w:rsidRPr="005C0517">
        <w:rPr>
          <w:rFonts w:cs="Arial"/>
          <w:vertAlign w:val="superscript"/>
          <w:lang w:val="en-US"/>
        </w:rPr>
        <w:t>2</w:t>
      </w:r>
      <w:r w:rsidRPr="005C0517">
        <w:rPr>
          <w:rFonts w:cs="Arial"/>
          <w:lang w:val="en-US"/>
        </w:rPr>
        <w:t>United States Department of Agriculture, Animal Plant Health Inspection Service, Plant Protection and Quarantine, Science and Technology, Miami, Florida, 33158 United States of America</w:t>
      </w:r>
    </w:p>
    <w:p w14:paraId="67D1F6A9" w14:textId="77777777" w:rsidR="000E727B" w:rsidRDefault="000E727B" w:rsidP="000E727B">
      <w:pPr>
        <w:spacing w:line="360" w:lineRule="auto"/>
        <w:rPr>
          <w:rFonts w:cs="Arial"/>
          <w:lang w:val="en-US"/>
        </w:rPr>
      </w:pPr>
      <w:r>
        <w:rPr>
          <w:rFonts w:cs="Arial"/>
          <w:vertAlign w:val="superscript"/>
          <w:lang w:val="en-US"/>
        </w:rPr>
        <w:t>3</w:t>
      </w:r>
      <w:r w:rsidRPr="00F90462">
        <w:rPr>
          <w:rFonts w:cs="Arial"/>
          <w:lang w:val="en-US"/>
        </w:rPr>
        <w:t xml:space="preserve">University of Florida, Department of Entomology and Nematology, Southwest Florida Research and Education Center, Immokalee, Florida 34142, </w:t>
      </w:r>
      <w:r w:rsidRPr="006841D5">
        <w:rPr>
          <w:rFonts w:cs="Arial"/>
          <w:lang w:val="en-US"/>
        </w:rPr>
        <w:t>United States of America</w:t>
      </w:r>
    </w:p>
    <w:p w14:paraId="67D1F6AA" w14:textId="77777777" w:rsidR="000E727B" w:rsidRPr="00725BFE" w:rsidRDefault="000E727B" w:rsidP="000E727B">
      <w:pPr>
        <w:pStyle w:val="Textoindependiente2"/>
        <w:spacing w:before="0" w:line="480" w:lineRule="auto"/>
        <w:jc w:val="left"/>
        <w:rPr>
          <w:rFonts w:cs="Arial"/>
          <w:sz w:val="22"/>
        </w:rPr>
      </w:pPr>
    </w:p>
    <w:p w14:paraId="67D1F6AB" w14:textId="77777777" w:rsidR="000E727B" w:rsidRPr="00B14C2E" w:rsidRDefault="000E727B" w:rsidP="000E727B">
      <w:pPr>
        <w:pStyle w:val="Textoindependiente2"/>
        <w:spacing w:before="0" w:line="480" w:lineRule="auto"/>
        <w:jc w:val="left"/>
        <w:rPr>
          <w:rFonts w:cs="Arial"/>
          <w:sz w:val="22"/>
        </w:rPr>
      </w:pPr>
      <w:r w:rsidRPr="00B14C2E">
        <w:rPr>
          <w:rFonts w:cs="Arial"/>
          <w:sz w:val="22"/>
        </w:rPr>
        <w:t>Author for correspondence:</w:t>
      </w:r>
    </w:p>
    <w:p w14:paraId="67D1F6AC" w14:textId="77777777" w:rsidR="000E727B" w:rsidRPr="00B14C2E" w:rsidRDefault="000E727B" w:rsidP="000E727B">
      <w:pPr>
        <w:pStyle w:val="Encabezado"/>
        <w:tabs>
          <w:tab w:val="clear" w:pos="4419"/>
          <w:tab w:val="clear" w:pos="8838"/>
          <w:tab w:val="left" w:pos="3969"/>
        </w:tabs>
        <w:spacing w:after="0" w:line="240" w:lineRule="auto"/>
        <w:jc w:val="left"/>
        <w:rPr>
          <w:rFonts w:cs="Arial"/>
          <w:i/>
          <w:sz w:val="22"/>
          <w:lang w:val="en-US"/>
        </w:rPr>
      </w:pPr>
      <w:r w:rsidRPr="00B14C2E">
        <w:rPr>
          <w:rFonts w:cs="Arial"/>
          <w:i/>
          <w:sz w:val="22"/>
          <w:lang w:val="en-US"/>
        </w:rPr>
        <w:t>Meritxell Pérez-Hedo</w:t>
      </w:r>
    </w:p>
    <w:p w14:paraId="67D1F6AD" w14:textId="77777777" w:rsidR="000E727B" w:rsidRPr="00C24753" w:rsidRDefault="000E727B" w:rsidP="000E727B">
      <w:pPr>
        <w:rPr>
          <w:color w:val="000000"/>
          <w:lang w:val="en-US"/>
        </w:rPr>
      </w:pPr>
      <w:r w:rsidRPr="00500334">
        <w:rPr>
          <w:rFonts w:cs="Arial"/>
          <w:lang w:val="en-US"/>
        </w:rPr>
        <w:t xml:space="preserve">Email: </w:t>
      </w:r>
      <w:hyperlink r:id="rId7" w:history="1">
        <w:r w:rsidRPr="00C00639">
          <w:rPr>
            <w:rStyle w:val="Hipervnculo"/>
            <w:lang w:val="en-US"/>
          </w:rPr>
          <w:t>mperezh@ivia.es</w:t>
        </w:r>
      </w:hyperlink>
    </w:p>
    <w:p w14:paraId="67D1F6AE" w14:textId="77777777" w:rsidR="000E727B" w:rsidRPr="00DF4A33" w:rsidRDefault="000E727B" w:rsidP="00762F51">
      <w:pPr>
        <w:rPr>
          <w:rFonts w:cs="Calibri"/>
          <w:sz w:val="28"/>
          <w:lang w:val="en-US"/>
        </w:rPr>
      </w:pPr>
    </w:p>
    <w:p w14:paraId="67D1F6AF" w14:textId="77777777" w:rsidR="00762F51" w:rsidRPr="00DF4A33" w:rsidRDefault="00762F51" w:rsidP="00762F51">
      <w:pPr>
        <w:rPr>
          <w:rFonts w:cs="Calibri"/>
          <w:b/>
          <w:lang w:val="en-US"/>
        </w:rPr>
      </w:pPr>
      <w:r w:rsidRPr="00DF4A33">
        <w:rPr>
          <w:rFonts w:cs="Calibri"/>
          <w:b/>
          <w:lang w:val="en-US"/>
        </w:rPr>
        <w:t>This PDF file includes:</w:t>
      </w:r>
    </w:p>
    <w:p w14:paraId="67D1F6B0" w14:textId="77777777" w:rsidR="0053662E" w:rsidRPr="00DF4A33" w:rsidRDefault="0053662E" w:rsidP="00762F51">
      <w:pPr>
        <w:rPr>
          <w:rFonts w:cs="Calibri"/>
          <w:lang w:val="en-US"/>
        </w:rPr>
      </w:pPr>
      <w:r w:rsidRPr="00DF4A33">
        <w:rPr>
          <w:rFonts w:cs="Calibri"/>
          <w:lang w:val="en-US"/>
        </w:rPr>
        <w:t>Supplementary materials</w:t>
      </w:r>
      <w:r w:rsidR="000E727B" w:rsidRPr="00DF4A33">
        <w:rPr>
          <w:rFonts w:cs="Calibri"/>
          <w:lang w:val="en-US"/>
        </w:rPr>
        <w:t xml:space="preserve"> </w:t>
      </w:r>
    </w:p>
    <w:p w14:paraId="67D1F6B1" w14:textId="77777777" w:rsidR="001300B9" w:rsidRPr="00DF4A33" w:rsidRDefault="00474F5B" w:rsidP="00762F51">
      <w:pPr>
        <w:rPr>
          <w:rFonts w:cs="Calibri"/>
          <w:lang w:val="en-US"/>
        </w:rPr>
      </w:pPr>
      <w:r w:rsidRPr="00DF4A33">
        <w:rPr>
          <w:rFonts w:cs="Calibri"/>
          <w:lang w:val="en-US"/>
        </w:rPr>
        <w:t xml:space="preserve">Supplementary Figure </w:t>
      </w:r>
      <w:r w:rsidR="001300B9" w:rsidRPr="00DF4A33">
        <w:rPr>
          <w:rFonts w:cs="Calibri"/>
          <w:lang w:val="en-US"/>
        </w:rPr>
        <w:t xml:space="preserve">1 </w:t>
      </w:r>
      <w:r w:rsidR="001758A3" w:rsidRPr="00DF4A33">
        <w:rPr>
          <w:rFonts w:cs="Calibri"/>
          <w:lang w:val="en-US"/>
        </w:rPr>
        <w:t>- 2</w:t>
      </w:r>
    </w:p>
    <w:p w14:paraId="67D1F6B2" w14:textId="77777777" w:rsidR="006454D3" w:rsidRPr="00DF4A33" w:rsidRDefault="009604F2" w:rsidP="000E727B">
      <w:pPr>
        <w:rPr>
          <w:rFonts w:cs="Calibri"/>
          <w:lang w:val="en-US"/>
        </w:rPr>
      </w:pPr>
      <w:r w:rsidRPr="00DF4A33">
        <w:rPr>
          <w:rFonts w:cs="Calibri"/>
          <w:lang w:val="en-US"/>
        </w:rPr>
        <w:t xml:space="preserve">Supplementary </w:t>
      </w:r>
      <w:r w:rsidR="00474F5B" w:rsidRPr="00DF4A33">
        <w:rPr>
          <w:rFonts w:cs="Calibri"/>
          <w:lang w:val="en-US"/>
        </w:rPr>
        <w:t>T</w:t>
      </w:r>
      <w:r w:rsidR="000E727B" w:rsidRPr="00DF4A33">
        <w:rPr>
          <w:rFonts w:cs="Calibri"/>
          <w:lang w:val="en-US"/>
        </w:rPr>
        <w:t>able</w:t>
      </w:r>
      <w:r w:rsidRPr="00DF4A33">
        <w:rPr>
          <w:rFonts w:cs="Calibri"/>
          <w:lang w:val="en-US"/>
        </w:rPr>
        <w:t xml:space="preserve"> </w:t>
      </w:r>
      <w:r w:rsidR="00762F51" w:rsidRPr="00DF4A33">
        <w:rPr>
          <w:rFonts w:cs="Calibri"/>
          <w:lang w:val="en-US"/>
        </w:rPr>
        <w:t xml:space="preserve">1 </w:t>
      </w:r>
    </w:p>
    <w:p w14:paraId="67D1F6B3" w14:textId="77777777" w:rsidR="001300B9" w:rsidRPr="00DF4A33" w:rsidRDefault="001300B9" w:rsidP="00762F51">
      <w:pPr>
        <w:rPr>
          <w:rFonts w:cs="Calibri"/>
          <w:lang w:val="en-US"/>
        </w:rPr>
      </w:pPr>
    </w:p>
    <w:p w14:paraId="67D1F6B4" w14:textId="77777777" w:rsidR="007C7AB8" w:rsidRPr="00DF4A33" w:rsidRDefault="007C7AB8" w:rsidP="00B23C53">
      <w:pPr>
        <w:rPr>
          <w:rFonts w:cs="Calibri"/>
          <w:b/>
          <w:lang w:val="en-US"/>
        </w:rPr>
      </w:pPr>
    </w:p>
    <w:p w14:paraId="67D1F6B5" w14:textId="77777777" w:rsidR="001D28FD" w:rsidRPr="00DF4A33" w:rsidRDefault="001D28FD" w:rsidP="00840D6F">
      <w:pPr>
        <w:spacing w:after="160" w:line="48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DF4A33">
        <w:rPr>
          <w:rFonts w:ascii="Arial" w:eastAsia="Calibri" w:hAnsi="Arial" w:cs="Arial"/>
          <w:b/>
          <w:sz w:val="20"/>
          <w:szCs w:val="20"/>
          <w:lang w:val="en-US"/>
        </w:rPr>
        <w:br w:type="page"/>
      </w:r>
    </w:p>
    <w:p w14:paraId="67D1F6B6" w14:textId="77777777" w:rsidR="007F22A3" w:rsidRPr="00776978" w:rsidRDefault="007F22A3" w:rsidP="00474F5B">
      <w:pPr>
        <w:spacing w:after="160" w:line="480" w:lineRule="auto"/>
        <w:rPr>
          <w:rFonts w:asciiTheme="minorHAnsi" w:eastAsia="Calibri" w:hAnsiTheme="minorHAnsi" w:cstheme="minorHAnsi"/>
          <w:b/>
          <w:lang w:val="en-US"/>
        </w:rPr>
      </w:pPr>
      <w:r w:rsidRPr="00776978">
        <w:rPr>
          <w:rFonts w:asciiTheme="minorHAnsi" w:eastAsia="Calibri" w:hAnsiTheme="minorHAnsi" w:cstheme="minorHAnsi"/>
          <w:b/>
          <w:lang w:val="en-US"/>
        </w:rPr>
        <w:lastRenderedPageBreak/>
        <w:t xml:space="preserve">Supplementary Materials </w:t>
      </w:r>
    </w:p>
    <w:p w14:paraId="67D1F6B7" w14:textId="77777777" w:rsidR="00474F5B" w:rsidRPr="00776978" w:rsidRDefault="00474F5B" w:rsidP="00474F5B">
      <w:pPr>
        <w:spacing w:after="0" w:line="480" w:lineRule="auto"/>
        <w:rPr>
          <w:rFonts w:asciiTheme="minorHAnsi" w:hAnsiTheme="minorHAnsi" w:cstheme="minorHAnsi"/>
          <w:b/>
          <w:bCs/>
          <w:lang w:val="en-US"/>
        </w:rPr>
      </w:pPr>
      <w:r w:rsidRPr="00776978">
        <w:rPr>
          <w:rFonts w:asciiTheme="minorHAnsi" w:hAnsiTheme="minorHAnsi" w:cstheme="minorHAnsi"/>
          <w:b/>
          <w:bCs/>
          <w:lang w:val="en-US"/>
        </w:rPr>
        <w:t xml:space="preserve">DNA extraction, </w:t>
      </w:r>
      <w:proofErr w:type="gramStart"/>
      <w:r w:rsidRPr="00776978">
        <w:rPr>
          <w:rFonts w:asciiTheme="minorHAnsi" w:hAnsiTheme="minorHAnsi" w:cstheme="minorHAnsi"/>
          <w:b/>
          <w:bCs/>
          <w:lang w:val="en-US"/>
        </w:rPr>
        <w:t>PCR</w:t>
      </w:r>
      <w:proofErr w:type="gramEnd"/>
      <w:r w:rsidRPr="00776978">
        <w:rPr>
          <w:rFonts w:asciiTheme="minorHAnsi" w:hAnsiTheme="minorHAnsi" w:cstheme="minorHAnsi"/>
          <w:b/>
          <w:bCs/>
          <w:lang w:val="en-US"/>
        </w:rPr>
        <w:t xml:space="preserve"> and sequencing of barcode fragment</w:t>
      </w:r>
    </w:p>
    <w:p w14:paraId="67D1F6B8" w14:textId="1E38F552" w:rsidR="00474F5B" w:rsidRPr="00776978" w:rsidRDefault="00474F5B" w:rsidP="00474F5B">
      <w:pPr>
        <w:suppressAutoHyphens/>
        <w:spacing w:after="0" w:line="480" w:lineRule="auto"/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</w:pP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Total genomic DNA was extracted from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individuals from the SWFREC colony and from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>M. pygmaeus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and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 xml:space="preserve">N. tenuis </w:t>
      </w:r>
      <w:r w:rsidRPr="00776978">
        <w:rPr>
          <w:rFonts w:asciiTheme="minorHAnsi" w:eastAsia="SimSun" w:hAnsiTheme="minorHAnsi" w:cstheme="minorHAnsi"/>
          <w:iCs/>
          <w:color w:val="000000"/>
          <w:kern w:val="1"/>
          <w:lang w:val="en-US" w:eastAsia="hi-IN" w:bidi="hi-IN"/>
        </w:rPr>
        <w:t>from c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ommercial strains (MIRICAL and NESIBUG, </w:t>
      </w:r>
      <w:proofErr w:type="spellStart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Koppert</w:t>
      </w:r>
      <w:proofErr w:type="spellEnd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BS., </w:t>
      </w:r>
      <w:r w:rsidR="00DA43E4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Á</w:t>
      </w:r>
      <w:r w:rsidR="00DA43E4"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guilas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, Murcia. Spain) for amplification of mitochondrial gene fragment using the salting-out method </w:t>
      </w:r>
      <w:r w:rsidR="00735D9A" w:rsidRPr="00776978">
        <w:rPr>
          <w:rFonts w:asciiTheme="minorHAnsi" w:eastAsia="SimSun" w:hAnsiTheme="minorHAnsi" w:cstheme="minorHAnsi"/>
          <w:noProof/>
          <w:color w:val="000000"/>
          <w:kern w:val="1"/>
          <w:lang w:val="en-US" w:eastAsia="hi-IN" w:bidi="hi-IN"/>
        </w:rPr>
        <w:t>(Sunnucks &amp; Hales, 1996)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adapted from </w:t>
      </w:r>
      <w:r w:rsidR="00735D9A" w:rsidRPr="00776978">
        <w:rPr>
          <w:rFonts w:asciiTheme="minorHAnsi" w:eastAsia="SimSun" w:hAnsiTheme="minorHAnsi" w:cstheme="minorHAnsi"/>
          <w:noProof/>
          <w:color w:val="000000"/>
          <w:kern w:val="1"/>
          <w:lang w:val="en-US" w:eastAsia="hi-IN" w:bidi="hi-IN"/>
        </w:rPr>
        <w:t>(Monzó</w:t>
      </w:r>
      <w:r w:rsidR="00805214">
        <w:rPr>
          <w:rFonts w:asciiTheme="minorHAnsi" w:eastAsia="SimSun" w:hAnsiTheme="minorHAnsi" w:cstheme="minorHAnsi"/>
          <w:noProof/>
          <w:color w:val="000000"/>
          <w:kern w:val="1"/>
          <w:lang w:val="en-US" w:eastAsia="hi-IN" w:bidi="hi-IN"/>
        </w:rPr>
        <w:t xml:space="preserve"> </w:t>
      </w:r>
      <w:r w:rsidR="004C1356" w:rsidRPr="00776978">
        <w:rPr>
          <w:rFonts w:asciiTheme="minorHAnsi" w:eastAsia="SimSun" w:hAnsiTheme="minorHAnsi" w:cstheme="minorHAnsi"/>
          <w:noProof/>
          <w:color w:val="000000"/>
          <w:kern w:val="1"/>
          <w:lang w:val="en-US" w:eastAsia="hi-IN" w:bidi="hi-IN"/>
        </w:rPr>
        <w:t>et al.,</w:t>
      </w:r>
      <w:r w:rsidR="00735D9A" w:rsidRPr="00776978">
        <w:rPr>
          <w:rFonts w:asciiTheme="minorHAnsi" w:eastAsia="SimSun" w:hAnsiTheme="minorHAnsi" w:cstheme="minorHAnsi"/>
          <w:noProof/>
          <w:color w:val="000000"/>
          <w:kern w:val="1"/>
          <w:lang w:val="en-US" w:eastAsia="hi-IN" w:bidi="hi-IN"/>
        </w:rPr>
        <w:t xml:space="preserve"> 2010)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.</w:t>
      </w:r>
      <w:r w:rsidR="004C1356"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The amplification and sequencing of 758 bp fragment of the Cytochrome Oxidase Subunit I (COI) </w:t>
      </w:r>
      <w:proofErr w:type="gramStart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were</w:t>
      </w:r>
      <w:proofErr w:type="gramEnd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performed using</w:t>
      </w:r>
      <w:r w:rsidRPr="00776978">
        <w:rPr>
          <w:rFonts w:asciiTheme="minorHAnsi" w:hAnsiTheme="minorHAnsi" w:cstheme="minorHAnsi"/>
          <w:lang w:val="en-US"/>
        </w:rPr>
        <w:t xml:space="preserve"> 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LCOI490 (GGTCAACAAATCATAAAGATATTGG) and HCOI2198 (TAAACTTCAGGGTGACCAAAAAATCA) standard primers </w:t>
      </w:r>
      <w:r w:rsidR="00735D9A" w:rsidRPr="00776978">
        <w:rPr>
          <w:rFonts w:asciiTheme="minorHAnsi" w:eastAsia="SimSun" w:hAnsiTheme="minorHAnsi" w:cstheme="minorHAnsi"/>
          <w:noProof/>
          <w:color w:val="000000"/>
          <w:kern w:val="1"/>
          <w:lang w:val="en-US" w:eastAsia="hi-IN" w:bidi="hi-IN"/>
        </w:rPr>
        <w:t>(Folmer, Black, Hoeh, Lutz, &amp; Vrijenhoek, 1994)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. All the PCRs were performed in 20-</w:t>
      </w:r>
      <w:r w:rsidRPr="00776978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>μ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L reaction mixtures with 1U of DNA polymerase (1U/ul, </w:t>
      </w:r>
      <w:proofErr w:type="spellStart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Biotools</w:t>
      </w:r>
      <w:proofErr w:type="spellEnd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), PCR Master Mix (1X Reaction Buffer, 1.5 </w:t>
      </w:r>
      <w:r w:rsidRPr="00776978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>μ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M of MgCl</w:t>
      </w:r>
      <w:r w:rsidRPr="00776978">
        <w:rPr>
          <w:rFonts w:asciiTheme="minorHAnsi" w:eastAsia="SimSun" w:hAnsiTheme="minorHAnsi" w:cstheme="minorHAnsi"/>
          <w:color w:val="000000"/>
          <w:kern w:val="1"/>
          <w:vertAlign w:val="subscript"/>
          <w:lang w:val="en-US" w:eastAsia="hi-IN" w:bidi="hi-IN"/>
        </w:rPr>
        <w:t xml:space="preserve">2, 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250 </w:t>
      </w:r>
      <w:r w:rsidRPr="00776978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>μ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M of each dNTPs and 0.25 </w:t>
      </w:r>
      <w:r w:rsidRPr="00776978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>μ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M of each primer), 1 </w:t>
      </w:r>
      <w:r w:rsidRPr="00776978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>μ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l of genomic DNA and RNase-free water, in a thermal cycler (Eppendorf </w:t>
      </w:r>
      <w:proofErr w:type="spellStart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Mastercycler</w:t>
      </w:r>
      <w:proofErr w:type="spellEnd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). </w:t>
      </w:r>
    </w:p>
    <w:p w14:paraId="67D1F6B9" w14:textId="3DA26DBC" w:rsidR="00474F5B" w:rsidRPr="00776978" w:rsidRDefault="00474F5B" w:rsidP="00474F5B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n-US"/>
        </w:rPr>
      </w:pP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PCR reactions were comprised of the following steps: initial denaturation at </w:t>
      </w:r>
      <w:r w:rsidRPr="008C229C">
        <w:rPr>
          <w:rFonts w:asciiTheme="majorHAnsi" w:eastAsia="SimSun" w:hAnsiTheme="majorHAnsi" w:cstheme="majorHAnsi"/>
          <w:color w:val="000000"/>
          <w:kern w:val="1"/>
          <w:lang w:val="en-US" w:eastAsia="hi-IN" w:bidi="hi-IN"/>
        </w:rPr>
        <w:t>9</w:t>
      </w:r>
      <w:r w:rsidR="008C229C" w:rsidRPr="008C229C">
        <w:rPr>
          <w:rFonts w:asciiTheme="majorHAnsi" w:eastAsia="SimSun" w:hAnsiTheme="majorHAnsi" w:cstheme="majorHAnsi"/>
          <w:color w:val="000000"/>
          <w:kern w:val="1"/>
          <w:lang w:val="en-US" w:eastAsia="hi-IN" w:bidi="hi-IN"/>
        </w:rPr>
        <w:t>5</w:t>
      </w:r>
      <w:r w:rsidR="00DA43E4" w:rsidRPr="00DA43E4">
        <w:rPr>
          <w:rFonts w:ascii="Arial" w:hAnsi="Arial" w:cs="Arial"/>
          <w:lang w:val="en-GB"/>
        </w:rPr>
        <w:t>º</w:t>
      </w:r>
      <w:r w:rsidRPr="008C229C">
        <w:rPr>
          <w:rFonts w:asciiTheme="majorHAnsi" w:eastAsia="SimSun" w:hAnsiTheme="majorHAnsi" w:cstheme="majorHAnsi"/>
          <w:color w:val="000000"/>
          <w:kern w:val="1"/>
          <w:lang w:val="en-US" w:eastAsia="hi-IN" w:bidi="hi-IN"/>
        </w:rPr>
        <w:t>C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for 2 min; 40 successive cycles of denaturation at 94</w:t>
      </w:r>
      <w:r w:rsidR="00DA43E4" w:rsidRPr="00DA43E4">
        <w:rPr>
          <w:rFonts w:ascii="Arial" w:hAnsi="Arial" w:cs="Arial"/>
          <w:lang w:val="en-GB"/>
        </w:rPr>
        <w:t>º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C for 1 min, touchdown protocol with an annealing temperature of 54–45°C in the first six cycles and 45 °C in the following 34 cycles for 1 min, elongation at 72</w:t>
      </w:r>
      <w:r w:rsidR="00DA43E4" w:rsidRPr="00DA43E4">
        <w:rPr>
          <w:rFonts w:ascii="Arial" w:hAnsi="Arial" w:cs="Arial"/>
          <w:lang w:val="en-GB"/>
        </w:rPr>
        <w:t>º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C for 90 s. and final extension at 72ºC for 10 min. The PCR products were purified using the </w:t>
      </w:r>
      <w:proofErr w:type="spellStart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>QIAquick</w:t>
      </w:r>
      <w:proofErr w:type="spellEnd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PCR Purification Kit (QUIAGEN) and PCR fragments were sequenced by the Sanger-sequencing method performed by capillary electrophoresis using a 3130XL Genetic Analyzer (Applied Biosystems, Carlsbad - California, USA), at the Sequencing Service of the IBMCP-CSIC (Valencia, Spain).</w:t>
      </w:r>
      <w:r w:rsidRPr="00776978">
        <w:rPr>
          <w:rFonts w:asciiTheme="minorHAnsi" w:hAnsiTheme="minorHAnsi" w:cstheme="minorHAnsi"/>
          <w:lang w:val="en-US"/>
        </w:rPr>
        <w:t xml:space="preserve"> </w:t>
      </w:r>
    </w:p>
    <w:p w14:paraId="67D1F6BA" w14:textId="77777777" w:rsidR="00474F5B" w:rsidRPr="00776978" w:rsidRDefault="00474F5B" w:rsidP="00474F5B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lang w:val="en-US"/>
        </w:rPr>
      </w:pPr>
      <w:r w:rsidRPr="00776978">
        <w:rPr>
          <w:rFonts w:asciiTheme="minorHAnsi" w:hAnsiTheme="minorHAnsi" w:cstheme="minorHAnsi"/>
          <w:b/>
          <w:bCs/>
          <w:lang w:val="en-US"/>
        </w:rPr>
        <w:t>Sequence data and phylogenetic analysis</w:t>
      </w:r>
    </w:p>
    <w:p w14:paraId="67D1F6BB" w14:textId="77777777" w:rsidR="00474F5B" w:rsidRPr="00776978" w:rsidRDefault="00474F5B" w:rsidP="00474F5B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n-US"/>
        </w:rPr>
      </w:pPr>
      <w:r w:rsidRPr="00776978">
        <w:rPr>
          <w:rFonts w:asciiTheme="minorHAnsi" w:hAnsiTheme="minorHAnsi" w:cstheme="minorHAnsi"/>
          <w:lang w:val="en-US"/>
        </w:rPr>
        <w:t xml:space="preserve">Nucleotides of the three mirid species sequenced,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,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>M. pygmaeus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and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>N. tenuis</w:t>
      </w:r>
      <w:r w:rsidRPr="00776978">
        <w:rPr>
          <w:rFonts w:asciiTheme="minorHAnsi" w:eastAsia="SimSun" w:hAnsiTheme="minorHAnsi" w:cstheme="minorHAnsi"/>
          <w:iCs/>
          <w:color w:val="000000"/>
          <w:kern w:val="1"/>
          <w:lang w:val="en-US" w:eastAsia="hi-IN" w:bidi="hi-IN"/>
        </w:rPr>
        <w:t xml:space="preserve">, </w:t>
      </w:r>
      <w:r w:rsidRPr="00776978">
        <w:rPr>
          <w:rFonts w:asciiTheme="minorHAnsi" w:hAnsiTheme="minorHAnsi" w:cstheme="minorHAnsi"/>
          <w:lang w:val="en-US"/>
        </w:rPr>
        <w:t xml:space="preserve">were analyzed and trimmed using Sequencer DNA Sequence Analysis Software (Gene Codes Corporation). High quality reads obtained in each studied </w:t>
      </w:r>
      <w:proofErr w:type="gramStart"/>
      <w:r w:rsidRPr="00776978">
        <w:rPr>
          <w:rFonts w:asciiTheme="minorHAnsi" w:hAnsiTheme="minorHAnsi" w:cstheme="minorHAnsi"/>
          <w:lang w:val="en-US"/>
        </w:rPr>
        <w:t>accessions</w:t>
      </w:r>
      <w:proofErr w:type="gramEnd"/>
      <w:r w:rsidRPr="00776978">
        <w:rPr>
          <w:rFonts w:asciiTheme="minorHAnsi" w:hAnsiTheme="minorHAnsi" w:cstheme="minorHAnsi"/>
          <w:lang w:val="en-US"/>
        </w:rPr>
        <w:t xml:space="preserve"> were assembled into consensus sequences and deposited in NCBI GenBank public sequence database under the </w:t>
      </w:r>
      <w:r w:rsidRPr="00776978">
        <w:rPr>
          <w:rFonts w:asciiTheme="minorHAnsi" w:hAnsiTheme="minorHAnsi" w:cstheme="minorHAnsi"/>
          <w:lang w:val="en-US"/>
        </w:rPr>
        <w:lastRenderedPageBreak/>
        <w:t xml:space="preserve">accession numbers MT154517 for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SimSun" w:hAnsiTheme="minorHAnsi" w:cstheme="minorHAnsi"/>
          <w:iCs/>
          <w:color w:val="000000"/>
          <w:kern w:val="1"/>
          <w:lang w:val="en-US" w:eastAsia="hi-IN" w:bidi="hi-IN"/>
        </w:rPr>
        <w:t>,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hAnsiTheme="minorHAnsi" w:cstheme="minorHAnsi"/>
          <w:lang w:val="en-US"/>
        </w:rPr>
        <w:t xml:space="preserve">MT151780 for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>M. pygmaeus</w:t>
      </w:r>
      <w:r w:rsidRPr="00776978">
        <w:rPr>
          <w:rFonts w:asciiTheme="minorHAnsi" w:eastAsia="SimSun" w:hAnsiTheme="minorHAnsi" w:cstheme="minorHAnsi"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hAnsiTheme="minorHAnsi" w:cstheme="minorHAnsi"/>
          <w:lang w:val="en-US"/>
        </w:rPr>
        <w:t xml:space="preserve">and MT151782 for </w:t>
      </w:r>
      <w:r w:rsidRPr="00776978">
        <w:rPr>
          <w:rFonts w:asciiTheme="minorHAnsi" w:eastAsia="SimSun" w:hAnsiTheme="minorHAnsi" w:cstheme="minorHAnsi"/>
          <w:i/>
          <w:iCs/>
          <w:color w:val="000000"/>
          <w:kern w:val="1"/>
          <w:lang w:val="en-US" w:eastAsia="hi-IN" w:bidi="hi-IN"/>
        </w:rPr>
        <w:t xml:space="preserve">N. tenuis. </w:t>
      </w:r>
      <w:r w:rsidRPr="00776978">
        <w:rPr>
          <w:rFonts w:asciiTheme="minorHAnsi" w:hAnsiTheme="minorHAnsi" w:cstheme="minorHAnsi"/>
          <w:lang w:val="en-US"/>
        </w:rPr>
        <w:t xml:space="preserve">The phylogenetic analysis of </w:t>
      </w:r>
      <w:r w:rsidRPr="00776978">
        <w:rPr>
          <w:rFonts w:asciiTheme="minorHAnsi" w:hAnsiTheme="minorHAnsi" w:cstheme="minorHAnsi"/>
          <w:i/>
          <w:iCs/>
          <w:lang w:val="en-US"/>
        </w:rPr>
        <w:t xml:space="preserve">M. </w:t>
      </w:r>
      <w:proofErr w:type="spellStart"/>
      <w:r w:rsidRPr="00776978">
        <w:rPr>
          <w:rFonts w:asciiTheme="minorHAnsi" w:hAnsiTheme="minorHAnsi" w:cstheme="minorHAnsi"/>
          <w:i/>
          <w:iCs/>
          <w:lang w:val="en-US"/>
        </w:rPr>
        <w:t>praeclarus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was carried out using COI barcode sequences obtained in this study along with those retrieved from GenBank database. The sequences selected from the database were: </w:t>
      </w:r>
      <w:r w:rsidRPr="00776978">
        <w:rPr>
          <w:rFonts w:asciiTheme="minorHAnsi" w:hAnsiTheme="minorHAnsi" w:cstheme="minorHAnsi"/>
          <w:i/>
          <w:iCs/>
          <w:lang w:val="en-US"/>
        </w:rPr>
        <w:t>M. pygmaeus</w:t>
      </w:r>
      <w:r w:rsidRPr="00776978">
        <w:rPr>
          <w:rFonts w:asciiTheme="minorHAnsi" w:hAnsiTheme="minorHAnsi" w:cstheme="minorHAnsi"/>
          <w:lang w:val="en-US"/>
        </w:rPr>
        <w:t xml:space="preserve"> HQ845337.1, </w:t>
      </w:r>
      <w:proofErr w:type="spellStart"/>
      <w:r w:rsidRPr="00776978">
        <w:rPr>
          <w:rFonts w:asciiTheme="minorHAnsi" w:hAnsiTheme="minorHAnsi" w:cstheme="minorHAnsi"/>
          <w:i/>
          <w:iCs/>
          <w:lang w:val="en-US"/>
        </w:rPr>
        <w:t>Macrolophus</w:t>
      </w:r>
      <w:proofErr w:type="spellEnd"/>
      <w:r w:rsidRPr="00776978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776978">
        <w:rPr>
          <w:rFonts w:asciiTheme="minorHAnsi" w:hAnsiTheme="minorHAnsi" w:cstheme="minorHAnsi"/>
          <w:i/>
          <w:iCs/>
          <w:lang w:val="en-US"/>
        </w:rPr>
        <w:t>melanotoma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(Costa) KJ467499.1, </w:t>
      </w:r>
      <w:proofErr w:type="spellStart"/>
      <w:r w:rsidRPr="00776978">
        <w:rPr>
          <w:rFonts w:asciiTheme="minorHAnsi" w:hAnsiTheme="minorHAnsi" w:cstheme="minorHAnsi"/>
          <w:i/>
          <w:iCs/>
          <w:lang w:val="en-US"/>
        </w:rPr>
        <w:t>Macrolophus</w:t>
      </w:r>
      <w:proofErr w:type="spellEnd"/>
      <w:r w:rsidRPr="00776978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776978">
        <w:rPr>
          <w:rFonts w:asciiTheme="minorHAnsi" w:hAnsiTheme="minorHAnsi" w:cstheme="minorHAnsi"/>
          <w:i/>
          <w:iCs/>
          <w:lang w:val="en-US"/>
        </w:rPr>
        <w:t>rubi</w:t>
      </w:r>
      <w:proofErr w:type="spellEnd"/>
      <w:r w:rsidRPr="0077697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776978">
        <w:rPr>
          <w:rFonts w:asciiTheme="minorHAnsi" w:hAnsiTheme="minorHAnsi" w:cstheme="minorHAnsi"/>
          <w:lang w:val="en-US"/>
        </w:rPr>
        <w:t xml:space="preserve">(Woodroffe) KM022470.1, </w:t>
      </w:r>
      <w:r w:rsidRPr="00776978">
        <w:rPr>
          <w:rFonts w:asciiTheme="minorHAnsi" w:hAnsiTheme="minorHAnsi" w:cstheme="minorHAnsi"/>
          <w:i/>
          <w:iCs/>
          <w:lang w:val="en-US"/>
        </w:rPr>
        <w:t>N. tenuis</w:t>
      </w:r>
      <w:r w:rsidRPr="00776978">
        <w:rPr>
          <w:rFonts w:asciiTheme="minorHAnsi" w:hAnsiTheme="minorHAnsi" w:cstheme="minorHAnsi"/>
          <w:lang w:val="en-US"/>
        </w:rPr>
        <w:t xml:space="preserve"> KY274652.1 and </w:t>
      </w:r>
      <w:proofErr w:type="spellStart"/>
      <w:r w:rsidRPr="00776978">
        <w:rPr>
          <w:rFonts w:asciiTheme="minorHAnsi" w:hAnsiTheme="minorHAnsi" w:cstheme="minorHAnsi"/>
          <w:i/>
          <w:iCs/>
          <w:lang w:val="en-US"/>
        </w:rPr>
        <w:t>Dicyphus</w:t>
      </w:r>
      <w:proofErr w:type="spellEnd"/>
      <w:r w:rsidRPr="00776978">
        <w:rPr>
          <w:rFonts w:asciiTheme="minorHAnsi" w:hAnsiTheme="minorHAnsi" w:cstheme="minorHAnsi"/>
          <w:i/>
          <w:iCs/>
          <w:lang w:val="en-US"/>
        </w:rPr>
        <w:t xml:space="preserve"> sp.</w:t>
      </w:r>
      <w:r w:rsidRPr="00776978">
        <w:rPr>
          <w:rFonts w:asciiTheme="minorHAnsi" w:hAnsiTheme="minorHAnsi" w:cstheme="minorHAnsi"/>
          <w:lang w:val="en-US"/>
        </w:rPr>
        <w:t xml:space="preserve"> (Reuter) KY274585.1. Each sequence obtained was compared against the GenBank database using the </w:t>
      </w:r>
      <w:proofErr w:type="spellStart"/>
      <w:r w:rsidRPr="00776978">
        <w:rPr>
          <w:rFonts w:asciiTheme="minorHAnsi" w:hAnsiTheme="minorHAnsi" w:cstheme="minorHAnsi"/>
          <w:lang w:val="en-US"/>
        </w:rPr>
        <w:t>BLASTn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tool. This search made it possible to compare the similarity between the sequences obtained and those stored in the database for </w:t>
      </w:r>
      <w:r w:rsidRPr="00776978">
        <w:rPr>
          <w:rFonts w:asciiTheme="minorHAnsi" w:hAnsiTheme="minorHAnsi" w:cstheme="minorHAnsi"/>
          <w:i/>
          <w:lang w:val="en-US"/>
        </w:rPr>
        <w:t>M. pygmaeus</w:t>
      </w:r>
      <w:r w:rsidRPr="00776978">
        <w:rPr>
          <w:rFonts w:asciiTheme="minorHAnsi" w:hAnsiTheme="minorHAnsi" w:cstheme="minorHAnsi"/>
          <w:lang w:val="en-US"/>
        </w:rPr>
        <w:t xml:space="preserve"> and </w:t>
      </w:r>
      <w:r w:rsidRPr="00776978">
        <w:rPr>
          <w:rFonts w:asciiTheme="minorHAnsi" w:hAnsiTheme="minorHAnsi" w:cstheme="minorHAnsi"/>
          <w:i/>
          <w:lang w:val="en-US"/>
        </w:rPr>
        <w:t>N. tenuis</w:t>
      </w:r>
      <w:r w:rsidRPr="00776978">
        <w:rPr>
          <w:rFonts w:asciiTheme="minorHAnsi" w:hAnsiTheme="minorHAnsi" w:cstheme="minorHAnsi"/>
          <w:lang w:val="en-US"/>
        </w:rPr>
        <w:t xml:space="preserve">, in addition to ruling out errors due to contamination. Multiple alignments of consensus sequences and closest sequences were done using </w:t>
      </w:r>
      <w:proofErr w:type="spellStart"/>
      <w:r w:rsidRPr="00776978">
        <w:rPr>
          <w:rFonts w:asciiTheme="minorHAnsi" w:hAnsiTheme="minorHAnsi" w:cstheme="minorHAnsi"/>
          <w:lang w:val="en-US"/>
        </w:rPr>
        <w:t>Clustal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Omega Software </w:t>
      </w:r>
      <w:r w:rsidR="00735D9A" w:rsidRPr="00776978">
        <w:rPr>
          <w:rFonts w:asciiTheme="minorHAnsi" w:hAnsiTheme="minorHAnsi" w:cstheme="minorHAnsi"/>
          <w:noProof/>
          <w:lang w:val="en-US"/>
        </w:rPr>
        <w:t>(Sievers &amp; Higgins, 2018)</w:t>
      </w:r>
      <w:r w:rsidRPr="00776978">
        <w:rPr>
          <w:rFonts w:asciiTheme="minorHAnsi" w:hAnsiTheme="minorHAnsi" w:cstheme="minorHAnsi"/>
          <w:lang w:val="en-US"/>
        </w:rPr>
        <w:t>.</w:t>
      </w:r>
    </w:p>
    <w:p w14:paraId="67D1F6BC" w14:textId="77777777" w:rsidR="00474F5B" w:rsidRPr="00776978" w:rsidRDefault="00474F5B" w:rsidP="00474F5B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n-US"/>
        </w:rPr>
      </w:pPr>
      <w:r w:rsidRPr="00776978">
        <w:rPr>
          <w:rFonts w:asciiTheme="minorHAnsi" w:hAnsiTheme="minorHAnsi" w:cstheme="minorHAnsi"/>
          <w:lang w:val="en-US"/>
        </w:rPr>
        <w:t xml:space="preserve">A phylogenetic COI-based tree was built using MEGA X Software (Molecular Evolutionary Genetics Analysis) </w:t>
      </w:r>
      <w:r w:rsidR="00735D9A" w:rsidRPr="00776978">
        <w:rPr>
          <w:rFonts w:asciiTheme="minorHAnsi" w:hAnsiTheme="minorHAnsi" w:cstheme="minorHAnsi"/>
          <w:noProof/>
          <w:lang w:val="en-US"/>
        </w:rPr>
        <w:t>(Kumar</w:t>
      </w:r>
      <w:r w:rsidR="004C1356" w:rsidRPr="00776978">
        <w:rPr>
          <w:rFonts w:asciiTheme="minorHAnsi" w:hAnsiTheme="minorHAnsi" w:cstheme="minorHAnsi"/>
          <w:noProof/>
          <w:lang w:val="en-US"/>
        </w:rPr>
        <w:t xml:space="preserve"> et al., </w:t>
      </w:r>
      <w:r w:rsidR="00735D9A" w:rsidRPr="00776978">
        <w:rPr>
          <w:rFonts w:asciiTheme="minorHAnsi" w:hAnsiTheme="minorHAnsi" w:cstheme="minorHAnsi"/>
          <w:noProof/>
          <w:lang w:val="en-US"/>
        </w:rPr>
        <w:t>2018)</w:t>
      </w:r>
      <w:r w:rsidRPr="00776978">
        <w:rPr>
          <w:rFonts w:asciiTheme="minorHAnsi" w:hAnsiTheme="minorHAnsi" w:cstheme="minorHAnsi"/>
          <w:lang w:val="en-US"/>
        </w:rPr>
        <w:t xml:space="preserve">, taking the Neighbor-Joining method as a parameter </w:t>
      </w:r>
      <w:r w:rsidR="00735D9A" w:rsidRPr="00776978">
        <w:rPr>
          <w:rFonts w:asciiTheme="minorHAnsi" w:hAnsiTheme="minorHAnsi" w:cstheme="minorHAnsi"/>
          <w:noProof/>
          <w:lang w:val="en-US"/>
        </w:rPr>
        <w:t>(Nei &amp; Saitou, 1987)</w:t>
      </w:r>
      <w:r w:rsidRPr="00776978">
        <w:rPr>
          <w:rFonts w:asciiTheme="minorHAnsi" w:hAnsiTheme="minorHAnsi" w:cstheme="minorHAnsi"/>
          <w:lang w:val="en-US"/>
        </w:rPr>
        <w:t xml:space="preserve">. Estimation of the confidence of the branches was performed by bootstrapping with 10,000 replications </w:t>
      </w:r>
      <w:r w:rsidR="00735D9A" w:rsidRPr="00776978">
        <w:rPr>
          <w:rFonts w:asciiTheme="minorHAnsi" w:hAnsiTheme="minorHAnsi" w:cstheme="minorHAnsi"/>
          <w:noProof/>
          <w:lang w:val="en-US"/>
        </w:rPr>
        <w:t>(Felsenstein, 1985)</w:t>
      </w:r>
      <w:r w:rsidRPr="00776978">
        <w:rPr>
          <w:rFonts w:asciiTheme="minorHAnsi" w:hAnsiTheme="minorHAnsi" w:cstheme="minorHAnsi"/>
          <w:lang w:val="en-US"/>
        </w:rPr>
        <w:t xml:space="preserve">. The evolutionary distances were computed using the Kimura 2-parameter method </w:t>
      </w:r>
      <w:r w:rsidR="00735D9A" w:rsidRPr="00776978">
        <w:rPr>
          <w:rFonts w:asciiTheme="minorHAnsi" w:hAnsiTheme="minorHAnsi" w:cstheme="minorHAnsi"/>
          <w:noProof/>
          <w:lang w:val="en-US"/>
        </w:rPr>
        <w:t>(Kimura, 1980)</w:t>
      </w:r>
      <w:r w:rsidRPr="00776978">
        <w:rPr>
          <w:rFonts w:asciiTheme="minorHAnsi" w:hAnsiTheme="minorHAnsi" w:cstheme="minorHAnsi"/>
          <w:lang w:val="en-US"/>
        </w:rPr>
        <w:t xml:space="preserve">. The rate variation among sites was modeled with a gamma distribution (shape parameter = 1). </w:t>
      </w:r>
    </w:p>
    <w:p w14:paraId="67D1F6BD" w14:textId="77777777" w:rsidR="00474F5B" w:rsidRPr="00776978" w:rsidRDefault="00474F5B" w:rsidP="00474F5B">
      <w:pPr>
        <w:spacing w:after="0"/>
        <w:rPr>
          <w:rFonts w:asciiTheme="minorHAnsi" w:hAnsiTheme="minorHAnsi" w:cstheme="minorHAnsi"/>
          <w:b/>
          <w:lang w:val="en-GB"/>
        </w:rPr>
      </w:pPr>
      <w:r w:rsidRPr="00776978">
        <w:rPr>
          <w:rFonts w:asciiTheme="minorHAnsi" w:hAnsiTheme="minorHAnsi" w:cstheme="minorHAnsi"/>
          <w:b/>
          <w:lang w:val="en-GB"/>
        </w:rPr>
        <w:t>Molecular characterization</w:t>
      </w:r>
    </w:p>
    <w:p w14:paraId="67D1F6BE" w14:textId="77777777" w:rsidR="00474F5B" w:rsidRPr="00776978" w:rsidRDefault="00474F5B" w:rsidP="00474F5B">
      <w:pPr>
        <w:spacing w:after="0"/>
        <w:rPr>
          <w:rFonts w:asciiTheme="minorHAnsi" w:hAnsiTheme="minorHAnsi" w:cstheme="minorHAnsi"/>
          <w:b/>
          <w:lang w:val="en-GB"/>
        </w:rPr>
      </w:pPr>
    </w:p>
    <w:p w14:paraId="67D1F6BF" w14:textId="75483248" w:rsidR="00474F5B" w:rsidRPr="00776978" w:rsidRDefault="00474F5B" w:rsidP="00474F5B">
      <w:pPr>
        <w:suppressAutoHyphens/>
        <w:spacing w:after="0" w:line="480" w:lineRule="auto"/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</w:pP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The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sequences were </w:t>
      </w:r>
      <w:proofErr w:type="gramStart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>similar to</w:t>
      </w:r>
      <w:proofErr w:type="gram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the rest of </w:t>
      </w:r>
      <w:proofErr w:type="spellStart"/>
      <w:r w:rsidRPr="00776978">
        <w:rPr>
          <w:rFonts w:asciiTheme="minorHAnsi" w:eastAsia="YcrqxnAdvTT3713a231" w:hAnsiTheme="minorHAnsi" w:cstheme="minorHAnsi"/>
          <w:iCs/>
          <w:color w:val="000000"/>
          <w:kern w:val="1"/>
          <w:lang w:val="en-US" w:eastAsia="hi-IN" w:bidi="hi-IN"/>
        </w:rPr>
        <w:t>Miridae</w:t>
      </w:r>
      <w:proofErr w:type="spellEnd"/>
      <w:r w:rsidRPr="00776978">
        <w:rPr>
          <w:rFonts w:asciiTheme="minorHAnsi" w:eastAsia="YcrqxnAdvTT3713a231" w:hAnsiTheme="minorHAnsi" w:cstheme="minorHAnsi"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with percentages of identity over 90% and with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Macrolophus</w:t>
      </w:r>
      <w:proofErr w:type="spellEnd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YcrqxnAdvTT3713a231" w:hAnsiTheme="minorHAnsi" w:cstheme="minorHAnsi"/>
          <w:iCs/>
          <w:color w:val="000000"/>
          <w:kern w:val="1"/>
          <w:lang w:val="en-US" w:eastAsia="hi-IN" w:bidi="hi-IN"/>
        </w:rPr>
        <w:t>sp.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with 96% of identity to COI barcode fragment. The phylogenetic tree for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showed 2 distinct branches (Fig. S1). The first branch was separated into two clusters. The first cluster involved the four </w:t>
      </w:r>
      <w:proofErr w:type="spellStart"/>
      <w:r w:rsidRPr="00776978">
        <w:rPr>
          <w:rFonts w:asciiTheme="minorHAnsi" w:eastAsia="YcrqxnAdvTT3713a231" w:hAnsiTheme="minorHAnsi" w:cstheme="minorHAnsi"/>
          <w:i/>
          <w:color w:val="000000"/>
          <w:kern w:val="1"/>
          <w:lang w:val="en-US" w:eastAsia="hi-IN" w:bidi="hi-IN"/>
        </w:rPr>
        <w:t>Macrolophus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species in which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was included; however, this species was found to be more evolutionarily distant from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rubi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,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M. pygmaeus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and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melanotoma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with a bootstrap value of 65%. The second cluster </w:t>
      </w:r>
      <w:r w:rsidR="00F220F5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was 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comprised of only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N. tenuis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. The second principal branch contained the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Dicyphus</w:t>
      </w:r>
      <w:proofErr w:type="spellEnd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YcrqxnAdvTT3713a231" w:hAnsiTheme="minorHAnsi" w:cstheme="minorHAnsi"/>
          <w:iCs/>
          <w:color w:val="000000"/>
          <w:kern w:val="1"/>
          <w:lang w:val="en-US" w:eastAsia="hi-IN" w:bidi="hi-IN"/>
        </w:rPr>
        <w:t>sp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. The COI sequences of all groups showed an average divergence of more than 10% (Table 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lastRenderedPageBreak/>
        <w:t xml:space="preserve">S1). The species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Dicyphus</w:t>
      </w:r>
      <w:proofErr w:type="spellEnd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YcrqxnAdvTT3713a231" w:hAnsiTheme="minorHAnsi" w:cstheme="minorHAnsi"/>
          <w:iCs/>
          <w:color w:val="000000"/>
          <w:kern w:val="1"/>
          <w:lang w:val="en-US" w:eastAsia="hi-IN" w:bidi="hi-IN"/>
        </w:rPr>
        <w:t>sp.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with a 0.31 interspecific value was not as closely related to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as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melanotoma</w:t>
      </w:r>
      <w:proofErr w:type="spellEnd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and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M. pygmaeus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were with 0.25 interspecific values. However, it is important to highlight that among the group of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Macrolophus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species studied,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was the least genetically related to the rest of the group, suggesting a higher polymorphism in the COI region of </w:t>
      </w:r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M.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praeclarus</w:t>
      </w:r>
      <w:proofErr w:type="spellEnd"/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 xml:space="preserve"> compared with other </w:t>
      </w:r>
      <w:proofErr w:type="spellStart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>Macrolophus</w:t>
      </w:r>
      <w:proofErr w:type="spellEnd"/>
      <w:r w:rsidRPr="00776978">
        <w:rPr>
          <w:rFonts w:asciiTheme="minorHAnsi" w:eastAsia="YcrqxnAdvTT3713a231" w:hAnsiTheme="minorHAnsi" w:cstheme="minorHAnsi"/>
          <w:i/>
          <w:iCs/>
          <w:color w:val="000000"/>
          <w:kern w:val="1"/>
          <w:lang w:val="en-US" w:eastAsia="hi-IN" w:bidi="hi-IN"/>
        </w:rPr>
        <w:t xml:space="preserve"> </w:t>
      </w:r>
      <w:r w:rsidRPr="00776978"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  <w:t>species.</w:t>
      </w:r>
    </w:p>
    <w:p w14:paraId="67D1F6C0" w14:textId="77777777" w:rsidR="001643AE" w:rsidRPr="00776978" w:rsidRDefault="001643AE" w:rsidP="001643AE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n-US"/>
        </w:rPr>
      </w:pPr>
      <w:proofErr w:type="spellStart"/>
      <w:r w:rsidRPr="00776978">
        <w:rPr>
          <w:rFonts w:asciiTheme="minorHAnsi" w:hAnsiTheme="minorHAnsi" w:cstheme="minorHAnsi"/>
          <w:i/>
          <w:lang w:val="en-US"/>
        </w:rPr>
        <w:t>Macrolophus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group was well phylogenetically separated from </w:t>
      </w:r>
      <w:r w:rsidRPr="00776978">
        <w:rPr>
          <w:rFonts w:asciiTheme="minorHAnsi" w:hAnsiTheme="minorHAnsi" w:cstheme="minorHAnsi"/>
          <w:i/>
          <w:lang w:val="en-US"/>
        </w:rPr>
        <w:t>N. tenuis</w:t>
      </w:r>
      <w:r w:rsidRPr="00776978">
        <w:rPr>
          <w:rFonts w:asciiTheme="minorHAnsi" w:hAnsiTheme="minorHAnsi" w:cstheme="minorHAnsi"/>
          <w:lang w:val="en-US"/>
        </w:rPr>
        <w:t xml:space="preserve">, and specially from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Dicyphus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sp. which displayed a remarkable divergence in the phylogenetic tree classification among of the all the COI barcode fragments studied.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Dicyphus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sp. behaved as a separate group from the other taxa even though they all belong to the same tribe classification, being these results in line with those obtained in previous works </w:t>
      </w:r>
      <w:r w:rsidR="00735D9A" w:rsidRPr="00776978">
        <w:rPr>
          <w:rFonts w:asciiTheme="minorHAnsi" w:hAnsiTheme="minorHAnsi" w:cstheme="minorHAnsi"/>
          <w:noProof/>
          <w:lang w:val="en-US"/>
        </w:rPr>
        <w:t>(Cassis &amp; Schuh, 2012; Cassis</w:t>
      </w:r>
      <w:r w:rsidR="004C1356" w:rsidRPr="00776978">
        <w:rPr>
          <w:rFonts w:asciiTheme="minorHAnsi" w:hAnsiTheme="minorHAnsi" w:cstheme="minorHAnsi"/>
          <w:noProof/>
          <w:lang w:val="en-US"/>
        </w:rPr>
        <w:t xml:space="preserve"> et al.</w:t>
      </w:r>
      <w:r w:rsidR="00735D9A" w:rsidRPr="00776978">
        <w:rPr>
          <w:rFonts w:asciiTheme="minorHAnsi" w:hAnsiTheme="minorHAnsi" w:cstheme="minorHAnsi"/>
          <w:noProof/>
          <w:lang w:val="en-US"/>
        </w:rPr>
        <w:t>, 2006)</w:t>
      </w:r>
      <w:r w:rsidRPr="00776978">
        <w:rPr>
          <w:rFonts w:asciiTheme="minorHAnsi" w:hAnsiTheme="minorHAnsi" w:cstheme="minorHAnsi"/>
          <w:lang w:val="en-US"/>
        </w:rPr>
        <w:t xml:space="preserve">. The phylogenetic tree suggested that </w:t>
      </w:r>
      <w:r w:rsidRPr="00776978">
        <w:rPr>
          <w:rFonts w:asciiTheme="minorHAnsi" w:hAnsiTheme="minorHAnsi" w:cstheme="minorHAnsi"/>
          <w:i/>
          <w:lang w:val="en-US"/>
        </w:rPr>
        <w:t xml:space="preserve">M.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praeclarus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does not share the same evolutionary history as other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Macrolophus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species, since </w:t>
      </w:r>
      <w:r w:rsidRPr="00776978">
        <w:rPr>
          <w:rFonts w:asciiTheme="minorHAnsi" w:hAnsiTheme="minorHAnsi" w:cstheme="minorHAnsi"/>
          <w:i/>
          <w:lang w:val="en-US"/>
        </w:rPr>
        <w:t xml:space="preserve">M.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praeclarus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was displayed to be more evolutionarily distant from </w:t>
      </w:r>
      <w:r w:rsidRPr="00776978">
        <w:rPr>
          <w:rFonts w:asciiTheme="minorHAnsi" w:hAnsiTheme="minorHAnsi" w:cstheme="minorHAnsi"/>
          <w:i/>
          <w:lang w:val="en-US"/>
        </w:rPr>
        <w:t xml:space="preserve">M.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rubi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, </w:t>
      </w:r>
      <w:r w:rsidRPr="00776978">
        <w:rPr>
          <w:rFonts w:asciiTheme="minorHAnsi" w:hAnsiTheme="minorHAnsi" w:cstheme="minorHAnsi"/>
          <w:i/>
          <w:lang w:val="en-US"/>
        </w:rPr>
        <w:t>M. pygmaeus</w:t>
      </w:r>
      <w:r w:rsidRPr="00776978">
        <w:rPr>
          <w:rFonts w:asciiTheme="minorHAnsi" w:hAnsiTheme="minorHAnsi" w:cstheme="minorHAnsi"/>
          <w:lang w:val="en-US"/>
        </w:rPr>
        <w:t xml:space="preserve"> and </w:t>
      </w:r>
      <w:r w:rsidRPr="00776978">
        <w:rPr>
          <w:rFonts w:asciiTheme="minorHAnsi" w:hAnsiTheme="minorHAnsi" w:cstheme="minorHAnsi"/>
          <w:i/>
          <w:lang w:val="en-US"/>
        </w:rPr>
        <w:t xml:space="preserve">M.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melanotoma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with a bootstrap value of 65%. This evolutionary distance could be explained by the mirids’ different geographical distribution and consequently its evolutionary separation.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Macrolophus</w:t>
      </w:r>
      <w:proofErr w:type="spellEnd"/>
      <w:r w:rsidRPr="00776978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praeclarus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is a species reported only in the Nearctic region, </w:t>
      </w:r>
      <w:proofErr w:type="gramStart"/>
      <w:r w:rsidRPr="00776978">
        <w:rPr>
          <w:rFonts w:asciiTheme="minorHAnsi" w:hAnsiTheme="minorHAnsi" w:cstheme="minorHAnsi"/>
          <w:lang w:val="en-US"/>
        </w:rPr>
        <w:t>where as</w:t>
      </w:r>
      <w:proofErr w:type="gramEnd"/>
      <w:r w:rsidRPr="00776978">
        <w:rPr>
          <w:rFonts w:asciiTheme="minorHAnsi" w:hAnsiTheme="minorHAnsi" w:cstheme="minorHAnsi"/>
          <w:lang w:val="en-US"/>
        </w:rPr>
        <w:t xml:space="preserve"> the other three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Macrolophus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species used in this study are Palearctic species </w:t>
      </w:r>
      <w:r w:rsidRPr="00776978">
        <w:rPr>
          <w:rFonts w:asciiTheme="minorHAnsi" w:hAnsiTheme="minorHAnsi" w:cstheme="minorHAnsi"/>
          <w:noProof/>
          <w:lang w:val="en-US"/>
        </w:rPr>
        <w:t>(Martinez-Cascales et al., 2006)</w:t>
      </w:r>
      <w:r w:rsidRPr="00776978">
        <w:rPr>
          <w:rFonts w:asciiTheme="minorHAnsi" w:hAnsiTheme="minorHAnsi" w:cstheme="minorHAnsi"/>
          <w:lang w:val="en-US"/>
        </w:rPr>
        <w:t xml:space="preserve">. Further studies are needed to ascertain the evolutionary point of differentiation between these two groups of mirids. In addition, exploring the evolutionary origin </w:t>
      </w:r>
      <w:r w:rsidRPr="00776978">
        <w:rPr>
          <w:rFonts w:asciiTheme="minorHAnsi" w:hAnsiTheme="minorHAnsi" w:cstheme="minorHAnsi"/>
          <w:i/>
          <w:lang w:val="en-US"/>
        </w:rPr>
        <w:t xml:space="preserve">of M.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praeclarus</w:t>
      </w:r>
      <w:proofErr w:type="spellEnd"/>
      <w:r w:rsidRPr="00776978">
        <w:rPr>
          <w:rFonts w:asciiTheme="minorHAnsi" w:hAnsiTheme="minorHAnsi" w:cstheme="minorHAnsi"/>
          <w:lang w:val="en-US"/>
        </w:rPr>
        <w:t xml:space="preserve"> from other American regions and how it coincides with the origin of target pests, such as </w:t>
      </w:r>
      <w:r w:rsidRPr="00776978">
        <w:rPr>
          <w:rFonts w:asciiTheme="minorHAnsi" w:hAnsiTheme="minorHAnsi" w:cstheme="minorHAnsi"/>
          <w:i/>
          <w:lang w:val="en-US"/>
        </w:rPr>
        <w:t xml:space="preserve">T. </w:t>
      </w:r>
      <w:proofErr w:type="spellStart"/>
      <w:r w:rsidRPr="00776978">
        <w:rPr>
          <w:rFonts w:asciiTheme="minorHAnsi" w:hAnsiTheme="minorHAnsi" w:cstheme="minorHAnsi"/>
          <w:i/>
          <w:lang w:val="en-US"/>
        </w:rPr>
        <w:t>absoluta</w:t>
      </w:r>
      <w:proofErr w:type="spellEnd"/>
      <w:r w:rsidRPr="00776978">
        <w:rPr>
          <w:rFonts w:asciiTheme="minorHAnsi" w:hAnsiTheme="minorHAnsi" w:cstheme="minorHAnsi"/>
          <w:i/>
          <w:lang w:val="en-US"/>
        </w:rPr>
        <w:t xml:space="preserve">, </w:t>
      </w:r>
      <w:r w:rsidRPr="00776978">
        <w:rPr>
          <w:rFonts w:asciiTheme="minorHAnsi" w:hAnsiTheme="minorHAnsi" w:cstheme="minorHAnsi"/>
          <w:lang w:val="en-US"/>
        </w:rPr>
        <w:t xml:space="preserve">could help determine the likely integration of the mirid into a management strategy. </w:t>
      </w:r>
    </w:p>
    <w:p w14:paraId="67D1F6C1" w14:textId="77777777" w:rsidR="001643AE" w:rsidRPr="00776978" w:rsidRDefault="001643AE" w:rsidP="001643AE">
      <w:pPr>
        <w:suppressAutoHyphens/>
        <w:spacing w:after="0" w:line="480" w:lineRule="auto"/>
        <w:rPr>
          <w:rFonts w:asciiTheme="minorHAnsi" w:eastAsia="YcrqxnAdvTT3713a231" w:hAnsiTheme="minorHAnsi" w:cstheme="minorHAnsi"/>
          <w:color w:val="000000"/>
          <w:kern w:val="1"/>
          <w:lang w:val="en-US" w:eastAsia="hi-IN" w:bidi="hi-IN"/>
        </w:rPr>
      </w:pPr>
    </w:p>
    <w:p w14:paraId="67D1F6C2" w14:textId="77777777" w:rsidR="00474F5B" w:rsidRPr="00776978" w:rsidRDefault="00474F5B" w:rsidP="00474F5B">
      <w:pPr>
        <w:suppressAutoHyphens/>
        <w:spacing w:after="0" w:line="480" w:lineRule="auto"/>
        <w:rPr>
          <w:rFonts w:asciiTheme="minorHAnsi" w:eastAsia="YcrqxnAdvTT3713a231" w:hAnsiTheme="minorHAnsi" w:cstheme="minorHAnsi"/>
          <w:b/>
          <w:color w:val="000000"/>
          <w:kern w:val="1"/>
          <w:lang w:val="en-US" w:eastAsia="hi-IN" w:bidi="hi-IN"/>
        </w:rPr>
      </w:pPr>
      <w:r w:rsidRPr="00776978">
        <w:rPr>
          <w:rFonts w:asciiTheme="minorHAnsi" w:eastAsia="YcrqxnAdvTT3713a231" w:hAnsiTheme="minorHAnsi" w:cstheme="minorHAnsi"/>
          <w:b/>
          <w:color w:val="000000"/>
          <w:kern w:val="1"/>
          <w:lang w:val="en-US" w:eastAsia="hi-IN" w:bidi="hi-IN"/>
        </w:rPr>
        <w:t>References</w:t>
      </w:r>
    </w:p>
    <w:p w14:paraId="67D1F6C3" w14:textId="77777777" w:rsidR="00735D9A" w:rsidRPr="00776978" w:rsidRDefault="00735D9A" w:rsidP="00474F5B">
      <w:pPr>
        <w:suppressAutoHyphens/>
        <w:spacing w:after="0" w:line="480" w:lineRule="auto"/>
        <w:rPr>
          <w:rFonts w:asciiTheme="minorHAnsi" w:eastAsia="YcrqxnAdvTT3713a231" w:hAnsiTheme="minorHAnsi" w:cstheme="minorHAnsi"/>
          <w:b/>
          <w:color w:val="000000"/>
          <w:kern w:val="1"/>
          <w:lang w:val="en-US" w:eastAsia="hi-IN" w:bidi="hi-IN"/>
        </w:rPr>
      </w:pPr>
    </w:p>
    <w:p w14:paraId="67D1F6C4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Cassis, G</w:t>
      </w:r>
      <w:r w:rsidR="004C1356" w:rsidRPr="00D10960">
        <w:rPr>
          <w:rFonts w:asciiTheme="minorHAnsi" w:hAnsiTheme="minorHAnsi" w:cstheme="minorHAnsi"/>
          <w:b/>
          <w:noProof/>
          <w:szCs w:val="24"/>
          <w:lang w:val="en-US"/>
        </w:rPr>
        <w:t>., &amp; Schuh, R.</w:t>
      </w: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T.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(2012) </w:t>
      </w:r>
      <w:r w:rsidRPr="00776978">
        <w:rPr>
          <w:rFonts w:asciiTheme="minorHAnsi" w:hAnsiTheme="minorHAnsi" w:cstheme="minorHAnsi"/>
          <w:noProof/>
          <w:szCs w:val="24"/>
          <w:lang w:val="en-US"/>
        </w:rPr>
        <w:t xml:space="preserve">Systematics, </w:t>
      </w:r>
      <w:r w:rsidR="004C1356" w:rsidRPr="00776978">
        <w:rPr>
          <w:rFonts w:asciiTheme="minorHAnsi" w:hAnsiTheme="minorHAnsi" w:cstheme="minorHAnsi"/>
          <w:noProof/>
          <w:szCs w:val="24"/>
          <w:lang w:val="en-US"/>
        </w:rPr>
        <w:t xml:space="preserve">biodiversity, biogeography, and host associations of the Miridae </w:t>
      </w:r>
      <w:r w:rsidRPr="00776978">
        <w:rPr>
          <w:rFonts w:asciiTheme="minorHAnsi" w:hAnsiTheme="minorHAnsi" w:cstheme="minorHAnsi"/>
          <w:noProof/>
          <w:szCs w:val="24"/>
          <w:lang w:val="en-US"/>
        </w:rPr>
        <w:t xml:space="preserve">(Insecta: Hemiptera: Heteroptera: Cimicomorpha).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Annual Review of Entomology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57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377–404. https://doi.org/10.1146/annurev-ento-121510-133533</w:t>
      </w:r>
    </w:p>
    <w:p w14:paraId="67D1F6C5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lastRenderedPageBreak/>
        <w:t>Cassis, G</w:t>
      </w:r>
      <w:r w:rsidR="004C1356" w:rsidRPr="00D10960">
        <w:rPr>
          <w:rFonts w:asciiTheme="minorHAnsi" w:hAnsiTheme="minorHAnsi" w:cstheme="minorHAnsi"/>
          <w:b/>
          <w:noProof/>
          <w:szCs w:val="24"/>
          <w:lang w:val="en-US"/>
        </w:rPr>
        <w:t>.</w:t>
      </w: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, Martínez-Cascales, J.I., &amp; Sánchez, J.A.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(2006) Description of a new species of </w:t>
      </w:r>
      <w:r w:rsidRPr="00D10960">
        <w:rPr>
          <w:rFonts w:asciiTheme="minorHAnsi" w:hAnsiTheme="minorHAnsi" w:cstheme="minorHAnsi"/>
          <w:i/>
          <w:iCs/>
          <w:noProof/>
          <w:szCs w:val="24"/>
          <w:lang w:val="en-US"/>
        </w:rPr>
        <w:t>Dicyphus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Fieber (Insecta: Heteroptera: Miridae) from Portugal based on morphological and molecular data.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Insect Systematics &amp; Evolution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37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281–300. https://doi.org/10.1163/187631206788838572</w:t>
      </w:r>
    </w:p>
    <w:p w14:paraId="67D1F6C6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Felsenstein, J.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(1985) Confidence limits on phylogenies: an approach using the bootstrap.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Evolution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39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783–791. https://doi.org/10.1111/j.1558-5646.1985.tb00420.x</w:t>
      </w:r>
    </w:p>
    <w:p w14:paraId="67D1F6C7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Folmer, O., Black, M., Hoeh, W., Lutz, R., &amp; Vrijenhoek, R.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(1994) DNA primers for amplification of mitochondrial cytochrome c oxidase subunit I from diverse metazoan invertebrates.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Molecular Marine Biology and Biotechnology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3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294–299.</w:t>
      </w:r>
    </w:p>
    <w:p w14:paraId="67D1F6C8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Kimura, M.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(1980) A simple method for estimating evolutionary rates of base substitutions through comparative studies of nucleotide sequences. </w:t>
      </w:r>
      <w:r w:rsidRPr="00D10960">
        <w:rPr>
          <w:rFonts w:asciiTheme="minorHAnsi" w:hAnsiTheme="minorHAnsi" w:cstheme="minorHAnsi"/>
          <w:i/>
          <w:iCs/>
          <w:noProof/>
          <w:szCs w:val="24"/>
          <w:lang w:val="en-US"/>
        </w:rPr>
        <w:t xml:space="preserve">Journal of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Molecular Evolution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16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111–120. https://doi.org/10.1007/BF01731581</w:t>
      </w:r>
    </w:p>
    <w:p w14:paraId="67D1F6C9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Kumar, S., Stecher, G., Li, M., Knyaz, C., &amp; Tamura, K.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(2018) </w:t>
      </w:r>
      <w:r w:rsidRPr="00776978">
        <w:rPr>
          <w:rFonts w:asciiTheme="minorHAnsi" w:hAnsiTheme="minorHAnsi" w:cstheme="minorHAnsi"/>
          <w:noProof/>
          <w:szCs w:val="24"/>
          <w:lang w:val="en-US"/>
        </w:rPr>
        <w:t xml:space="preserve">MEGA X: </w:t>
      </w:r>
      <w:r w:rsidR="004C1356" w:rsidRPr="00776978">
        <w:rPr>
          <w:rFonts w:asciiTheme="minorHAnsi" w:hAnsiTheme="minorHAnsi" w:cstheme="minorHAnsi"/>
          <w:noProof/>
          <w:szCs w:val="24"/>
          <w:lang w:val="en-US"/>
        </w:rPr>
        <w:t>molecular evolutionary genetics analysis across computing platforms</w:t>
      </w:r>
      <w:r w:rsidRPr="00776978">
        <w:rPr>
          <w:rFonts w:asciiTheme="minorHAnsi" w:hAnsiTheme="minorHAnsi" w:cstheme="minorHAnsi"/>
          <w:noProof/>
          <w:szCs w:val="24"/>
          <w:lang w:val="en-US"/>
        </w:rPr>
        <w:t xml:space="preserve">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Molecular Biology and Evolution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35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1547–1549. https://doi.org/10.1093/molbev/msy096</w:t>
      </w:r>
    </w:p>
    <w:p w14:paraId="67D1F6CA" w14:textId="77777777" w:rsidR="00735D9A" w:rsidRPr="00D10960" w:rsidRDefault="004C1356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Martínez-Cascales, J.</w:t>
      </w:r>
      <w:r w:rsidR="00735D9A" w:rsidRPr="00D10960">
        <w:rPr>
          <w:rFonts w:asciiTheme="minorHAnsi" w:hAnsiTheme="minorHAnsi" w:cstheme="minorHAnsi"/>
          <w:b/>
          <w:noProof/>
          <w:szCs w:val="24"/>
          <w:lang w:val="en-US"/>
        </w:rPr>
        <w:t>I., Cenis, J.</w:t>
      </w: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L., Cassis, G., &amp; Sánchez, J.</w:t>
      </w:r>
      <w:r w:rsidR="00735D9A" w:rsidRPr="00D10960">
        <w:rPr>
          <w:rFonts w:asciiTheme="minorHAnsi" w:hAnsiTheme="minorHAnsi" w:cstheme="minorHAnsi"/>
          <w:b/>
          <w:noProof/>
          <w:szCs w:val="24"/>
          <w:lang w:val="en-US"/>
        </w:rPr>
        <w:t>A.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 xml:space="preserve"> (2006</w:t>
      </w:r>
      <w:r w:rsidR="00554907" w:rsidRPr="00D10960">
        <w:rPr>
          <w:rFonts w:asciiTheme="minorHAnsi" w:hAnsiTheme="minorHAnsi" w:cstheme="minorHAnsi"/>
          <w:noProof/>
          <w:szCs w:val="24"/>
          <w:lang w:val="en-US"/>
        </w:rPr>
        <w:t>)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 xml:space="preserve"> Species identity of </w:t>
      </w:r>
      <w:r w:rsidR="00735D9A" w:rsidRPr="00D10960">
        <w:rPr>
          <w:rFonts w:asciiTheme="minorHAnsi" w:hAnsiTheme="minorHAnsi" w:cstheme="minorHAnsi"/>
          <w:i/>
          <w:noProof/>
          <w:szCs w:val="24"/>
          <w:lang w:val="en-US"/>
        </w:rPr>
        <w:t>Macrolophus melanotoma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 xml:space="preserve"> (Costa 1853) and </w:t>
      </w:r>
      <w:r w:rsidR="00735D9A" w:rsidRPr="00D10960">
        <w:rPr>
          <w:rFonts w:asciiTheme="minorHAnsi" w:hAnsiTheme="minorHAnsi" w:cstheme="minorHAnsi"/>
          <w:i/>
          <w:noProof/>
          <w:szCs w:val="24"/>
          <w:lang w:val="en-US"/>
        </w:rPr>
        <w:t>Macrolophus pygmaeus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 xml:space="preserve"> (Rambur 1839) (Insecta : Heteroptera : Miridae) based on morphological and molecular data and bionomic implications. </w:t>
      </w:r>
      <w:r w:rsidR="00735D9A" w:rsidRPr="00D10960">
        <w:rPr>
          <w:rFonts w:asciiTheme="minorHAnsi" w:hAnsiTheme="minorHAnsi" w:cstheme="minorHAnsi"/>
          <w:iCs/>
          <w:noProof/>
          <w:szCs w:val="24"/>
          <w:lang w:val="en-US"/>
        </w:rPr>
        <w:t>Insect Systematics &amp; Evolution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="00735D9A"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37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>, 385–404. https://doi.org/Doi 10.1163/187631206788831470</w:t>
      </w:r>
    </w:p>
    <w:p w14:paraId="67D1F6CB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Monzó, C., Sabater-Muñoz, B., Urbaneja, A., &amp; Castañera, P.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(2010) Tracking medfly predation by the wolf spider, </w:t>
      </w:r>
      <w:r w:rsidRPr="00D10960">
        <w:rPr>
          <w:rFonts w:asciiTheme="minorHAnsi" w:hAnsiTheme="minorHAnsi" w:cstheme="minorHAnsi"/>
          <w:i/>
          <w:noProof/>
          <w:szCs w:val="24"/>
          <w:lang w:val="en-US"/>
        </w:rPr>
        <w:t>Pardosa cribata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Simon, in citrus orchards using PCR-based gut-content analysis.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Bulletin of Entomological Research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100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145–152. https://doi.org/Doi 10.1017/S0007485309006920</w:t>
      </w:r>
    </w:p>
    <w:p w14:paraId="67D1F6CC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Nei, M., &amp; Saitou, N.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(1987) The neighbor-joining method: a new method for reconstructing phylogenetic trees.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t>Molecular Biology and Evolution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4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406–425. https://doi.org/10.1093/oxfordjournals.molbev.a040454</w:t>
      </w:r>
    </w:p>
    <w:p w14:paraId="67D1F6CD" w14:textId="77777777" w:rsidR="00735D9A" w:rsidRPr="00D10960" w:rsidRDefault="004C1356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szCs w:val="24"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Sievers, F., &amp; Higgins, D.</w:t>
      </w:r>
      <w:r w:rsidR="00735D9A" w:rsidRPr="00D10960">
        <w:rPr>
          <w:rFonts w:asciiTheme="minorHAnsi" w:hAnsiTheme="minorHAnsi" w:cstheme="minorHAnsi"/>
          <w:b/>
          <w:noProof/>
          <w:szCs w:val="24"/>
          <w:lang w:val="en-US"/>
        </w:rPr>
        <w:t>G.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 xml:space="preserve"> (2018) Clustal Omega for making accurate alignments of many protein sequences. </w:t>
      </w:r>
      <w:r w:rsidR="00735D9A" w:rsidRPr="00D10960">
        <w:rPr>
          <w:rFonts w:asciiTheme="minorHAnsi" w:hAnsiTheme="minorHAnsi" w:cstheme="minorHAnsi"/>
          <w:iCs/>
          <w:noProof/>
          <w:szCs w:val="24"/>
          <w:lang w:val="en-US"/>
        </w:rPr>
        <w:t>Protein Science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="00735D9A"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27</w:t>
      </w:r>
      <w:r w:rsidR="00735D9A" w:rsidRPr="00D10960">
        <w:rPr>
          <w:rFonts w:asciiTheme="minorHAnsi" w:hAnsiTheme="minorHAnsi" w:cstheme="minorHAnsi"/>
          <w:noProof/>
          <w:szCs w:val="24"/>
          <w:lang w:val="en-US"/>
        </w:rPr>
        <w:t>, 135–145. https://doi.org/10.1002/pro.3290</w:t>
      </w:r>
    </w:p>
    <w:p w14:paraId="67D1F6CE" w14:textId="77777777" w:rsidR="00735D9A" w:rsidRPr="00D10960" w:rsidRDefault="00735D9A" w:rsidP="00735D9A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rPr>
          <w:rFonts w:asciiTheme="minorHAnsi" w:hAnsiTheme="minorHAnsi" w:cstheme="minorHAnsi"/>
          <w:noProof/>
          <w:lang w:val="en-US"/>
        </w:rPr>
      </w:pP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 xml:space="preserve">Sunnucks, </w:t>
      </w:r>
      <w:r w:rsidR="004C1356" w:rsidRPr="00D10960">
        <w:rPr>
          <w:rFonts w:asciiTheme="minorHAnsi" w:hAnsiTheme="minorHAnsi" w:cstheme="minorHAnsi"/>
          <w:b/>
          <w:noProof/>
          <w:szCs w:val="24"/>
          <w:lang w:val="en-US"/>
        </w:rPr>
        <w:t>P., &amp; Hales, D.</w:t>
      </w:r>
      <w:r w:rsidRPr="00D10960">
        <w:rPr>
          <w:rFonts w:asciiTheme="minorHAnsi" w:hAnsiTheme="minorHAnsi" w:cstheme="minorHAnsi"/>
          <w:b/>
          <w:noProof/>
          <w:szCs w:val="24"/>
          <w:lang w:val="en-US"/>
        </w:rPr>
        <w:t>F.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(1996) Numerous transposed sequences of mitochondrial cytochrome oxidase I-II in aphids of the genus </w:t>
      </w:r>
      <w:r w:rsidRPr="00D10960">
        <w:rPr>
          <w:rFonts w:asciiTheme="minorHAnsi" w:hAnsiTheme="minorHAnsi" w:cstheme="minorHAnsi"/>
          <w:i/>
          <w:noProof/>
          <w:szCs w:val="24"/>
          <w:lang w:val="en-US"/>
        </w:rPr>
        <w:t>Sitobion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(Hemiptera: Aphididae). </w:t>
      </w:r>
      <w:r w:rsidRPr="00D10960">
        <w:rPr>
          <w:rFonts w:asciiTheme="minorHAnsi" w:hAnsiTheme="minorHAnsi" w:cstheme="minorHAnsi"/>
          <w:iCs/>
          <w:noProof/>
          <w:szCs w:val="24"/>
          <w:lang w:val="en-US"/>
        </w:rPr>
        <w:lastRenderedPageBreak/>
        <w:t>Molecular Biology and Evolution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 xml:space="preserve"> </w:t>
      </w:r>
      <w:r w:rsidRPr="00D10960">
        <w:rPr>
          <w:rFonts w:asciiTheme="minorHAnsi" w:hAnsiTheme="minorHAnsi" w:cstheme="minorHAnsi"/>
          <w:b/>
          <w:iCs/>
          <w:noProof/>
          <w:szCs w:val="24"/>
          <w:lang w:val="en-US"/>
        </w:rPr>
        <w:t>13</w:t>
      </w:r>
      <w:r w:rsidRPr="00D10960">
        <w:rPr>
          <w:rFonts w:asciiTheme="minorHAnsi" w:hAnsiTheme="minorHAnsi" w:cstheme="minorHAnsi"/>
          <w:noProof/>
          <w:szCs w:val="24"/>
          <w:lang w:val="en-US"/>
        </w:rPr>
        <w:t>, 510–524. https://doi.org/10.1093/oxfordjournals.molbev.a025612</w:t>
      </w:r>
    </w:p>
    <w:p w14:paraId="67D1F6CF" w14:textId="77777777" w:rsidR="00F16EE5" w:rsidRPr="00776978" w:rsidRDefault="00F16EE5" w:rsidP="00474F5B">
      <w:pPr>
        <w:spacing w:after="160" w:line="480" w:lineRule="auto"/>
        <w:rPr>
          <w:rFonts w:asciiTheme="minorHAnsi" w:eastAsia="Calibri" w:hAnsiTheme="minorHAnsi" w:cstheme="minorHAnsi"/>
          <w:b/>
          <w:lang w:val="en-US"/>
        </w:rPr>
      </w:pPr>
      <w:r w:rsidRPr="00776978">
        <w:rPr>
          <w:rFonts w:asciiTheme="minorHAnsi" w:eastAsia="Calibri" w:hAnsiTheme="minorHAnsi" w:cstheme="minorHAnsi"/>
          <w:b/>
          <w:lang w:val="en-US"/>
        </w:rPr>
        <w:br w:type="page"/>
      </w:r>
    </w:p>
    <w:p w14:paraId="67D1F6D0" w14:textId="77777777" w:rsidR="00474F5B" w:rsidRPr="000F79C9" w:rsidRDefault="00474F5B" w:rsidP="00474F5B">
      <w:pPr>
        <w:spacing w:after="0" w:line="360" w:lineRule="auto"/>
        <w:rPr>
          <w:rFonts w:cs="Arial"/>
          <w:lang w:val="en-US"/>
        </w:rPr>
      </w:pPr>
      <w:bookmarkStart w:id="0" w:name="_Hlk36565819"/>
      <w:r w:rsidRPr="000F79C9">
        <w:rPr>
          <w:rFonts w:cs="Arial"/>
          <w:b/>
          <w:bCs/>
          <w:lang w:val="en-US"/>
        </w:rPr>
        <w:lastRenderedPageBreak/>
        <w:t xml:space="preserve">Table </w:t>
      </w:r>
      <w:r>
        <w:rPr>
          <w:rFonts w:cs="Arial"/>
          <w:b/>
          <w:bCs/>
          <w:lang w:val="en-US"/>
        </w:rPr>
        <w:t>S</w:t>
      </w:r>
      <w:r w:rsidRPr="000F79C9">
        <w:rPr>
          <w:rFonts w:cs="Arial"/>
          <w:b/>
          <w:bCs/>
          <w:lang w:val="en-US"/>
        </w:rPr>
        <w:t>1.</w:t>
      </w:r>
      <w:r w:rsidRPr="000F79C9">
        <w:rPr>
          <w:rFonts w:cs="Arial"/>
          <w:bCs/>
          <w:lang w:val="en-US"/>
        </w:rPr>
        <w:t xml:space="preserve"> Estimates of </w:t>
      </w:r>
      <w:r>
        <w:rPr>
          <w:rFonts w:cs="Arial"/>
          <w:bCs/>
          <w:lang w:val="en-US"/>
        </w:rPr>
        <w:t>e</w:t>
      </w:r>
      <w:r w:rsidRPr="000F79C9">
        <w:rPr>
          <w:rFonts w:cs="Arial"/>
          <w:bCs/>
          <w:lang w:val="en-US"/>
        </w:rPr>
        <w:t xml:space="preserve">volutionary </w:t>
      </w:r>
      <w:r>
        <w:rPr>
          <w:rFonts w:cs="Arial"/>
          <w:bCs/>
          <w:lang w:val="en-US"/>
        </w:rPr>
        <w:t>d</w:t>
      </w:r>
      <w:r w:rsidRPr="000F79C9">
        <w:rPr>
          <w:rFonts w:cs="Arial"/>
          <w:bCs/>
          <w:lang w:val="en-US"/>
        </w:rPr>
        <w:t xml:space="preserve">ivergence over </w:t>
      </w:r>
      <w:r>
        <w:rPr>
          <w:rFonts w:cs="Arial"/>
          <w:bCs/>
          <w:lang w:val="en-US"/>
        </w:rPr>
        <w:t>s</w:t>
      </w:r>
      <w:r w:rsidRPr="000F79C9">
        <w:rPr>
          <w:rFonts w:cs="Arial"/>
          <w:bCs/>
          <w:lang w:val="en-US"/>
        </w:rPr>
        <w:t xml:space="preserve">equence </w:t>
      </w:r>
      <w:r>
        <w:rPr>
          <w:rFonts w:cs="Arial"/>
          <w:bCs/>
          <w:lang w:val="en-US"/>
        </w:rPr>
        <w:t>p</w:t>
      </w:r>
      <w:r w:rsidRPr="000F79C9">
        <w:rPr>
          <w:rFonts w:cs="Arial"/>
          <w:bCs/>
          <w:lang w:val="en-US"/>
        </w:rPr>
        <w:t xml:space="preserve">airs between </w:t>
      </w:r>
      <w:r>
        <w:rPr>
          <w:rFonts w:cs="Arial"/>
          <w:bCs/>
          <w:lang w:val="en-US"/>
        </w:rPr>
        <w:t>g</w:t>
      </w:r>
      <w:r w:rsidRPr="000F79C9">
        <w:rPr>
          <w:rFonts w:cs="Arial"/>
          <w:bCs/>
          <w:lang w:val="en-US"/>
        </w:rPr>
        <w:t>roups</w:t>
      </w:r>
      <w:r>
        <w:rPr>
          <w:rFonts w:cs="Arial"/>
          <w:lang w:val="en-US"/>
        </w:rPr>
        <w:t xml:space="preserve"> </w:t>
      </w:r>
      <w:r w:rsidRPr="000F79C9">
        <w:rPr>
          <w:rFonts w:cs="Arial"/>
          <w:lang w:val="en-US"/>
        </w:rPr>
        <w:t xml:space="preserve">COI barcoding -The number of base substitutions per site from averaging over all sequence pairs between groups are shown. Note the interspecific divergence values between the different species compared to </w:t>
      </w:r>
      <w:r w:rsidRPr="000F79C9">
        <w:rPr>
          <w:rFonts w:cs="Arial"/>
          <w:i/>
          <w:iCs/>
          <w:lang w:val="en-US"/>
        </w:rPr>
        <w:t xml:space="preserve">M. </w:t>
      </w:r>
      <w:proofErr w:type="spellStart"/>
      <w:r w:rsidRPr="000F79C9">
        <w:rPr>
          <w:rFonts w:cs="Arial"/>
          <w:i/>
          <w:iCs/>
          <w:lang w:val="en-US"/>
        </w:rPr>
        <w:t>praeclarus</w:t>
      </w:r>
      <w:proofErr w:type="spellEnd"/>
      <w:r w:rsidRPr="000F79C9">
        <w:rPr>
          <w:rFonts w:cs="Arial"/>
          <w:i/>
          <w:iCs/>
          <w:lang w:val="en-US"/>
        </w:rPr>
        <w:t xml:space="preserve"> </w:t>
      </w:r>
      <w:r w:rsidRPr="000F79C9">
        <w:rPr>
          <w:rFonts w:cs="Arial"/>
          <w:lang w:val="en-US"/>
        </w:rPr>
        <w:t xml:space="preserve">for the </w:t>
      </w:r>
      <w:proofErr w:type="spellStart"/>
      <w:r w:rsidRPr="000F79C9">
        <w:rPr>
          <w:rFonts w:cs="Arial"/>
          <w:lang w:val="en-US"/>
        </w:rPr>
        <w:t>mtCOI</w:t>
      </w:r>
      <w:proofErr w:type="spellEnd"/>
      <w:r w:rsidRPr="000F79C9">
        <w:rPr>
          <w:rFonts w:cs="Arial"/>
          <w:lang w:val="en-US"/>
        </w:rPr>
        <w:t xml:space="preserve"> marker.</w:t>
      </w:r>
    </w:p>
    <w:p w14:paraId="67D1F6D1" w14:textId="77777777" w:rsidR="00474F5B" w:rsidRDefault="00474F5B" w:rsidP="00474F5B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6"/>
        <w:gridCol w:w="826"/>
        <w:gridCol w:w="826"/>
        <w:gridCol w:w="826"/>
        <w:gridCol w:w="826"/>
        <w:gridCol w:w="826"/>
        <w:gridCol w:w="715"/>
      </w:tblGrid>
      <w:tr w:rsidR="00474F5B" w:rsidRPr="00DF4A33" w14:paraId="67D1F6D9" w14:textId="77777777" w:rsidTr="00C802D7">
        <w:trPr>
          <w:cantSplit/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F6D2" w14:textId="77777777" w:rsidR="00474F5B" w:rsidRPr="00DF4A33" w:rsidRDefault="00474F5B" w:rsidP="00C802D7">
            <w:pPr>
              <w:spacing w:after="0" w:line="360" w:lineRule="auto"/>
              <w:rPr>
                <w:sz w:val="20"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F6D3" w14:textId="77777777" w:rsidR="00474F5B" w:rsidRPr="00DF4A33" w:rsidRDefault="00474F5B" w:rsidP="00C802D7">
            <w:pPr>
              <w:spacing w:after="0" w:line="360" w:lineRule="auto"/>
              <w:jc w:val="center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F6D4" w14:textId="77777777" w:rsidR="00474F5B" w:rsidRPr="00DF4A33" w:rsidRDefault="00474F5B" w:rsidP="00C802D7">
            <w:pPr>
              <w:spacing w:after="0" w:line="360" w:lineRule="auto"/>
              <w:jc w:val="center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F6D5" w14:textId="77777777" w:rsidR="00474F5B" w:rsidRPr="00DF4A33" w:rsidRDefault="00474F5B" w:rsidP="00C802D7">
            <w:pPr>
              <w:spacing w:after="0" w:line="360" w:lineRule="auto"/>
              <w:jc w:val="center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F6D6" w14:textId="77777777" w:rsidR="00474F5B" w:rsidRPr="00DF4A33" w:rsidRDefault="00474F5B" w:rsidP="00C802D7">
            <w:pPr>
              <w:spacing w:after="0" w:line="360" w:lineRule="auto"/>
              <w:jc w:val="center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F6D7" w14:textId="77777777" w:rsidR="00474F5B" w:rsidRPr="00DF4A33" w:rsidRDefault="00474F5B" w:rsidP="00C802D7">
            <w:pPr>
              <w:spacing w:after="0" w:line="360" w:lineRule="auto"/>
              <w:jc w:val="center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F6D8" w14:textId="77777777" w:rsidR="00474F5B" w:rsidRPr="00DF4A33" w:rsidRDefault="00474F5B" w:rsidP="00C802D7">
            <w:pPr>
              <w:spacing w:after="0" w:line="360" w:lineRule="auto"/>
              <w:jc w:val="center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>6</w:t>
            </w:r>
          </w:p>
        </w:tc>
      </w:tr>
      <w:tr w:rsidR="00474F5B" w:rsidRPr="00DF4A33" w14:paraId="67D1F6E1" w14:textId="77777777" w:rsidTr="00C802D7">
        <w:trPr>
          <w:cantSplit/>
          <w:trHeight w:val="510"/>
        </w:trPr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1F6DA" w14:textId="77777777" w:rsidR="00474F5B" w:rsidRPr="00DF4A33" w:rsidRDefault="00474F5B" w:rsidP="00C802D7">
            <w:pPr>
              <w:spacing w:after="0" w:line="360" w:lineRule="auto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 xml:space="preserve">1 </w:t>
            </w:r>
            <w:r w:rsidRPr="00DF4A33">
              <w:rPr>
                <w:b/>
                <w:i/>
                <w:sz w:val="20"/>
                <w:lang w:val="en-GB"/>
              </w:rPr>
              <w:t>Nesidiocoris tenuis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1F6DB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1F6DC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1F6DD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1F6DE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1F6DF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1F6E0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</w:tr>
      <w:tr w:rsidR="00474F5B" w:rsidRPr="00DF4A33" w14:paraId="67D1F6E9" w14:textId="77777777" w:rsidTr="00C802D7">
        <w:trPr>
          <w:cantSplit/>
          <w:trHeight w:val="510"/>
        </w:trPr>
        <w:tc>
          <w:tcPr>
            <w:tcW w:w="2996" w:type="dxa"/>
            <w:shd w:val="clear" w:color="auto" w:fill="auto"/>
            <w:vAlign w:val="center"/>
          </w:tcPr>
          <w:p w14:paraId="67D1F6E2" w14:textId="77777777" w:rsidR="00474F5B" w:rsidRPr="00DF4A33" w:rsidRDefault="00474F5B" w:rsidP="00C802D7">
            <w:pPr>
              <w:spacing w:after="0" w:line="360" w:lineRule="auto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 xml:space="preserve">2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Macrolophus</w:t>
            </w:r>
            <w:proofErr w:type="spellEnd"/>
            <w:r w:rsidRPr="00DF4A33">
              <w:rPr>
                <w:b/>
                <w:i/>
                <w:sz w:val="20"/>
                <w:lang w:val="en-GB"/>
              </w:rPr>
              <w:t xml:space="preserve">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praeclarus</w:t>
            </w:r>
            <w:proofErr w:type="spellEnd"/>
          </w:p>
        </w:tc>
        <w:tc>
          <w:tcPr>
            <w:tcW w:w="826" w:type="dxa"/>
            <w:shd w:val="clear" w:color="auto" w:fill="auto"/>
            <w:vAlign w:val="center"/>
          </w:tcPr>
          <w:p w14:paraId="67D1F6E3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0.295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E4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D1F6E5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D1F6E6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D1F6E7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7D1F6E8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</w:tr>
      <w:tr w:rsidR="00474F5B" w:rsidRPr="00DF4A33" w14:paraId="67D1F6F1" w14:textId="77777777" w:rsidTr="00C802D7">
        <w:trPr>
          <w:cantSplit/>
          <w:trHeight w:val="510"/>
        </w:trPr>
        <w:tc>
          <w:tcPr>
            <w:tcW w:w="2996" w:type="dxa"/>
            <w:shd w:val="clear" w:color="auto" w:fill="auto"/>
            <w:vAlign w:val="center"/>
          </w:tcPr>
          <w:p w14:paraId="67D1F6EA" w14:textId="77777777" w:rsidR="00474F5B" w:rsidRPr="00DF4A33" w:rsidRDefault="00474F5B" w:rsidP="00C802D7">
            <w:pPr>
              <w:spacing w:after="0" w:line="360" w:lineRule="auto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 xml:space="preserve">3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Macro</w:t>
            </w:r>
            <w:r w:rsidR="00C802D7" w:rsidRPr="00DF4A33">
              <w:rPr>
                <w:b/>
                <w:i/>
                <w:sz w:val="20"/>
                <w:lang w:val="en-GB"/>
              </w:rPr>
              <w:t>l</w:t>
            </w:r>
            <w:r w:rsidRPr="00DF4A33">
              <w:rPr>
                <w:b/>
                <w:i/>
                <w:sz w:val="20"/>
                <w:lang w:val="en-GB"/>
              </w:rPr>
              <w:t>ophus</w:t>
            </w:r>
            <w:proofErr w:type="spellEnd"/>
            <w:r w:rsidRPr="00DF4A33">
              <w:rPr>
                <w:b/>
                <w:i/>
                <w:sz w:val="20"/>
                <w:lang w:val="en-GB"/>
              </w:rPr>
              <w:t xml:space="preserve"> pygmaeus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EB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0.270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EC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0.257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ED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D1F6EE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D1F6EF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7D1F6F0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</w:tr>
      <w:tr w:rsidR="00474F5B" w:rsidRPr="00DF4A33" w14:paraId="67D1F6F9" w14:textId="77777777" w:rsidTr="00C802D7">
        <w:trPr>
          <w:cantSplit/>
          <w:trHeight w:val="510"/>
        </w:trPr>
        <w:tc>
          <w:tcPr>
            <w:tcW w:w="2996" w:type="dxa"/>
            <w:shd w:val="clear" w:color="auto" w:fill="auto"/>
            <w:vAlign w:val="center"/>
          </w:tcPr>
          <w:p w14:paraId="67D1F6F2" w14:textId="77777777" w:rsidR="00474F5B" w:rsidRPr="00DF4A33" w:rsidRDefault="00474F5B" w:rsidP="00C802D7">
            <w:pPr>
              <w:spacing w:after="0" w:line="360" w:lineRule="auto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 xml:space="preserve">4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Macrolophus</w:t>
            </w:r>
            <w:proofErr w:type="spellEnd"/>
            <w:r w:rsidRPr="00DF4A33">
              <w:rPr>
                <w:b/>
                <w:i/>
                <w:sz w:val="20"/>
                <w:lang w:val="en-GB"/>
              </w:rPr>
              <w:t xml:space="preserve">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melanotoma</w:t>
            </w:r>
            <w:proofErr w:type="spellEnd"/>
          </w:p>
        </w:tc>
        <w:tc>
          <w:tcPr>
            <w:tcW w:w="826" w:type="dxa"/>
            <w:shd w:val="clear" w:color="auto" w:fill="auto"/>
            <w:vAlign w:val="center"/>
          </w:tcPr>
          <w:p w14:paraId="67D1F6F3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0.301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F4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0.254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F5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0.193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F6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7D1F6F7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7D1F6F8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</w:tr>
      <w:tr w:rsidR="00474F5B" w:rsidRPr="00DF4A33" w14:paraId="67D1F701" w14:textId="77777777" w:rsidTr="00C802D7">
        <w:trPr>
          <w:cantSplit/>
          <w:trHeight w:val="510"/>
        </w:trPr>
        <w:tc>
          <w:tcPr>
            <w:tcW w:w="2996" w:type="dxa"/>
            <w:shd w:val="clear" w:color="auto" w:fill="auto"/>
            <w:vAlign w:val="center"/>
          </w:tcPr>
          <w:p w14:paraId="67D1F6FA" w14:textId="77777777" w:rsidR="00474F5B" w:rsidRPr="00DF4A33" w:rsidRDefault="00474F5B" w:rsidP="00C802D7">
            <w:pPr>
              <w:spacing w:after="0" w:line="360" w:lineRule="auto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 xml:space="preserve">5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Macrolophus</w:t>
            </w:r>
            <w:proofErr w:type="spellEnd"/>
            <w:r w:rsidRPr="00DF4A33">
              <w:rPr>
                <w:b/>
                <w:i/>
                <w:sz w:val="20"/>
                <w:lang w:val="en-GB"/>
              </w:rPr>
              <w:t xml:space="preserve">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rubi</w:t>
            </w:r>
            <w:proofErr w:type="spellEnd"/>
          </w:p>
        </w:tc>
        <w:tc>
          <w:tcPr>
            <w:tcW w:w="826" w:type="dxa"/>
            <w:shd w:val="clear" w:color="auto" w:fill="auto"/>
            <w:vAlign w:val="center"/>
          </w:tcPr>
          <w:p w14:paraId="67D1F6FB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0.280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FC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0.260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FD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0.133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FE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0.180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D1F6FF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67D1F700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</w:tr>
      <w:tr w:rsidR="00474F5B" w:rsidRPr="00DF4A33" w14:paraId="67D1F709" w14:textId="77777777" w:rsidTr="00C802D7">
        <w:trPr>
          <w:cantSplit/>
          <w:trHeight w:val="510"/>
        </w:trPr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F702" w14:textId="77777777" w:rsidR="00474F5B" w:rsidRPr="00DF4A33" w:rsidRDefault="00474F5B" w:rsidP="00C802D7">
            <w:pPr>
              <w:spacing w:after="0" w:line="360" w:lineRule="auto"/>
              <w:rPr>
                <w:b/>
                <w:sz w:val="20"/>
                <w:lang w:val="en-GB"/>
              </w:rPr>
            </w:pPr>
            <w:r w:rsidRPr="00DF4A33">
              <w:rPr>
                <w:b/>
                <w:sz w:val="20"/>
                <w:lang w:val="en-GB"/>
              </w:rPr>
              <w:t xml:space="preserve">6 </w:t>
            </w:r>
            <w:proofErr w:type="spellStart"/>
            <w:r w:rsidRPr="00DF4A33">
              <w:rPr>
                <w:b/>
                <w:i/>
                <w:sz w:val="20"/>
                <w:lang w:val="en-GB"/>
              </w:rPr>
              <w:t>Dicyphus</w:t>
            </w:r>
            <w:proofErr w:type="spellEnd"/>
            <w:r w:rsidRPr="00DF4A33">
              <w:rPr>
                <w:b/>
                <w:sz w:val="20"/>
                <w:lang w:val="en-GB"/>
              </w:rPr>
              <w:t xml:space="preserve"> sp.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F703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0.310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F704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0.300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F705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0.311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F706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0.311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F707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  <w:r w:rsidRPr="00DF4A33">
              <w:rPr>
                <w:sz w:val="20"/>
                <w:lang w:val="en-GB"/>
              </w:rPr>
              <w:t>0.324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F708" w14:textId="77777777" w:rsidR="00474F5B" w:rsidRPr="00DF4A33" w:rsidRDefault="00474F5B" w:rsidP="00C802D7">
            <w:pPr>
              <w:spacing w:after="0" w:line="360" w:lineRule="auto"/>
              <w:jc w:val="center"/>
              <w:rPr>
                <w:sz w:val="20"/>
                <w:lang w:val="en-GB"/>
              </w:rPr>
            </w:pPr>
          </w:p>
        </w:tc>
      </w:tr>
      <w:bookmarkEnd w:id="0"/>
    </w:tbl>
    <w:p w14:paraId="67D1F70A" w14:textId="77777777" w:rsidR="00474F5B" w:rsidRDefault="00474F5B" w:rsidP="00474F5B">
      <w:pPr>
        <w:spacing w:after="0" w:line="360" w:lineRule="auto"/>
        <w:rPr>
          <w:rFonts w:cs="Arial"/>
          <w:b/>
          <w:bCs/>
          <w:lang w:val="en-US"/>
        </w:rPr>
      </w:pPr>
    </w:p>
    <w:p w14:paraId="67D1F70B" w14:textId="77777777" w:rsidR="00474F5B" w:rsidRDefault="00474F5B" w:rsidP="00474F5B">
      <w:pPr>
        <w:spacing w:after="0" w:line="360" w:lineRule="auto"/>
        <w:rPr>
          <w:rFonts w:cs="Arial"/>
          <w:b/>
          <w:lang w:val="en-GB"/>
        </w:rPr>
      </w:pPr>
    </w:p>
    <w:p w14:paraId="67D1F70C" w14:textId="77777777" w:rsidR="00474F5B" w:rsidRDefault="00474F5B">
      <w:pPr>
        <w:spacing w:after="160" w:line="259" w:lineRule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br w:type="page"/>
      </w:r>
    </w:p>
    <w:p w14:paraId="67D1F70D" w14:textId="77777777" w:rsidR="00474F5B" w:rsidRDefault="00474F5B" w:rsidP="00C802D7">
      <w:pPr>
        <w:spacing w:after="0" w:line="360" w:lineRule="auto"/>
        <w:rPr>
          <w:rFonts w:cs="Arial"/>
          <w:lang w:val="en-US"/>
        </w:rPr>
      </w:pPr>
      <w:r w:rsidRPr="00E3726C">
        <w:rPr>
          <w:rFonts w:cs="Arial"/>
          <w:b/>
          <w:bCs/>
          <w:lang w:val="en-US"/>
        </w:rPr>
        <w:lastRenderedPageBreak/>
        <w:t xml:space="preserve">Figure </w:t>
      </w:r>
      <w:r>
        <w:rPr>
          <w:rFonts w:cs="Arial"/>
          <w:b/>
          <w:bCs/>
          <w:lang w:val="en-US"/>
        </w:rPr>
        <w:t>S</w:t>
      </w:r>
      <w:r w:rsidRPr="00E3726C">
        <w:rPr>
          <w:rFonts w:cs="Arial"/>
          <w:b/>
          <w:bCs/>
          <w:lang w:val="en-US"/>
        </w:rPr>
        <w:t>1</w:t>
      </w:r>
      <w:r w:rsidRPr="00E3726C">
        <w:rPr>
          <w:rFonts w:cs="Arial"/>
          <w:bCs/>
          <w:lang w:val="en-US"/>
        </w:rPr>
        <w:t xml:space="preserve">. Evolutionary relationships of </w:t>
      </w:r>
      <w:proofErr w:type="spellStart"/>
      <w:r w:rsidRPr="00E3726C">
        <w:rPr>
          <w:rFonts w:cs="Arial"/>
          <w:bCs/>
          <w:i/>
          <w:iCs/>
          <w:lang w:val="en-US"/>
        </w:rPr>
        <w:t>Macrolophus</w:t>
      </w:r>
      <w:proofErr w:type="spellEnd"/>
      <w:r w:rsidRPr="00E3726C">
        <w:rPr>
          <w:rFonts w:cs="Arial"/>
          <w:bCs/>
          <w:i/>
          <w:iCs/>
          <w:lang w:val="en-US"/>
        </w:rPr>
        <w:t xml:space="preserve"> </w:t>
      </w:r>
      <w:proofErr w:type="spellStart"/>
      <w:r w:rsidRPr="00E3726C">
        <w:rPr>
          <w:rFonts w:cs="Arial"/>
          <w:bCs/>
          <w:i/>
          <w:iCs/>
          <w:lang w:val="en-US"/>
        </w:rPr>
        <w:t>praeclarus</w:t>
      </w:r>
      <w:proofErr w:type="spellEnd"/>
      <w:r w:rsidRPr="00E3726C">
        <w:rPr>
          <w:rFonts w:cs="Arial"/>
          <w:bCs/>
          <w:iCs/>
          <w:lang w:val="en-US"/>
        </w:rPr>
        <w:t xml:space="preserve"> </w:t>
      </w:r>
      <w:r w:rsidRPr="00E3726C">
        <w:rPr>
          <w:rFonts w:cs="Arial"/>
          <w:bCs/>
          <w:lang w:val="en-US"/>
        </w:rPr>
        <w:t>to</w:t>
      </w:r>
      <w:r w:rsidRPr="00E3726C">
        <w:rPr>
          <w:rFonts w:cs="Arial"/>
          <w:bCs/>
          <w:iCs/>
          <w:lang w:val="en-US"/>
        </w:rPr>
        <w:t xml:space="preserve"> </w:t>
      </w:r>
      <w:r w:rsidRPr="00E3726C">
        <w:rPr>
          <w:rFonts w:cs="Arial"/>
          <w:bCs/>
          <w:lang w:val="en-US"/>
        </w:rPr>
        <w:t>cytochrome oxidase subunit 1 (COI) gene.</w:t>
      </w:r>
      <w:r>
        <w:rPr>
          <w:rFonts w:cs="Arial"/>
          <w:bCs/>
          <w:lang w:val="en-US"/>
        </w:rPr>
        <w:t xml:space="preserve"> </w:t>
      </w:r>
      <w:r w:rsidRPr="00E3726C">
        <w:rPr>
          <w:rFonts w:cs="Arial"/>
          <w:lang w:val="en-US"/>
        </w:rPr>
        <w:t xml:space="preserve">Phylogenetic </w:t>
      </w:r>
      <w:proofErr w:type="spellStart"/>
      <w:r w:rsidRPr="00E3726C">
        <w:rPr>
          <w:rFonts w:cs="Arial"/>
          <w:lang w:val="en-US"/>
        </w:rPr>
        <w:t>clusterings</w:t>
      </w:r>
      <w:proofErr w:type="spellEnd"/>
      <w:r w:rsidRPr="00E3726C">
        <w:rPr>
          <w:rFonts w:cs="Arial"/>
          <w:lang w:val="en-US"/>
        </w:rPr>
        <w:t xml:space="preserve"> show the evolutionary relationships between </w:t>
      </w:r>
      <w:r w:rsidRPr="00E3726C">
        <w:rPr>
          <w:rFonts w:cs="Arial"/>
          <w:i/>
          <w:iCs/>
          <w:lang w:val="en-US"/>
        </w:rPr>
        <w:t xml:space="preserve">M. </w:t>
      </w:r>
      <w:proofErr w:type="spellStart"/>
      <w:r w:rsidRPr="00E3726C">
        <w:rPr>
          <w:rFonts w:cs="Arial"/>
          <w:i/>
          <w:iCs/>
          <w:lang w:val="en-US"/>
        </w:rPr>
        <w:t>praeclarus</w:t>
      </w:r>
      <w:proofErr w:type="spellEnd"/>
      <w:r w:rsidRPr="00E3726C">
        <w:rPr>
          <w:rFonts w:cs="Arial"/>
          <w:lang w:val="en-US"/>
        </w:rPr>
        <w:t xml:space="preserve"> and some of the family </w:t>
      </w:r>
      <w:proofErr w:type="spellStart"/>
      <w:r w:rsidRPr="00E3726C">
        <w:rPr>
          <w:rFonts w:cs="Arial"/>
          <w:lang w:val="en-US"/>
        </w:rPr>
        <w:t>miridae</w:t>
      </w:r>
      <w:proofErr w:type="spellEnd"/>
      <w:r w:rsidRPr="00E3726C">
        <w:rPr>
          <w:rFonts w:cs="Arial"/>
          <w:lang w:val="en-US"/>
        </w:rPr>
        <w:t xml:space="preserve"> species. The evolutionary tree compared 8 nucleotide sequences among the COI sequences obtained in this study and the publicly available sequences. The phylogenetic tree was inferred using the Neighbor-Joining method. The optimal tree with the sum of branch length = 0.74636764 is shown. There </w:t>
      </w:r>
      <w:proofErr w:type="gramStart"/>
      <w:r>
        <w:rPr>
          <w:rFonts w:cs="Arial"/>
          <w:lang w:val="en-US"/>
        </w:rPr>
        <w:t>were</w:t>
      </w:r>
      <w:proofErr w:type="gramEnd"/>
      <w:r w:rsidRPr="00E3726C">
        <w:rPr>
          <w:rFonts w:cs="Arial"/>
          <w:lang w:val="en-US"/>
        </w:rPr>
        <w:t xml:space="preserve"> a total of 582 positions in the final dataset.</w:t>
      </w:r>
    </w:p>
    <w:p w14:paraId="67D1F70E" w14:textId="77777777" w:rsidR="00474F5B" w:rsidRDefault="00C36FA8" w:rsidP="00474F5B">
      <w:pPr>
        <w:spacing w:after="0" w:line="360" w:lineRule="auto"/>
        <w:rPr>
          <w:rFonts w:cs="Arial"/>
          <w:lang w:val="en-US"/>
        </w:rPr>
      </w:pPr>
      <w:r w:rsidRPr="003649CF">
        <w:rPr>
          <w:noProof/>
        </w:rPr>
        <w:drawing>
          <wp:inline distT="0" distB="0" distL="0" distR="0" wp14:anchorId="67D1F713" wp14:editId="67D1F714">
            <wp:extent cx="5400040" cy="4054475"/>
            <wp:effectExtent l="0" t="0" r="0" b="0"/>
            <wp:docPr id="1" name="Imagen 2" descr="árbol filogenético fina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árbol filogenético final ver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F70F" w14:textId="77777777" w:rsidR="00474F5B" w:rsidRDefault="00474F5B" w:rsidP="00474F5B">
      <w:pPr>
        <w:spacing w:after="0" w:line="360" w:lineRule="auto"/>
        <w:rPr>
          <w:rFonts w:cs="Arial"/>
          <w:lang w:val="en-US"/>
        </w:rPr>
      </w:pPr>
    </w:p>
    <w:p w14:paraId="67D1F710" w14:textId="77777777" w:rsidR="00474F5B" w:rsidRDefault="00474F5B">
      <w:pPr>
        <w:spacing w:after="160" w:line="259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67D1F711" w14:textId="3196FE8A" w:rsidR="00474F5B" w:rsidRPr="00BD6E50" w:rsidRDefault="001758A3" w:rsidP="00BD6E50">
      <w:pPr>
        <w:rPr>
          <w:rFonts w:cs="Arial"/>
          <w:bCs/>
          <w:lang w:val="en-US"/>
        </w:rPr>
      </w:pPr>
      <w:r w:rsidRPr="00E3726C">
        <w:rPr>
          <w:rFonts w:cs="Arial"/>
          <w:b/>
          <w:bCs/>
          <w:lang w:val="en-US"/>
        </w:rPr>
        <w:lastRenderedPageBreak/>
        <w:t xml:space="preserve">Figure </w:t>
      </w:r>
      <w:r>
        <w:rPr>
          <w:rFonts w:cs="Arial"/>
          <w:b/>
          <w:bCs/>
          <w:lang w:val="en-US"/>
        </w:rPr>
        <w:t xml:space="preserve">S2. </w:t>
      </w:r>
      <w:r w:rsidR="00BD6E50" w:rsidRPr="00BD6E50">
        <w:rPr>
          <w:rFonts w:cs="Arial"/>
          <w:bCs/>
          <w:lang w:val="en-US"/>
        </w:rPr>
        <w:t xml:space="preserve">Influence of the temperature (º C) in the immature survival of </w:t>
      </w:r>
      <w:proofErr w:type="spellStart"/>
      <w:r w:rsidR="00BD6E50" w:rsidRPr="00BD6E50">
        <w:rPr>
          <w:rFonts w:cs="Arial"/>
          <w:bCs/>
          <w:i/>
          <w:lang w:val="en-US"/>
        </w:rPr>
        <w:t>Macrolophus</w:t>
      </w:r>
      <w:proofErr w:type="spellEnd"/>
      <w:r w:rsidR="00BD6E50" w:rsidRPr="00BD6E50">
        <w:rPr>
          <w:rFonts w:cs="Arial"/>
          <w:bCs/>
          <w:i/>
          <w:lang w:val="en-US"/>
        </w:rPr>
        <w:t xml:space="preserve"> </w:t>
      </w:r>
      <w:proofErr w:type="spellStart"/>
      <w:r w:rsidR="00BD6E50" w:rsidRPr="00BD6E50">
        <w:rPr>
          <w:rFonts w:cs="Arial"/>
          <w:bCs/>
          <w:i/>
          <w:lang w:val="en-US"/>
        </w:rPr>
        <w:t>praeclarus</w:t>
      </w:r>
      <w:proofErr w:type="spellEnd"/>
      <w:r w:rsidR="00BD6E50">
        <w:rPr>
          <w:rFonts w:cs="Arial"/>
          <w:bCs/>
          <w:lang w:val="en-US"/>
        </w:rPr>
        <w:t xml:space="preserve"> </w:t>
      </w:r>
      <w:r w:rsidR="00BD6E50" w:rsidRPr="00BD6E50">
        <w:rPr>
          <w:rFonts w:cs="Arial"/>
          <w:bCs/>
          <w:lang w:val="en-US"/>
        </w:rPr>
        <w:t xml:space="preserve">when reared on </w:t>
      </w:r>
      <w:proofErr w:type="spellStart"/>
      <w:r w:rsidR="00BD6E50" w:rsidRPr="00BD6E50">
        <w:rPr>
          <w:rFonts w:cs="Arial"/>
          <w:bCs/>
          <w:i/>
          <w:lang w:val="en-US"/>
        </w:rPr>
        <w:t>E</w:t>
      </w:r>
      <w:r w:rsidR="00BD6E50">
        <w:rPr>
          <w:rFonts w:cs="Arial"/>
          <w:bCs/>
          <w:i/>
          <w:lang w:val="en-US"/>
        </w:rPr>
        <w:t>phestia</w:t>
      </w:r>
      <w:proofErr w:type="spellEnd"/>
      <w:r w:rsidR="00BD6E50" w:rsidRPr="00BD6E50">
        <w:rPr>
          <w:rFonts w:cs="Arial"/>
          <w:bCs/>
          <w:i/>
          <w:lang w:val="en-US"/>
        </w:rPr>
        <w:t xml:space="preserve"> </w:t>
      </w:r>
      <w:proofErr w:type="spellStart"/>
      <w:r w:rsidR="00BD6E50" w:rsidRPr="00BD6E50">
        <w:rPr>
          <w:rFonts w:cs="Arial"/>
          <w:bCs/>
          <w:i/>
          <w:lang w:val="en-US"/>
        </w:rPr>
        <w:t>kuehniella</w:t>
      </w:r>
      <w:proofErr w:type="spellEnd"/>
      <w:r w:rsidR="00BD6E50" w:rsidRPr="00BD6E50">
        <w:rPr>
          <w:rFonts w:cs="Arial"/>
          <w:bCs/>
          <w:lang w:val="en-US"/>
        </w:rPr>
        <w:t xml:space="preserve"> </w:t>
      </w:r>
      <w:r w:rsidR="00BD6E50">
        <w:rPr>
          <w:rFonts w:cs="Arial"/>
          <w:bCs/>
          <w:lang w:val="en-US"/>
        </w:rPr>
        <w:t xml:space="preserve">eggs </w:t>
      </w:r>
      <w:r w:rsidR="00BD6E50" w:rsidRPr="00BD6E50">
        <w:rPr>
          <w:rFonts w:cs="Arial"/>
          <w:bCs/>
          <w:lang w:val="en-US"/>
        </w:rPr>
        <w:t>on detached tomato stems and leaflets</w:t>
      </w:r>
      <w:r w:rsidR="00BD6E50">
        <w:rPr>
          <w:rFonts w:cs="Arial"/>
          <w:bCs/>
          <w:lang w:val="en-US"/>
        </w:rPr>
        <w:t xml:space="preserve">. The curve shows the probability of </w:t>
      </w:r>
      <w:r w:rsidR="00BD6E50" w:rsidRPr="00BD6E50">
        <w:rPr>
          <w:rFonts w:cs="Arial"/>
          <w:bCs/>
          <w:i/>
          <w:lang w:val="en-US"/>
        </w:rPr>
        <w:t xml:space="preserve">M. </w:t>
      </w:r>
      <w:proofErr w:type="spellStart"/>
      <w:r w:rsidR="00BD6E50" w:rsidRPr="00BD6E50">
        <w:rPr>
          <w:rFonts w:cs="Arial"/>
          <w:bCs/>
          <w:i/>
          <w:lang w:val="en-US"/>
        </w:rPr>
        <w:t>praeclarus</w:t>
      </w:r>
      <w:proofErr w:type="spellEnd"/>
      <w:r w:rsidR="00BD6E50">
        <w:rPr>
          <w:rFonts w:cs="Arial"/>
          <w:bCs/>
          <w:lang w:val="en-US"/>
        </w:rPr>
        <w:t xml:space="preserve"> survival estimated from logistic regression. Binary data (1=adulthood reached, 0= adulthood not reached) are shown </w:t>
      </w:r>
      <w:r w:rsidR="00C7163D">
        <w:rPr>
          <w:rFonts w:cs="Arial"/>
          <w:bCs/>
          <w:lang w:val="en-US"/>
        </w:rPr>
        <w:t xml:space="preserve">in </w:t>
      </w:r>
      <w:r w:rsidR="00985684">
        <w:rPr>
          <w:rFonts w:cs="Arial"/>
          <w:bCs/>
          <w:lang w:val="en-US"/>
        </w:rPr>
        <w:t xml:space="preserve">bubbles, and the size of the bubble (and the number above) represent the number of </w:t>
      </w:r>
      <w:r w:rsidR="00BD6E50">
        <w:rPr>
          <w:rFonts w:cs="Arial"/>
          <w:bCs/>
          <w:lang w:val="en-US"/>
        </w:rPr>
        <w:t xml:space="preserve">observations. </w:t>
      </w:r>
    </w:p>
    <w:p w14:paraId="67D1F712" w14:textId="08AFC43C" w:rsidR="00474F5B" w:rsidRDefault="00C7163D" w:rsidP="00474F5B">
      <w:pPr>
        <w:spacing w:after="0" w:line="360" w:lineRule="auto"/>
        <w:rPr>
          <w:rFonts w:cs="Arial"/>
          <w:lang w:val="en-US"/>
        </w:rPr>
      </w:pPr>
      <w:r>
        <w:rPr>
          <w:rFonts w:cs="Arial"/>
          <w:noProof/>
        </w:rPr>
        <w:drawing>
          <wp:inline distT="0" distB="0" distL="0" distR="0" wp14:anchorId="00E7A0E6" wp14:editId="07DBAA0F">
            <wp:extent cx="5419513" cy="3295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 s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1" t="22889" r="22919" b="20673"/>
                    <a:stretch/>
                  </pic:blipFill>
                  <pic:spPr bwMode="auto">
                    <a:xfrm>
                      <a:off x="0" y="0"/>
                      <a:ext cx="5434517" cy="330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92017" w14:textId="5930E911" w:rsidR="00C7163D" w:rsidRDefault="00C7163D" w:rsidP="00474F5B">
      <w:pPr>
        <w:spacing w:after="0" w:line="360" w:lineRule="auto"/>
        <w:rPr>
          <w:rFonts w:cs="Arial"/>
          <w:lang w:val="en-US"/>
        </w:rPr>
      </w:pPr>
    </w:p>
    <w:p w14:paraId="03CDE85D" w14:textId="77777777" w:rsidR="00C7163D" w:rsidRDefault="00C7163D" w:rsidP="00474F5B">
      <w:pPr>
        <w:spacing w:after="0" w:line="360" w:lineRule="auto"/>
        <w:rPr>
          <w:rFonts w:cs="Arial"/>
          <w:noProof/>
        </w:rPr>
      </w:pPr>
    </w:p>
    <w:p w14:paraId="6034CECE" w14:textId="77777777" w:rsidR="00C7163D" w:rsidRDefault="00C7163D" w:rsidP="00474F5B">
      <w:pPr>
        <w:spacing w:after="0" w:line="360" w:lineRule="auto"/>
        <w:rPr>
          <w:rFonts w:cs="Arial"/>
          <w:noProof/>
        </w:rPr>
      </w:pPr>
    </w:p>
    <w:p w14:paraId="446A253D" w14:textId="4292D39B" w:rsidR="00C7163D" w:rsidRDefault="00C7163D" w:rsidP="00474F5B">
      <w:pPr>
        <w:spacing w:after="0" w:line="360" w:lineRule="auto"/>
        <w:rPr>
          <w:rFonts w:cs="Arial"/>
          <w:lang w:val="en-US"/>
        </w:rPr>
      </w:pPr>
    </w:p>
    <w:p w14:paraId="3D04051B" w14:textId="06344A99" w:rsidR="00C7163D" w:rsidRDefault="00C7163D" w:rsidP="00474F5B">
      <w:pPr>
        <w:spacing w:after="0" w:line="360" w:lineRule="auto"/>
        <w:rPr>
          <w:rFonts w:cs="Arial"/>
          <w:lang w:val="en-US"/>
        </w:rPr>
      </w:pPr>
    </w:p>
    <w:p w14:paraId="1F1E7F04" w14:textId="77777777" w:rsidR="00C7163D" w:rsidRDefault="00C7163D" w:rsidP="00474F5B">
      <w:pPr>
        <w:spacing w:after="0" w:line="360" w:lineRule="auto"/>
        <w:rPr>
          <w:rFonts w:cs="Arial"/>
          <w:lang w:val="en-US"/>
        </w:rPr>
      </w:pPr>
    </w:p>
    <w:sectPr w:rsidR="00C71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0F02E" w14:textId="77777777" w:rsidR="00510CFA" w:rsidRDefault="00510CFA" w:rsidP="00735D9A">
      <w:pPr>
        <w:spacing w:after="0" w:line="240" w:lineRule="auto"/>
      </w:pPr>
      <w:r>
        <w:separator/>
      </w:r>
    </w:p>
  </w:endnote>
  <w:endnote w:type="continuationSeparator" w:id="0">
    <w:p w14:paraId="254030CE" w14:textId="77777777" w:rsidR="00510CFA" w:rsidRDefault="00510CFA" w:rsidP="0073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crqxnAdvTT3713a231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B28C9" w14:textId="77777777" w:rsidR="00510CFA" w:rsidRDefault="00510CFA" w:rsidP="00735D9A">
      <w:pPr>
        <w:spacing w:after="0" w:line="240" w:lineRule="auto"/>
      </w:pPr>
      <w:r>
        <w:separator/>
      </w:r>
    </w:p>
  </w:footnote>
  <w:footnote w:type="continuationSeparator" w:id="0">
    <w:p w14:paraId="7CDAD254" w14:textId="77777777" w:rsidR="00510CFA" w:rsidRDefault="00510CFA" w:rsidP="00735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2F"/>
    <w:rsid w:val="00014F3C"/>
    <w:rsid w:val="000154EB"/>
    <w:rsid w:val="00022602"/>
    <w:rsid w:val="00022685"/>
    <w:rsid w:val="00030863"/>
    <w:rsid w:val="00036EC3"/>
    <w:rsid w:val="00042E62"/>
    <w:rsid w:val="0005179F"/>
    <w:rsid w:val="000529DE"/>
    <w:rsid w:val="00065A99"/>
    <w:rsid w:val="00077ED9"/>
    <w:rsid w:val="00080E03"/>
    <w:rsid w:val="000833F5"/>
    <w:rsid w:val="00083F21"/>
    <w:rsid w:val="000850BB"/>
    <w:rsid w:val="0008727F"/>
    <w:rsid w:val="00087611"/>
    <w:rsid w:val="000B5E2F"/>
    <w:rsid w:val="000C4752"/>
    <w:rsid w:val="000C5175"/>
    <w:rsid w:val="000C6EA2"/>
    <w:rsid w:val="000E727B"/>
    <w:rsid w:val="000F3307"/>
    <w:rsid w:val="000F3EF6"/>
    <w:rsid w:val="00104520"/>
    <w:rsid w:val="0011023F"/>
    <w:rsid w:val="001116D0"/>
    <w:rsid w:val="001300B9"/>
    <w:rsid w:val="001643AE"/>
    <w:rsid w:val="0016798F"/>
    <w:rsid w:val="00170F9A"/>
    <w:rsid w:val="001734C8"/>
    <w:rsid w:val="00174E53"/>
    <w:rsid w:val="001758A3"/>
    <w:rsid w:val="001759F7"/>
    <w:rsid w:val="00176B86"/>
    <w:rsid w:val="001920FF"/>
    <w:rsid w:val="00192414"/>
    <w:rsid w:val="00192A86"/>
    <w:rsid w:val="001A2A63"/>
    <w:rsid w:val="001A54A6"/>
    <w:rsid w:val="001C1046"/>
    <w:rsid w:val="001D087A"/>
    <w:rsid w:val="001D28FD"/>
    <w:rsid w:val="001D39DC"/>
    <w:rsid w:val="001E00ED"/>
    <w:rsid w:val="001E6C1B"/>
    <w:rsid w:val="001F5BC0"/>
    <w:rsid w:val="0020032A"/>
    <w:rsid w:val="002021AD"/>
    <w:rsid w:val="0020340D"/>
    <w:rsid w:val="002078C2"/>
    <w:rsid w:val="00210868"/>
    <w:rsid w:val="00217F33"/>
    <w:rsid w:val="0022591C"/>
    <w:rsid w:val="00226037"/>
    <w:rsid w:val="0024771D"/>
    <w:rsid w:val="002550AD"/>
    <w:rsid w:val="00256D2F"/>
    <w:rsid w:val="00256E35"/>
    <w:rsid w:val="00274994"/>
    <w:rsid w:val="00290746"/>
    <w:rsid w:val="002976BB"/>
    <w:rsid w:val="002A2293"/>
    <w:rsid w:val="002D3BA0"/>
    <w:rsid w:val="002D5A97"/>
    <w:rsid w:val="002E11F1"/>
    <w:rsid w:val="00323715"/>
    <w:rsid w:val="00324198"/>
    <w:rsid w:val="00326C3A"/>
    <w:rsid w:val="00345572"/>
    <w:rsid w:val="00376700"/>
    <w:rsid w:val="00376C60"/>
    <w:rsid w:val="003927F8"/>
    <w:rsid w:val="0039408D"/>
    <w:rsid w:val="00397ABC"/>
    <w:rsid w:val="003B2E1F"/>
    <w:rsid w:val="003D7F61"/>
    <w:rsid w:val="003E2CCE"/>
    <w:rsid w:val="003F6523"/>
    <w:rsid w:val="003F7B91"/>
    <w:rsid w:val="00400A05"/>
    <w:rsid w:val="00404EF8"/>
    <w:rsid w:val="004249B3"/>
    <w:rsid w:val="00426542"/>
    <w:rsid w:val="004268A3"/>
    <w:rsid w:val="0043343A"/>
    <w:rsid w:val="00441C6D"/>
    <w:rsid w:val="00454123"/>
    <w:rsid w:val="0045487F"/>
    <w:rsid w:val="00462758"/>
    <w:rsid w:val="00473E61"/>
    <w:rsid w:val="00474F5B"/>
    <w:rsid w:val="004C1356"/>
    <w:rsid w:val="004C180B"/>
    <w:rsid w:val="004E2DAD"/>
    <w:rsid w:val="00510CFA"/>
    <w:rsid w:val="005133CB"/>
    <w:rsid w:val="00524C43"/>
    <w:rsid w:val="00530DCF"/>
    <w:rsid w:val="00532B35"/>
    <w:rsid w:val="00534CE7"/>
    <w:rsid w:val="005360B8"/>
    <w:rsid w:val="0053662E"/>
    <w:rsid w:val="00551630"/>
    <w:rsid w:val="0055324D"/>
    <w:rsid w:val="00554907"/>
    <w:rsid w:val="005563F7"/>
    <w:rsid w:val="00563338"/>
    <w:rsid w:val="005650E8"/>
    <w:rsid w:val="00566464"/>
    <w:rsid w:val="0058492F"/>
    <w:rsid w:val="00594FC6"/>
    <w:rsid w:val="005A12D0"/>
    <w:rsid w:val="005A730A"/>
    <w:rsid w:val="005C346F"/>
    <w:rsid w:val="005C3A37"/>
    <w:rsid w:val="005F51F7"/>
    <w:rsid w:val="005F78F5"/>
    <w:rsid w:val="00614672"/>
    <w:rsid w:val="006171EE"/>
    <w:rsid w:val="00617804"/>
    <w:rsid w:val="006454D3"/>
    <w:rsid w:val="00680FD0"/>
    <w:rsid w:val="00681336"/>
    <w:rsid w:val="00693F9A"/>
    <w:rsid w:val="00696126"/>
    <w:rsid w:val="006A11CF"/>
    <w:rsid w:val="006A4ED4"/>
    <w:rsid w:val="006C1482"/>
    <w:rsid w:val="006C67D7"/>
    <w:rsid w:val="006D2E1D"/>
    <w:rsid w:val="006E58CF"/>
    <w:rsid w:val="006F42A4"/>
    <w:rsid w:val="006F5E9A"/>
    <w:rsid w:val="00703B14"/>
    <w:rsid w:val="0073120E"/>
    <w:rsid w:val="00735D9A"/>
    <w:rsid w:val="00747922"/>
    <w:rsid w:val="00762F51"/>
    <w:rsid w:val="007726D1"/>
    <w:rsid w:val="00776978"/>
    <w:rsid w:val="007850EA"/>
    <w:rsid w:val="007902F8"/>
    <w:rsid w:val="007935A0"/>
    <w:rsid w:val="007A3942"/>
    <w:rsid w:val="007C208E"/>
    <w:rsid w:val="007C73EF"/>
    <w:rsid w:val="007C7AB8"/>
    <w:rsid w:val="007D0D69"/>
    <w:rsid w:val="007E14B0"/>
    <w:rsid w:val="007F0D57"/>
    <w:rsid w:val="007F1C41"/>
    <w:rsid w:val="007F22A3"/>
    <w:rsid w:val="007F33D3"/>
    <w:rsid w:val="00803750"/>
    <w:rsid w:val="00805214"/>
    <w:rsid w:val="00832754"/>
    <w:rsid w:val="00837D6C"/>
    <w:rsid w:val="00840D6F"/>
    <w:rsid w:val="00841894"/>
    <w:rsid w:val="00845FF6"/>
    <w:rsid w:val="008858B0"/>
    <w:rsid w:val="00886B42"/>
    <w:rsid w:val="00893A4B"/>
    <w:rsid w:val="0089702F"/>
    <w:rsid w:val="008A1C04"/>
    <w:rsid w:val="008A4947"/>
    <w:rsid w:val="008A4BD6"/>
    <w:rsid w:val="008A739B"/>
    <w:rsid w:val="008B7BE3"/>
    <w:rsid w:val="008C229C"/>
    <w:rsid w:val="008C72E9"/>
    <w:rsid w:val="008D4370"/>
    <w:rsid w:val="008D469D"/>
    <w:rsid w:val="008D7B2E"/>
    <w:rsid w:val="008E3B2B"/>
    <w:rsid w:val="008F2E08"/>
    <w:rsid w:val="00903C40"/>
    <w:rsid w:val="00921F4C"/>
    <w:rsid w:val="00944966"/>
    <w:rsid w:val="00945748"/>
    <w:rsid w:val="00947966"/>
    <w:rsid w:val="009604F2"/>
    <w:rsid w:val="00961B72"/>
    <w:rsid w:val="00965E93"/>
    <w:rsid w:val="00972459"/>
    <w:rsid w:val="0097569B"/>
    <w:rsid w:val="00985684"/>
    <w:rsid w:val="00985A11"/>
    <w:rsid w:val="009959B2"/>
    <w:rsid w:val="009C5B58"/>
    <w:rsid w:val="009E0B5C"/>
    <w:rsid w:val="009F74E1"/>
    <w:rsid w:val="00A177E6"/>
    <w:rsid w:val="00A478FD"/>
    <w:rsid w:val="00A51EB8"/>
    <w:rsid w:val="00A54E98"/>
    <w:rsid w:val="00A5511A"/>
    <w:rsid w:val="00A64EE3"/>
    <w:rsid w:val="00A673DB"/>
    <w:rsid w:val="00A76A3A"/>
    <w:rsid w:val="00A84087"/>
    <w:rsid w:val="00A8681B"/>
    <w:rsid w:val="00A90BCB"/>
    <w:rsid w:val="00AC2525"/>
    <w:rsid w:val="00AC7BE5"/>
    <w:rsid w:val="00AD279E"/>
    <w:rsid w:val="00AD6359"/>
    <w:rsid w:val="00B01E70"/>
    <w:rsid w:val="00B14586"/>
    <w:rsid w:val="00B1520C"/>
    <w:rsid w:val="00B23C53"/>
    <w:rsid w:val="00B44821"/>
    <w:rsid w:val="00B44FF5"/>
    <w:rsid w:val="00B53C44"/>
    <w:rsid w:val="00B60786"/>
    <w:rsid w:val="00B834D9"/>
    <w:rsid w:val="00B95365"/>
    <w:rsid w:val="00B95DE1"/>
    <w:rsid w:val="00BA2EBE"/>
    <w:rsid w:val="00BC5977"/>
    <w:rsid w:val="00BD6E50"/>
    <w:rsid w:val="00BE0AF4"/>
    <w:rsid w:val="00BE5FF1"/>
    <w:rsid w:val="00C11477"/>
    <w:rsid w:val="00C36FA8"/>
    <w:rsid w:val="00C45EF0"/>
    <w:rsid w:val="00C47DD3"/>
    <w:rsid w:val="00C5067F"/>
    <w:rsid w:val="00C53E8C"/>
    <w:rsid w:val="00C56001"/>
    <w:rsid w:val="00C7163D"/>
    <w:rsid w:val="00C802D7"/>
    <w:rsid w:val="00C95499"/>
    <w:rsid w:val="00CA131A"/>
    <w:rsid w:val="00CA7857"/>
    <w:rsid w:val="00CF30C1"/>
    <w:rsid w:val="00D013C3"/>
    <w:rsid w:val="00D0393A"/>
    <w:rsid w:val="00D04A50"/>
    <w:rsid w:val="00D10960"/>
    <w:rsid w:val="00D31F93"/>
    <w:rsid w:val="00D4050E"/>
    <w:rsid w:val="00D45E00"/>
    <w:rsid w:val="00D5698E"/>
    <w:rsid w:val="00D66A3E"/>
    <w:rsid w:val="00D746D7"/>
    <w:rsid w:val="00D84651"/>
    <w:rsid w:val="00D9043F"/>
    <w:rsid w:val="00DA3F13"/>
    <w:rsid w:val="00DA43E4"/>
    <w:rsid w:val="00DA5BE3"/>
    <w:rsid w:val="00DB1DB0"/>
    <w:rsid w:val="00DB5298"/>
    <w:rsid w:val="00DE7325"/>
    <w:rsid w:val="00DF4A33"/>
    <w:rsid w:val="00DF6350"/>
    <w:rsid w:val="00E07D7D"/>
    <w:rsid w:val="00E3120A"/>
    <w:rsid w:val="00E3447C"/>
    <w:rsid w:val="00E36748"/>
    <w:rsid w:val="00E37FFB"/>
    <w:rsid w:val="00E411D8"/>
    <w:rsid w:val="00E50107"/>
    <w:rsid w:val="00E57C18"/>
    <w:rsid w:val="00E80FF2"/>
    <w:rsid w:val="00E81AEF"/>
    <w:rsid w:val="00EA43E4"/>
    <w:rsid w:val="00EA5CBE"/>
    <w:rsid w:val="00EA61CA"/>
    <w:rsid w:val="00EB2E72"/>
    <w:rsid w:val="00EB4024"/>
    <w:rsid w:val="00EB4569"/>
    <w:rsid w:val="00EC342B"/>
    <w:rsid w:val="00EC6ED0"/>
    <w:rsid w:val="00F13516"/>
    <w:rsid w:val="00F14440"/>
    <w:rsid w:val="00F16EE5"/>
    <w:rsid w:val="00F209BC"/>
    <w:rsid w:val="00F220F5"/>
    <w:rsid w:val="00F26F24"/>
    <w:rsid w:val="00F35573"/>
    <w:rsid w:val="00F4636F"/>
    <w:rsid w:val="00F51557"/>
    <w:rsid w:val="00F7267E"/>
    <w:rsid w:val="00F80E5A"/>
    <w:rsid w:val="00F82BE0"/>
    <w:rsid w:val="00F85BAF"/>
    <w:rsid w:val="00F90419"/>
    <w:rsid w:val="00FC39C4"/>
    <w:rsid w:val="00FD662B"/>
    <w:rsid w:val="00FE08B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F6A0"/>
  <w15:chartTrackingRefBased/>
  <w15:docId w15:val="{9BEBE011-6798-42B8-B016-7FDBC302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E2F"/>
    <w:pPr>
      <w:spacing w:after="200" w:line="276" w:lineRule="auto"/>
    </w:pPr>
    <w:rPr>
      <w:rFonts w:eastAsia="Times New Roman"/>
      <w:sz w:val="22"/>
      <w:szCs w:val="22"/>
    </w:rPr>
  </w:style>
  <w:style w:type="paragraph" w:styleId="Ttulo2">
    <w:name w:val="heading 2"/>
    <w:basedOn w:val="TDC2"/>
    <w:next w:val="Normal"/>
    <w:link w:val="Ttulo2Car"/>
    <w:uiPriority w:val="2"/>
    <w:qFormat/>
    <w:rsid w:val="000850BB"/>
    <w:pPr>
      <w:numPr>
        <w:ilvl w:val="1"/>
      </w:numPr>
      <w:spacing w:after="200" w:line="360" w:lineRule="auto"/>
      <w:ind w:left="220"/>
      <w:jc w:val="both"/>
      <w:outlineLvl w:val="1"/>
    </w:pPr>
    <w:rPr>
      <w:rFonts w:eastAsia="Calibri"/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E2F"/>
    <w:pPr>
      <w:ind w:left="720"/>
      <w:contextualSpacing/>
    </w:pPr>
  </w:style>
  <w:style w:type="table" w:customStyle="1" w:styleId="PlainTable22">
    <w:name w:val="Plain Table 22"/>
    <w:basedOn w:val="Tablanormal"/>
    <w:uiPriority w:val="42"/>
    <w:rsid w:val="000B5E2F"/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3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0863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uiPriority w:val="99"/>
    <w:semiHidden/>
    <w:unhideWhenUsed/>
    <w:rsid w:val="00EB4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456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EB4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573"/>
    <w:pPr>
      <w:spacing w:after="200"/>
    </w:pPr>
    <w:rPr>
      <w:rFonts w:eastAsia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F35573"/>
    <w:rPr>
      <w:rFonts w:eastAsia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97569B"/>
    <w:rPr>
      <w:rFonts w:eastAsia="Times New Roman"/>
      <w:sz w:val="22"/>
      <w:szCs w:val="22"/>
    </w:rPr>
  </w:style>
  <w:style w:type="character" w:styleId="Hipervnculo">
    <w:name w:val="Hyperlink"/>
    <w:unhideWhenUsed/>
    <w:rsid w:val="007C7AB8"/>
    <w:rPr>
      <w:color w:val="0000FF"/>
      <w:u w:val="single"/>
    </w:rPr>
  </w:style>
  <w:style w:type="character" w:styleId="nfasis">
    <w:name w:val="Emphasis"/>
    <w:uiPriority w:val="20"/>
    <w:qFormat/>
    <w:rsid w:val="007C7AB8"/>
    <w:rPr>
      <w:i/>
      <w:iCs/>
    </w:rPr>
  </w:style>
  <w:style w:type="character" w:customStyle="1" w:styleId="Ttulo2Car">
    <w:name w:val="Título 2 Car"/>
    <w:link w:val="Ttulo2"/>
    <w:uiPriority w:val="2"/>
    <w:rsid w:val="000850BB"/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850BB"/>
    <w:pPr>
      <w:spacing w:after="100"/>
      <w:ind w:left="220"/>
    </w:pPr>
  </w:style>
  <w:style w:type="paragraph" w:styleId="Encabezado">
    <w:name w:val="header"/>
    <w:basedOn w:val="Normal"/>
    <w:link w:val="EncabezadoCar"/>
    <w:rsid w:val="000E727B"/>
    <w:pPr>
      <w:widowControl w:val="0"/>
      <w:tabs>
        <w:tab w:val="center" w:pos="4419"/>
        <w:tab w:val="right" w:pos="8838"/>
      </w:tabs>
      <w:spacing w:after="120" w:line="480" w:lineRule="auto"/>
      <w:jc w:val="both"/>
    </w:pPr>
    <w:rPr>
      <w:rFonts w:ascii="Arial" w:hAnsi="Arial"/>
      <w:sz w:val="24"/>
      <w:szCs w:val="20"/>
      <w:lang w:val="ca-ES"/>
    </w:rPr>
  </w:style>
  <w:style w:type="character" w:customStyle="1" w:styleId="EncabezadoCar">
    <w:name w:val="Encabezado Car"/>
    <w:link w:val="Encabezado"/>
    <w:rsid w:val="000E727B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0E727B"/>
    <w:pPr>
      <w:widowControl w:val="0"/>
      <w:spacing w:before="120" w:after="120" w:line="360" w:lineRule="auto"/>
      <w:jc w:val="both"/>
    </w:pPr>
    <w:rPr>
      <w:rFonts w:ascii="Arial" w:hAnsi="Arial"/>
      <w:szCs w:val="20"/>
      <w:lang w:val="en-GB"/>
    </w:rPr>
  </w:style>
  <w:style w:type="character" w:customStyle="1" w:styleId="TextoindependienteCar">
    <w:name w:val="Texto independiente Car"/>
    <w:link w:val="Textoindependiente"/>
    <w:rsid w:val="000E727B"/>
    <w:rPr>
      <w:rFonts w:ascii="Arial" w:eastAsia="Times New Roman" w:hAnsi="Arial" w:cs="Times New Roman"/>
      <w:szCs w:val="20"/>
      <w:lang w:val="en-GB" w:eastAsia="es-ES"/>
    </w:rPr>
  </w:style>
  <w:style w:type="paragraph" w:styleId="Textoindependiente2">
    <w:name w:val="Body Text 2"/>
    <w:basedOn w:val="Normal"/>
    <w:link w:val="Textoindependiente2Car"/>
    <w:rsid w:val="000E727B"/>
    <w:pPr>
      <w:widowControl w:val="0"/>
      <w:spacing w:before="120" w:after="0" w:line="240" w:lineRule="auto"/>
      <w:jc w:val="center"/>
    </w:pPr>
    <w:rPr>
      <w:rFonts w:ascii="Arial" w:hAnsi="Arial"/>
      <w:sz w:val="24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0E727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5D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35D9A"/>
    <w:rPr>
      <w:rFonts w:eastAsia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735D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7163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perezh@ivia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F3EC-F2B0-4FFC-829A-0CE5255A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mailto:mperezh@ivia.es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Urbaneja</dc:creator>
  <cp:keywords/>
  <dc:description/>
  <cp:lastModifiedBy>Meritxell Pérez-Hedo</cp:lastModifiedBy>
  <cp:revision>3</cp:revision>
  <cp:lastPrinted>2020-06-25T09:41:00Z</cp:lastPrinted>
  <dcterms:created xsi:type="dcterms:W3CDTF">2020-12-21T20:06:00Z</dcterms:created>
  <dcterms:modified xsi:type="dcterms:W3CDTF">2020-12-21T20:06:00Z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http://www.zotero.org/styles/biological-control</vt:lpwstr>
  </property>
  <property fmtid="{D5CDD505-2E9C-101B-9397-08002B2CF9AE}" pid="9" name="Mendeley Recent Style Name 3_1">
    <vt:lpwstr>Biological Control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http://www.zotero.org/styles/journal-of-pest-science</vt:lpwstr>
  </property>
  <property fmtid="{D5CDD505-2E9C-101B-9397-08002B2CF9AE}" pid="17" name="Mendeley Recent Style Name 7_1">
    <vt:lpwstr>Journal of Pest Science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http://www.zotero.org/styles/nature-communications</vt:lpwstr>
  </property>
  <property fmtid="{D5CDD505-2E9C-101B-9397-08002B2CF9AE}" pid="21" name="Mendeley Recent Style Name 9_1">
    <vt:lpwstr>Nature Communications</vt:lpwstr>
  </property>
</Properties>
</file>