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EC" w:rsidRDefault="00E844EC" w:rsidP="00E844EC">
      <w:pPr>
        <w:spacing w:line="360" w:lineRule="auto"/>
        <w:rPr>
          <w:lang w:val="en-US"/>
        </w:rPr>
      </w:pPr>
      <w:r w:rsidRPr="00E844EC">
        <w:rPr>
          <w:b/>
          <w:lang w:val="en-US"/>
        </w:rPr>
        <w:t>Appendix S1.</w:t>
      </w:r>
      <w:r w:rsidRPr="00E844EC">
        <w:rPr>
          <w:lang w:val="en-US"/>
        </w:rPr>
        <w:t xml:space="preserve"> Detailed information on sites sampled.</w:t>
      </w:r>
    </w:p>
    <w:p w:rsidR="00AC2355" w:rsidRDefault="00AC2355" w:rsidP="00AC2355">
      <w:pPr>
        <w:spacing w:line="360" w:lineRule="auto"/>
        <w:ind w:firstLine="709"/>
        <w:rPr>
          <w:lang w:val="en-US"/>
        </w:rPr>
      </w:pPr>
      <w:proofErr w:type="spellStart"/>
      <w:r>
        <w:rPr>
          <w:b/>
          <w:lang w:val="en-US"/>
        </w:rPr>
        <w:t>Turvo</w:t>
      </w:r>
      <w:proofErr w:type="spellEnd"/>
      <w:r>
        <w:rPr>
          <w:b/>
          <w:lang w:val="en-US"/>
        </w:rPr>
        <w:t xml:space="preserve"> State Park (TSPK).</w:t>
      </w:r>
      <w:r>
        <w:rPr>
          <w:lang w:val="en-US"/>
        </w:rPr>
        <w:t xml:space="preserve"> The TSPK is a</w:t>
      </w:r>
      <w:r w:rsidRPr="00F71E45">
        <w:rPr>
          <w:lang w:val="en-US"/>
        </w:rPr>
        <w:t xml:space="preserve"> </w:t>
      </w:r>
      <w:r>
        <w:rPr>
          <w:lang w:val="en-US"/>
        </w:rPr>
        <w:t xml:space="preserve">large fragment (17,500 ha) located at </w:t>
      </w:r>
      <w:proofErr w:type="spellStart"/>
      <w:r>
        <w:rPr>
          <w:lang w:val="en-US"/>
        </w:rPr>
        <w:t>Derrubadas</w:t>
      </w:r>
      <w:proofErr w:type="spellEnd"/>
      <w:r>
        <w:rPr>
          <w:lang w:val="en-US"/>
        </w:rPr>
        <w:t xml:space="preserve"> city (</w:t>
      </w:r>
      <w:r>
        <w:rPr>
          <w:rFonts w:eastAsia="Times New Roman" w:cs="Times New Roman"/>
          <w:lang w:val="en-US"/>
        </w:rPr>
        <w:t>27°12’17”S, 53°52’57</w:t>
      </w:r>
      <w:r w:rsidRPr="00F71E45">
        <w:rPr>
          <w:rFonts w:eastAsia="Times New Roman" w:cs="Times New Roman"/>
          <w:lang w:val="en-US"/>
        </w:rPr>
        <w:t>”</w:t>
      </w:r>
      <w:r>
        <w:rPr>
          <w:rFonts w:eastAsia="Times New Roman" w:cs="Times New Roman"/>
          <w:lang w:val="en-US"/>
        </w:rPr>
        <w:t>W</w:t>
      </w:r>
      <w:r>
        <w:rPr>
          <w:lang w:val="en-US"/>
        </w:rPr>
        <w:t xml:space="preserve">), at northwest of Rio Grande do </w:t>
      </w:r>
      <w:proofErr w:type="spellStart"/>
      <w:r>
        <w:rPr>
          <w:lang w:val="en-US"/>
        </w:rPr>
        <w:t>Sul</w:t>
      </w:r>
      <w:proofErr w:type="spellEnd"/>
      <w:r>
        <w:rPr>
          <w:lang w:val="en-US"/>
        </w:rPr>
        <w:t>.</w:t>
      </w:r>
      <w:r w:rsidRPr="00F71E45">
        <w:rPr>
          <w:lang w:val="en-US"/>
        </w:rPr>
        <w:t xml:space="preserve"> Its boundaries include the Santa Catari</w:t>
      </w:r>
      <w:r>
        <w:rPr>
          <w:lang w:val="en-US"/>
        </w:rPr>
        <w:t xml:space="preserve">na </w:t>
      </w:r>
      <w:r w:rsidRPr="00F71E45">
        <w:rPr>
          <w:lang w:val="en-US"/>
        </w:rPr>
        <w:t xml:space="preserve">state </w:t>
      </w:r>
      <w:r>
        <w:rPr>
          <w:lang w:val="en-US"/>
        </w:rPr>
        <w:t>(north) and Argentina (west)</w:t>
      </w:r>
      <w:r w:rsidRPr="00F71E45">
        <w:rPr>
          <w:lang w:val="en-US"/>
        </w:rPr>
        <w:t xml:space="preserve">, </w:t>
      </w:r>
      <w:r>
        <w:rPr>
          <w:lang w:val="en-US"/>
        </w:rPr>
        <w:t>following the</w:t>
      </w:r>
      <w:r w:rsidRPr="00F71E45">
        <w:rPr>
          <w:lang w:val="en-US"/>
        </w:rPr>
        <w:t xml:space="preserve"> Uruguay River</w:t>
      </w:r>
      <w:r>
        <w:rPr>
          <w:lang w:val="en-US"/>
        </w:rPr>
        <w:t xml:space="preserve"> with an elevation between 300 and 450 m a.s.l</w:t>
      </w:r>
      <w:r w:rsidRPr="00F71E45">
        <w:rPr>
          <w:lang w:val="en-US"/>
        </w:rPr>
        <w:t xml:space="preserve">. </w:t>
      </w:r>
      <w:r>
        <w:rPr>
          <w:lang w:val="en-US"/>
        </w:rPr>
        <w:t xml:space="preserve">It </w:t>
      </w:r>
      <w:r w:rsidRPr="008A71AE">
        <w:rPr>
          <w:lang w:val="en-US"/>
        </w:rPr>
        <w:t xml:space="preserve">is the last refuge for </w:t>
      </w:r>
      <w:r>
        <w:rPr>
          <w:lang w:val="en-US"/>
        </w:rPr>
        <w:t xml:space="preserve">large </w:t>
      </w:r>
      <w:r w:rsidRPr="008A71AE">
        <w:rPr>
          <w:lang w:val="en-US"/>
        </w:rPr>
        <w:t>animals such as jaguar</w:t>
      </w:r>
      <w:r>
        <w:rPr>
          <w:lang w:val="en-US"/>
        </w:rPr>
        <w:t xml:space="preserve"> (</w:t>
      </w:r>
      <w:proofErr w:type="spellStart"/>
      <w:r w:rsidRPr="008A71AE">
        <w:rPr>
          <w:i/>
          <w:lang w:val="en-US"/>
        </w:rPr>
        <w:t>Panthera</w:t>
      </w:r>
      <w:proofErr w:type="spellEnd"/>
      <w:r w:rsidRPr="008A71AE">
        <w:rPr>
          <w:i/>
          <w:lang w:val="en-US"/>
        </w:rPr>
        <w:t xml:space="preserve"> </w:t>
      </w:r>
      <w:proofErr w:type="spellStart"/>
      <w:r w:rsidRPr="008A71AE">
        <w:rPr>
          <w:i/>
          <w:lang w:val="en-US"/>
        </w:rPr>
        <w:t>onca</w:t>
      </w:r>
      <w:proofErr w:type="spellEnd"/>
      <w:r>
        <w:rPr>
          <w:lang w:val="en-US"/>
        </w:rPr>
        <w:t xml:space="preserve"> </w:t>
      </w:r>
      <w:r w:rsidRPr="008A71AE">
        <w:rPr>
          <w:lang w:val="en-US"/>
        </w:rPr>
        <w:t>(Linnaeus, 1758)</w:t>
      </w:r>
      <w:r>
        <w:rPr>
          <w:lang w:val="en-US"/>
        </w:rPr>
        <w:t>)</w:t>
      </w:r>
      <w:r w:rsidRPr="008A71AE">
        <w:rPr>
          <w:lang w:val="en-US"/>
        </w:rPr>
        <w:t xml:space="preserve">, tapir </w:t>
      </w:r>
      <w:r>
        <w:rPr>
          <w:lang w:val="en-US"/>
        </w:rPr>
        <w:t>(</w:t>
      </w:r>
      <w:proofErr w:type="spellStart"/>
      <w:r w:rsidRPr="008A71AE">
        <w:rPr>
          <w:i/>
          <w:lang w:val="en-US"/>
        </w:rPr>
        <w:t>Tapirus</w:t>
      </w:r>
      <w:proofErr w:type="spellEnd"/>
      <w:r w:rsidRPr="008A71AE">
        <w:rPr>
          <w:i/>
          <w:lang w:val="en-US"/>
        </w:rPr>
        <w:t xml:space="preserve"> </w:t>
      </w:r>
      <w:proofErr w:type="spellStart"/>
      <w:r w:rsidRPr="008A71AE">
        <w:rPr>
          <w:i/>
          <w:lang w:val="en-US"/>
        </w:rPr>
        <w:t>terrestris</w:t>
      </w:r>
      <w:proofErr w:type="spellEnd"/>
      <w:r>
        <w:rPr>
          <w:lang w:val="en-US"/>
        </w:rPr>
        <w:t xml:space="preserve"> </w:t>
      </w:r>
      <w:r w:rsidRPr="008A71AE">
        <w:rPr>
          <w:lang w:val="en-US"/>
        </w:rPr>
        <w:t>Linnaeus, 1758</w:t>
      </w:r>
      <w:r>
        <w:rPr>
          <w:lang w:val="en-US"/>
        </w:rPr>
        <w:t xml:space="preserve">), </w:t>
      </w:r>
      <w:r w:rsidRPr="008A71AE">
        <w:rPr>
          <w:lang w:val="en-US"/>
        </w:rPr>
        <w:t xml:space="preserve">and harpy </w:t>
      </w:r>
      <w:r>
        <w:rPr>
          <w:lang w:val="en-US"/>
        </w:rPr>
        <w:t>eagle (</w:t>
      </w:r>
      <w:proofErr w:type="spellStart"/>
      <w:r w:rsidRPr="008A71AE">
        <w:rPr>
          <w:i/>
          <w:lang w:val="en-US"/>
        </w:rPr>
        <w:t>Harpia</w:t>
      </w:r>
      <w:proofErr w:type="spellEnd"/>
      <w:r w:rsidRPr="008A71AE">
        <w:rPr>
          <w:i/>
          <w:lang w:val="en-US"/>
        </w:rPr>
        <w:t xml:space="preserve"> </w:t>
      </w:r>
      <w:proofErr w:type="spellStart"/>
      <w:r w:rsidRPr="008A71AE">
        <w:rPr>
          <w:i/>
          <w:lang w:val="en-US"/>
        </w:rPr>
        <w:t>harpyja</w:t>
      </w:r>
      <w:proofErr w:type="spellEnd"/>
      <w:r>
        <w:rPr>
          <w:lang w:val="en-US"/>
        </w:rPr>
        <w:t xml:space="preserve"> </w:t>
      </w:r>
      <w:r w:rsidRPr="008A71AE">
        <w:rPr>
          <w:lang w:val="en-US"/>
        </w:rPr>
        <w:t xml:space="preserve">Linnaeus, 1758) in Rio Grande do </w:t>
      </w:r>
      <w:proofErr w:type="spellStart"/>
      <w:r w:rsidRPr="008A71AE">
        <w:rPr>
          <w:lang w:val="en-US"/>
        </w:rPr>
        <w:t>Sul</w:t>
      </w:r>
      <w:proofErr w:type="spellEnd"/>
      <w:r w:rsidRPr="008A71AE">
        <w:rPr>
          <w:lang w:val="en-US"/>
        </w:rPr>
        <w:t xml:space="preserve">. For these attributes, it </w:t>
      </w:r>
      <w:proofErr w:type="gramStart"/>
      <w:r w:rsidRPr="008A71AE">
        <w:rPr>
          <w:lang w:val="en-US"/>
        </w:rPr>
        <w:t>is considered</w:t>
      </w:r>
      <w:proofErr w:type="gramEnd"/>
      <w:r w:rsidRPr="008A71AE">
        <w:rPr>
          <w:lang w:val="en-US"/>
        </w:rPr>
        <w:t xml:space="preserve"> </w:t>
      </w:r>
      <w:r>
        <w:rPr>
          <w:lang w:val="en-US"/>
        </w:rPr>
        <w:t xml:space="preserve">one of </w:t>
      </w:r>
      <w:r w:rsidRPr="008A71AE">
        <w:rPr>
          <w:lang w:val="en-US"/>
        </w:rPr>
        <w:t>the most important area</w:t>
      </w:r>
      <w:r>
        <w:rPr>
          <w:lang w:val="en-US"/>
        </w:rPr>
        <w:t>s</w:t>
      </w:r>
      <w:r w:rsidRPr="008A71AE">
        <w:rPr>
          <w:lang w:val="en-US"/>
        </w:rPr>
        <w:t xml:space="preserve"> for </w:t>
      </w:r>
      <w:r>
        <w:rPr>
          <w:lang w:val="en-US"/>
        </w:rPr>
        <w:t xml:space="preserve">the </w:t>
      </w:r>
      <w:r w:rsidRPr="008A71AE">
        <w:rPr>
          <w:lang w:val="en-US"/>
        </w:rPr>
        <w:t xml:space="preserve">conservation of </w:t>
      </w:r>
      <w:r>
        <w:rPr>
          <w:lang w:val="en-US"/>
        </w:rPr>
        <w:t xml:space="preserve">Rio Grande do </w:t>
      </w:r>
      <w:proofErr w:type="spellStart"/>
      <w:r>
        <w:rPr>
          <w:lang w:val="en-US"/>
        </w:rPr>
        <w:t>Sul</w:t>
      </w:r>
      <w:proofErr w:type="spellEnd"/>
      <w:r w:rsidRPr="008A71AE">
        <w:rPr>
          <w:lang w:val="en-US"/>
        </w:rPr>
        <w:t xml:space="preserve"> threatened fauna.</w:t>
      </w:r>
    </w:p>
    <w:p w:rsidR="00AC2355" w:rsidRDefault="00AC2355" w:rsidP="00AC2355">
      <w:pPr>
        <w:spacing w:line="360" w:lineRule="auto"/>
        <w:ind w:firstLine="709"/>
        <w:rPr>
          <w:lang w:val="en-US"/>
        </w:rPr>
      </w:pPr>
      <w:r w:rsidRPr="00F71E45">
        <w:rPr>
          <w:b/>
          <w:lang w:val="en-US"/>
        </w:rPr>
        <w:t>Moreno Fortes Biological Reserve (MFBR).</w:t>
      </w:r>
      <w:r>
        <w:rPr>
          <w:lang w:val="en-US"/>
        </w:rPr>
        <w:t xml:space="preserve"> The MFBR is an isolated and protected forest fragment located at </w:t>
      </w:r>
      <w:proofErr w:type="spellStart"/>
      <w:r>
        <w:rPr>
          <w:lang w:val="en-US"/>
        </w:rPr>
        <w:t>Dois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Irmãos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Missões</w:t>
      </w:r>
      <w:proofErr w:type="spellEnd"/>
      <w:r>
        <w:rPr>
          <w:lang w:val="en-US"/>
        </w:rPr>
        <w:t xml:space="preserve"> city (27º36’31”</w:t>
      </w:r>
      <w:r w:rsidRPr="00F71E45">
        <w:rPr>
          <w:lang w:val="en-US"/>
        </w:rPr>
        <w:t>S</w:t>
      </w:r>
      <w:r>
        <w:rPr>
          <w:lang w:val="en-US"/>
        </w:rPr>
        <w:t>,</w:t>
      </w:r>
      <w:r w:rsidRPr="00F71E45">
        <w:rPr>
          <w:lang w:val="en-US"/>
        </w:rPr>
        <w:t xml:space="preserve"> </w:t>
      </w:r>
      <w:r>
        <w:rPr>
          <w:lang w:val="en-US"/>
        </w:rPr>
        <w:t>53º30’04”W</w:t>
      </w:r>
      <w:r w:rsidRPr="00F71E45">
        <w:rPr>
          <w:lang w:val="en-US"/>
        </w:rPr>
        <w:t>)</w:t>
      </w:r>
      <w:r>
        <w:rPr>
          <w:lang w:val="en-US"/>
        </w:rPr>
        <w:t xml:space="preserve">, northwest of Rio Grande do </w:t>
      </w:r>
      <w:proofErr w:type="spellStart"/>
      <w:r>
        <w:rPr>
          <w:lang w:val="en-US"/>
        </w:rPr>
        <w:t>Sul</w:t>
      </w:r>
      <w:proofErr w:type="spellEnd"/>
      <w:r>
        <w:rPr>
          <w:lang w:val="en-US"/>
        </w:rPr>
        <w:t xml:space="preserve">, with elevation ranging from 400 to 600 m a.s.l. Its approximate area is </w:t>
      </w:r>
      <w:r w:rsidRPr="00F71E45">
        <w:rPr>
          <w:lang w:val="en-US"/>
        </w:rPr>
        <w:t>458.6 ha</w:t>
      </w:r>
      <w:r>
        <w:rPr>
          <w:lang w:val="en-US"/>
        </w:rPr>
        <w:t xml:space="preserve"> and the vegetation is predominantly the Seasonal Deciduous Forest, with some species belonging to the Mixed Ombrophilous Forest (e.g. </w:t>
      </w:r>
      <w:r w:rsidRPr="00E410A5">
        <w:rPr>
          <w:i/>
          <w:lang w:val="en-US"/>
        </w:rPr>
        <w:t>Araucaria angustifolia</w:t>
      </w:r>
      <w:r>
        <w:rPr>
          <w:lang w:val="en-US"/>
        </w:rPr>
        <w:t xml:space="preserve"> </w:t>
      </w:r>
      <w:r w:rsidRPr="00E410A5">
        <w:rPr>
          <w:lang w:val="en-US"/>
        </w:rPr>
        <w:t>(</w:t>
      </w:r>
      <w:proofErr w:type="spellStart"/>
      <w:r w:rsidRPr="00E410A5">
        <w:rPr>
          <w:lang w:val="en-US"/>
        </w:rPr>
        <w:t>Bertol</w:t>
      </w:r>
      <w:proofErr w:type="spellEnd"/>
      <w:r w:rsidRPr="00E410A5">
        <w:rPr>
          <w:lang w:val="en-US"/>
        </w:rPr>
        <w:t xml:space="preserve">.) </w:t>
      </w:r>
      <w:proofErr w:type="spellStart"/>
      <w:r w:rsidRPr="00E410A5">
        <w:rPr>
          <w:lang w:val="en-US"/>
        </w:rPr>
        <w:t>Kuntze</w:t>
      </w:r>
      <w:proofErr w:type="spellEnd"/>
      <w:r>
        <w:rPr>
          <w:lang w:val="en-US"/>
        </w:rPr>
        <w:t>,</w:t>
      </w:r>
      <w:r w:rsidRPr="00E410A5">
        <w:rPr>
          <w:lang w:val="en-US"/>
        </w:rPr>
        <w:t xml:space="preserve"> 1898</w:t>
      </w:r>
      <w:r>
        <w:rPr>
          <w:lang w:val="en-US"/>
        </w:rPr>
        <w:t xml:space="preserve">). </w:t>
      </w:r>
    </w:p>
    <w:p w:rsidR="00922DFF" w:rsidRDefault="00AC2355" w:rsidP="00922DFF">
      <w:pPr>
        <w:spacing w:line="360" w:lineRule="auto"/>
        <w:ind w:firstLine="709"/>
        <w:rPr>
          <w:lang w:val="en-US"/>
        </w:rPr>
      </w:pPr>
      <w:r w:rsidRPr="00A8752B">
        <w:rPr>
          <w:b/>
          <w:lang w:val="en-US"/>
        </w:rPr>
        <w:t>Morro do Cerrito (MOCE).</w:t>
      </w:r>
      <w:r w:rsidRPr="00A8752B">
        <w:rPr>
          <w:lang w:val="en-US"/>
        </w:rPr>
        <w:t xml:space="preserve"> </w:t>
      </w:r>
      <w:r w:rsidRPr="002E2602">
        <w:rPr>
          <w:lang w:val="en-US"/>
        </w:rPr>
        <w:t xml:space="preserve">The MOCE is an isolated </w:t>
      </w:r>
      <w:r>
        <w:rPr>
          <w:lang w:val="en-US"/>
        </w:rPr>
        <w:t>forest fragment</w:t>
      </w:r>
      <w:r w:rsidRPr="002E2602">
        <w:rPr>
          <w:lang w:val="en-US"/>
        </w:rPr>
        <w:t xml:space="preserve"> </w:t>
      </w:r>
      <w:r>
        <w:rPr>
          <w:lang w:val="en-US"/>
        </w:rPr>
        <w:t>located at Santa Maria city</w:t>
      </w:r>
      <w:r w:rsidRPr="002E2602">
        <w:rPr>
          <w:lang w:val="en-US"/>
        </w:rPr>
        <w:t xml:space="preserve"> (29°42’07”S, 53°47’08”W)</w:t>
      </w:r>
      <w:r>
        <w:rPr>
          <w:lang w:val="en-US"/>
        </w:rPr>
        <w:t>, c</w:t>
      </w:r>
      <w:r w:rsidRPr="002E2602">
        <w:rPr>
          <w:lang w:val="en-US"/>
        </w:rPr>
        <w:t>entral</w:t>
      </w:r>
      <w:r>
        <w:rPr>
          <w:lang w:val="en-US"/>
        </w:rPr>
        <w:t xml:space="preserve"> region</w:t>
      </w:r>
      <w:r w:rsidRPr="002E2602">
        <w:rPr>
          <w:lang w:val="en-US"/>
        </w:rPr>
        <w:t xml:space="preserve"> of Rio</w:t>
      </w:r>
      <w:r>
        <w:rPr>
          <w:lang w:val="en-US"/>
        </w:rPr>
        <w:t xml:space="preserve"> </w:t>
      </w:r>
      <w:r w:rsidRPr="002E2602">
        <w:rPr>
          <w:lang w:val="en-US"/>
        </w:rPr>
        <w:t xml:space="preserve">Grande do </w:t>
      </w:r>
      <w:proofErr w:type="spellStart"/>
      <w:r w:rsidRPr="002E2602">
        <w:rPr>
          <w:lang w:val="en-US"/>
        </w:rPr>
        <w:t>Sul</w:t>
      </w:r>
      <w:proofErr w:type="spellEnd"/>
      <w:r w:rsidRPr="002E2602">
        <w:rPr>
          <w:lang w:val="en-US"/>
        </w:rPr>
        <w:t>.</w:t>
      </w:r>
      <w:r>
        <w:rPr>
          <w:lang w:val="en-US"/>
        </w:rPr>
        <w:t xml:space="preserve"> </w:t>
      </w:r>
      <w:r w:rsidRPr="002E2602">
        <w:rPr>
          <w:lang w:val="en-US"/>
        </w:rPr>
        <w:t>Its approximate</w:t>
      </w:r>
      <w:r>
        <w:rPr>
          <w:lang w:val="en-US"/>
        </w:rPr>
        <w:t xml:space="preserve"> </w:t>
      </w:r>
      <w:r w:rsidRPr="002E2602">
        <w:rPr>
          <w:lang w:val="en-US"/>
        </w:rPr>
        <w:t>area i</w:t>
      </w:r>
      <w:r>
        <w:rPr>
          <w:lang w:val="en-US"/>
        </w:rPr>
        <w:t>s 141.5 ha and</w:t>
      </w:r>
      <w:r w:rsidRPr="002E2602">
        <w:rPr>
          <w:lang w:val="en-US"/>
        </w:rPr>
        <w:t xml:space="preserve"> </w:t>
      </w:r>
      <w:r>
        <w:rPr>
          <w:lang w:val="en-US"/>
        </w:rPr>
        <w:t>elevation varies between 150 and 240</w:t>
      </w:r>
      <w:r w:rsidRPr="002E2602">
        <w:rPr>
          <w:lang w:val="en-US"/>
        </w:rPr>
        <w:t xml:space="preserve"> m</w:t>
      </w:r>
      <w:r>
        <w:rPr>
          <w:lang w:val="en-US"/>
        </w:rPr>
        <w:t xml:space="preserve"> a.s.l. In the last decades, its forest vegetation </w:t>
      </w:r>
      <w:proofErr w:type="gramStart"/>
      <w:r>
        <w:rPr>
          <w:lang w:val="en-US"/>
        </w:rPr>
        <w:t>has been transformed</w:t>
      </w:r>
      <w:proofErr w:type="gramEnd"/>
      <w:r>
        <w:rPr>
          <w:lang w:val="en-US"/>
        </w:rPr>
        <w:t xml:space="preserve"> into fields and residences, while </w:t>
      </w:r>
      <w:r w:rsidRPr="001140A6">
        <w:rPr>
          <w:lang w:val="en-US"/>
        </w:rPr>
        <w:t>human buildings dominate its surroundings</w:t>
      </w:r>
      <w:r>
        <w:rPr>
          <w:lang w:val="en-US"/>
        </w:rPr>
        <w:t>.</w:t>
      </w:r>
    </w:p>
    <w:p w:rsidR="00864739" w:rsidRDefault="00AC2355" w:rsidP="00922DFF">
      <w:pPr>
        <w:spacing w:line="360" w:lineRule="auto"/>
        <w:ind w:firstLine="709"/>
        <w:rPr>
          <w:lang w:val="en-US"/>
        </w:rPr>
      </w:pPr>
      <w:r w:rsidRPr="004C2B6B">
        <w:rPr>
          <w:b/>
          <w:lang w:val="en-US"/>
        </w:rPr>
        <w:t xml:space="preserve">Val </w:t>
      </w:r>
      <w:proofErr w:type="spellStart"/>
      <w:r w:rsidRPr="004C2B6B">
        <w:rPr>
          <w:b/>
          <w:lang w:val="en-US"/>
        </w:rPr>
        <w:t>Feltrina</w:t>
      </w:r>
      <w:proofErr w:type="spellEnd"/>
      <w:r w:rsidRPr="004C2B6B">
        <w:rPr>
          <w:b/>
          <w:lang w:val="en-US"/>
        </w:rPr>
        <w:t xml:space="preserve"> (VAFE).</w:t>
      </w:r>
      <w:r>
        <w:rPr>
          <w:lang w:val="en-US"/>
        </w:rPr>
        <w:t xml:space="preserve"> </w:t>
      </w:r>
      <w:r w:rsidRPr="004C2B6B">
        <w:rPr>
          <w:lang w:val="en-US"/>
        </w:rPr>
        <w:t xml:space="preserve">The VAFE </w:t>
      </w:r>
      <w:r>
        <w:rPr>
          <w:lang w:val="en-US"/>
        </w:rPr>
        <w:t xml:space="preserve">is a non-isolated forest fragment located at </w:t>
      </w:r>
      <w:proofErr w:type="spellStart"/>
      <w:r>
        <w:rPr>
          <w:lang w:val="en-US"/>
        </w:rPr>
        <w:t>Silveira</w:t>
      </w:r>
      <w:proofErr w:type="spellEnd"/>
      <w:r>
        <w:rPr>
          <w:lang w:val="en-US"/>
        </w:rPr>
        <w:t xml:space="preserve"> Martins city (</w:t>
      </w:r>
      <w:r w:rsidRPr="004C2B6B">
        <w:rPr>
          <w:rFonts w:eastAsia="Times New Roman" w:cs="Times New Roman"/>
          <w:lang w:val="en-US"/>
        </w:rPr>
        <w:t>29º38’19”S, 53º36’58”W</w:t>
      </w:r>
      <w:r>
        <w:rPr>
          <w:lang w:val="en-US"/>
        </w:rPr>
        <w:t>),</w:t>
      </w:r>
      <w:r w:rsidRPr="00A82C6F">
        <w:rPr>
          <w:lang w:val="en-US"/>
        </w:rPr>
        <w:t xml:space="preserve"> </w:t>
      </w:r>
      <w:r>
        <w:rPr>
          <w:lang w:val="en-US"/>
        </w:rPr>
        <w:t>c</w:t>
      </w:r>
      <w:r w:rsidRPr="002E2602">
        <w:rPr>
          <w:lang w:val="en-US"/>
        </w:rPr>
        <w:t>entral</w:t>
      </w:r>
      <w:r>
        <w:rPr>
          <w:lang w:val="en-US"/>
        </w:rPr>
        <w:t xml:space="preserve"> region</w:t>
      </w:r>
      <w:r w:rsidRPr="002E2602">
        <w:rPr>
          <w:lang w:val="en-US"/>
        </w:rPr>
        <w:t xml:space="preserve"> of Rio</w:t>
      </w:r>
      <w:r>
        <w:rPr>
          <w:lang w:val="en-US"/>
        </w:rPr>
        <w:t xml:space="preserve"> </w:t>
      </w:r>
      <w:r w:rsidRPr="002E2602">
        <w:rPr>
          <w:lang w:val="en-US"/>
        </w:rPr>
        <w:t xml:space="preserve">Grande do </w:t>
      </w:r>
      <w:proofErr w:type="spellStart"/>
      <w:r w:rsidRPr="002E2602">
        <w:rPr>
          <w:lang w:val="en-US"/>
        </w:rPr>
        <w:t>Sul</w:t>
      </w:r>
      <w:proofErr w:type="spellEnd"/>
      <w:r>
        <w:rPr>
          <w:lang w:val="en-US"/>
        </w:rPr>
        <w:t>. Is highly fragmented approximate area is 1,960 ha, with an elevation between 150 and 480 m a.s.l. Agriculture and livestock dominate the surroundings.</w:t>
      </w:r>
    </w:p>
    <w:p w:rsidR="00F71E45" w:rsidRPr="00876C7E" w:rsidRDefault="00F71E45" w:rsidP="00876C7E">
      <w:pPr>
        <w:rPr>
          <w:lang w:val="en-US"/>
        </w:rPr>
      </w:pPr>
      <w:bookmarkStart w:id="0" w:name="_GoBack"/>
      <w:bookmarkEnd w:id="0"/>
    </w:p>
    <w:sectPr w:rsidR="00F71E45" w:rsidRPr="00876C7E" w:rsidSect="00B86AF6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7B"/>
    <w:rsid w:val="001140A6"/>
    <w:rsid w:val="001E1E52"/>
    <w:rsid w:val="001E3686"/>
    <w:rsid w:val="002E2602"/>
    <w:rsid w:val="00300879"/>
    <w:rsid w:val="00340F7E"/>
    <w:rsid w:val="00385925"/>
    <w:rsid w:val="003E1D5A"/>
    <w:rsid w:val="004A5DC6"/>
    <w:rsid w:val="004C2B6B"/>
    <w:rsid w:val="004D7C85"/>
    <w:rsid w:val="00722145"/>
    <w:rsid w:val="007A294B"/>
    <w:rsid w:val="007B75FE"/>
    <w:rsid w:val="00813415"/>
    <w:rsid w:val="008349E0"/>
    <w:rsid w:val="00843E7E"/>
    <w:rsid w:val="00864739"/>
    <w:rsid w:val="00876C7E"/>
    <w:rsid w:val="0089166D"/>
    <w:rsid w:val="008A71AE"/>
    <w:rsid w:val="00922DFF"/>
    <w:rsid w:val="009D48E6"/>
    <w:rsid w:val="00A47A7B"/>
    <w:rsid w:val="00A82C6F"/>
    <w:rsid w:val="00AC2355"/>
    <w:rsid w:val="00B86AF6"/>
    <w:rsid w:val="00B95BF0"/>
    <w:rsid w:val="00CB714B"/>
    <w:rsid w:val="00CF4251"/>
    <w:rsid w:val="00D7564A"/>
    <w:rsid w:val="00E410A5"/>
    <w:rsid w:val="00E844EC"/>
    <w:rsid w:val="00E97936"/>
    <w:rsid w:val="00EC159B"/>
    <w:rsid w:val="00F53E00"/>
    <w:rsid w:val="00F54E66"/>
    <w:rsid w:val="00F7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113D-6C64-409A-BA4C-B4B8B135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59B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C159B"/>
    <w:pPr>
      <w:keepNext/>
      <w:keepLines/>
      <w:spacing w:after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C159B"/>
    <w:pPr>
      <w:keepNext/>
      <w:keepLines/>
      <w:spacing w:after="240"/>
      <w:outlineLvl w:val="1"/>
    </w:pPr>
    <w:rPr>
      <w:rFonts w:eastAsiaTheme="majorEastAsia" w:cstheme="majorBidi"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C159B"/>
    <w:pPr>
      <w:keepNext/>
      <w:keepLines/>
      <w:spacing w:after="24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C159B"/>
    <w:pPr>
      <w:keepNext/>
      <w:keepLines/>
      <w:spacing w:after="240"/>
      <w:outlineLvl w:val="3"/>
    </w:pPr>
    <w:rPr>
      <w:rFonts w:eastAsiaTheme="majorEastAsia" w:cstheme="majorBidi"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159B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C159B"/>
    <w:rPr>
      <w:rFonts w:ascii="Times New Roman" w:eastAsiaTheme="majorEastAsia" w:hAnsi="Times New Roman" w:cstheme="majorBidi"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C159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C159B"/>
    <w:rPr>
      <w:rFonts w:ascii="Times New Roman" w:eastAsiaTheme="majorEastAsia" w:hAnsi="Times New Roman" w:cstheme="majorBidi"/>
      <w:iCs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813415"/>
    <w:pPr>
      <w:spacing w:after="100" w:line="259" w:lineRule="auto"/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813415"/>
    <w:pPr>
      <w:spacing w:after="100" w:line="259" w:lineRule="auto"/>
      <w:ind w:left="220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813415"/>
    <w:pPr>
      <w:spacing w:after="100" w:line="259" w:lineRule="auto"/>
      <w:ind w:left="440"/>
    </w:pPr>
    <w:rPr>
      <w:b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B95BF0"/>
    <w:pPr>
      <w:spacing w:after="100"/>
      <w:ind w:left="720"/>
    </w:pPr>
  </w:style>
  <w:style w:type="table" w:customStyle="1" w:styleId="TabelaSimples41">
    <w:name w:val="Tabela Simples 41"/>
    <w:basedOn w:val="Tabelanormal"/>
    <w:uiPriority w:val="44"/>
    <w:rsid w:val="00CB714B"/>
    <w:rPr>
      <w:rFonts w:ascii="Cambria" w:hAnsi="Cambria"/>
      <w:sz w:val="24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rPr>
        <w:rFonts w:ascii="Cambria" w:hAnsi="Cambria"/>
        <w:b w:val="0"/>
        <w:bCs/>
        <w:sz w:val="24"/>
      </w:rPr>
      <w:tblPr/>
      <w:tcPr>
        <w:tcBorders>
          <w:top w:val="single" w:sz="4" w:space="0" w:color="auto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bottom w:val="nil"/>
        </w:tcBorders>
      </w:tcPr>
    </w:tblStylePr>
    <w:tblStylePr w:type="firstCol">
      <w:rPr>
        <w:rFonts w:ascii="Cambria" w:hAnsi="Cambria"/>
        <w:b w:val="0"/>
        <w:bCs/>
        <w:sz w:val="24"/>
      </w:rPr>
    </w:tblStylePr>
    <w:tblStylePr w:type="lastCol">
      <w:rPr>
        <w:rFonts w:ascii="Cambria" w:hAnsi="Cambria"/>
        <w:b w:val="0"/>
        <w:bCs/>
        <w:sz w:val="24"/>
      </w:rPr>
    </w:tblStylePr>
    <w:tblStylePr w:type="band1Vert">
      <w:rPr>
        <w:rFonts w:ascii="Cambria" w:hAnsi="Cambria"/>
        <w:b w:val="0"/>
        <w:sz w:val="24"/>
      </w:rPr>
      <w:tblPr/>
      <w:tcPr>
        <w:shd w:val="clear" w:color="auto" w:fill="F2F2F2" w:themeFill="background1" w:themeFillShade="F2"/>
      </w:tcPr>
    </w:tblStylePr>
    <w:tblStylePr w:type="band2Vert">
      <w:rPr>
        <w:rFonts w:ascii="Cambria" w:hAnsi="Cambria"/>
        <w:b w:val="0"/>
        <w:sz w:val="24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916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</cp:lastModifiedBy>
  <cp:revision>4</cp:revision>
  <dcterms:created xsi:type="dcterms:W3CDTF">2018-02-14T12:08:00Z</dcterms:created>
  <dcterms:modified xsi:type="dcterms:W3CDTF">2018-07-27T19:38:00Z</dcterms:modified>
</cp:coreProperties>
</file>