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5B" w:rsidRDefault="0011695B" w:rsidP="0011695B">
      <w:r>
        <w:rPr>
          <w:b/>
          <w:szCs w:val="18"/>
        </w:rPr>
        <w:t xml:space="preserve"> </w:t>
      </w:r>
      <w:proofErr w:type="gramStart"/>
      <w:r>
        <w:rPr>
          <w:b/>
          <w:szCs w:val="18"/>
        </w:rPr>
        <w:t xml:space="preserve">Supplemental Table 1- </w:t>
      </w:r>
      <w:r>
        <w:t>CDC bottle bioassay results.</w:t>
      </w:r>
      <w:proofErr w:type="gramEnd"/>
      <w:r>
        <w:t xml:space="preserve"> The USDA strain was the strain used in our study</w:t>
      </w:r>
      <w:r>
        <w:t>,</w:t>
      </w:r>
      <w:r>
        <w:t xml:space="preserve"> while Zone 22 and Zone 43 refer to mosquito populations collected in East Baton Rouge Parish, LA that exhibited </w:t>
      </w:r>
      <w:r>
        <w:t>reduced insec</w:t>
      </w:r>
      <w:bookmarkStart w:id="0" w:name="_GoBack"/>
      <w:bookmarkEnd w:id="0"/>
      <w:r>
        <w:t xml:space="preserve">ticide </w:t>
      </w:r>
      <w:r>
        <w:t xml:space="preserve">sensitivity. The USDA strain was significantly more sensitive than the locally collected strains to concentrations of </w:t>
      </w:r>
      <w:r>
        <w:t>insecticides that represent the</w:t>
      </w:r>
      <w:r w:rsidRPr="0011695B">
        <w:t xml:space="preserve"> </w:t>
      </w:r>
      <w:r>
        <w:t xml:space="preserve">low and high label application rates of Scourge (® </w:t>
      </w:r>
      <w:proofErr w:type="spellStart"/>
      <w:r>
        <w:t>resmethrin</w:t>
      </w:r>
      <w:proofErr w:type="spellEnd"/>
      <w:r>
        <w:t xml:space="preserve">), Duet (® </w:t>
      </w:r>
      <w:proofErr w:type="spellStart"/>
      <w:r>
        <w:t>sumithrin</w:t>
      </w:r>
      <w:proofErr w:type="spellEnd"/>
      <w:r>
        <w:t xml:space="preserve"> and prallethrin) and the high label application rate of Aqua Pursuit (™ permethrin).</w:t>
      </w:r>
    </w:p>
    <w:p w:rsidR="0011695B" w:rsidRDefault="0011695B"/>
    <w:tbl>
      <w:tblPr>
        <w:tblpPr w:leftFromText="180" w:rightFromText="180" w:vertAnchor="page" w:horzAnchor="margin" w:tblpY="2637"/>
        <w:tblW w:w="15513" w:type="dxa"/>
        <w:tblLook w:val="04A0" w:firstRow="1" w:lastRow="0" w:firstColumn="1" w:lastColumn="0" w:noHBand="0" w:noVBand="1"/>
      </w:tblPr>
      <w:tblGrid>
        <w:gridCol w:w="2069"/>
        <w:gridCol w:w="989"/>
        <w:gridCol w:w="1001"/>
        <w:gridCol w:w="1001"/>
        <w:gridCol w:w="1001"/>
        <w:gridCol w:w="1001"/>
        <w:gridCol w:w="1001"/>
        <w:gridCol w:w="1001"/>
        <w:gridCol w:w="483"/>
        <w:gridCol w:w="5966"/>
      </w:tblGrid>
      <w:tr w:rsidR="0011695B" w:rsidRPr="0011695B" w:rsidTr="0011695B">
        <w:trPr>
          <w:trHeight w:val="34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Scourge 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0 min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15 min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30 min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45 min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60 min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75 min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90 min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n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 xml:space="preserve">9 </w:t>
            </w:r>
            <w:proofErr w:type="spellStart"/>
            <w:r w:rsidRPr="0011695B">
              <w:rPr>
                <w:rFonts w:eastAsia="Times New Roman" w:cs="Times New Roman"/>
                <w:color w:val="000000"/>
                <w:szCs w:val="18"/>
              </w:rPr>
              <w:t>ug</w:t>
            </w:r>
            <w:proofErr w:type="spellEnd"/>
            <w:r w:rsidRPr="0011695B">
              <w:rPr>
                <w:rFonts w:eastAsia="Times New Roman" w:cs="Times New Roman"/>
                <w:color w:val="000000"/>
                <w:szCs w:val="18"/>
              </w:rPr>
              <w:t xml:space="preserve">/ml </w:t>
            </w:r>
            <w:proofErr w:type="spellStart"/>
            <w:r w:rsidRPr="0011695B">
              <w:rPr>
                <w:rFonts w:eastAsia="Times New Roman" w:cs="Times New Roman"/>
                <w:color w:val="000000"/>
                <w:szCs w:val="18"/>
              </w:rPr>
              <w:t>resmethrin</w:t>
            </w:r>
            <w:proofErr w:type="spellEnd"/>
            <w:r w:rsidRPr="0011695B">
              <w:rPr>
                <w:rFonts w:eastAsia="Times New Roman" w:cs="Times New Roman"/>
                <w:color w:val="000000"/>
                <w:szCs w:val="18"/>
              </w:rPr>
              <w:t xml:space="preserve">; 27 </w:t>
            </w:r>
            <w:proofErr w:type="spellStart"/>
            <w:r w:rsidRPr="0011695B">
              <w:rPr>
                <w:rFonts w:eastAsia="Times New Roman" w:cs="Times New Roman"/>
                <w:color w:val="000000"/>
                <w:szCs w:val="18"/>
              </w:rPr>
              <w:t>ug</w:t>
            </w:r>
            <w:proofErr w:type="spellEnd"/>
            <w:r w:rsidRPr="0011695B">
              <w:rPr>
                <w:rFonts w:eastAsia="Times New Roman" w:cs="Times New Roman"/>
                <w:color w:val="000000"/>
                <w:szCs w:val="18"/>
              </w:rPr>
              <w:t>/ml PBO</w:t>
            </w:r>
          </w:p>
        </w:tc>
      </w:tr>
      <w:tr w:rsidR="0011695B" w:rsidRPr="0011695B" w:rsidTr="0011695B">
        <w:trPr>
          <w:trHeight w:val="34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USDA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100%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44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</w:p>
        </w:tc>
      </w:tr>
      <w:tr w:rsidR="0011695B" w:rsidRPr="0011695B" w:rsidTr="0011695B">
        <w:trPr>
          <w:trHeight w:val="34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Zone 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8.30%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50%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91.70%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91.70%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100%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12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</w:p>
        </w:tc>
      </w:tr>
      <w:tr w:rsidR="0011695B" w:rsidRPr="0011695B" w:rsidTr="0011695B">
        <w:trPr>
          <w:trHeight w:val="34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Zone 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24%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41%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65%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82.40%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100%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17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</w:p>
        </w:tc>
      </w:tr>
      <w:tr w:rsidR="0011695B" w:rsidRPr="0011695B" w:rsidTr="0011695B">
        <w:trPr>
          <w:trHeight w:val="34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</w:p>
        </w:tc>
      </w:tr>
      <w:tr w:rsidR="0011695B" w:rsidRPr="0011695B" w:rsidTr="0011695B">
        <w:trPr>
          <w:trHeight w:val="34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Scourge 1.8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0 min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15 min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30 min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45 min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60 min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75 min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90 min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n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 xml:space="preserve">1.8 </w:t>
            </w:r>
            <w:proofErr w:type="spellStart"/>
            <w:r w:rsidRPr="0011695B">
              <w:rPr>
                <w:rFonts w:eastAsia="Times New Roman" w:cs="Times New Roman"/>
                <w:color w:val="000000"/>
                <w:szCs w:val="18"/>
              </w:rPr>
              <w:t>ug</w:t>
            </w:r>
            <w:proofErr w:type="spellEnd"/>
            <w:r w:rsidRPr="0011695B">
              <w:rPr>
                <w:rFonts w:eastAsia="Times New Roman" w:cs="Times New Roman"/>
                <w:color w:val="000000"/>
                <w:szCs w:val="18"/>
              </w:rPr>
              <w:t xml:space="preserve">/ml </w:t>
            </w:r>
            <w:proofErr w:type="spellStart"/>
            <w:r w:rsidRPr="0011695B">
              <w:rPr>
                <w:rFonts w:eastAsia="Times New Roman" w:cs="Times New Roman"/>
                <w:color w:val="000000"/>
                <w:szCs w:val="18"/>
              </w:rPr>
              <w:t>resmethrin</w:t>
            </w:r>
            <w:proofErr w:type="spellEnd"/>
            <w:r w:rsidRPr="0011695B">
              <w:rPr>
                <w:rFonts w:eastAsia="Times New Roman" w:cs="Times New Roman"/>
                <w:color w:val="000000"/>
                <w:szCs w:val="18"/>
              </w:rPr>
              <w:t xml:space="preserve">; 5.4 </w:t>
            </w:r>
            <w:proofErr w:type="spellStart"/>
            <w:r w:rsidRPr="0011695B">
              <w:rPr>
                <w:rFonts w:eastAsia="Times New Roman" w:cs="Times New Roman"/>
                <w:color w:val="000000"/>
                <w:szCs w:val="18"/>
              </w:rPr>
              <w:t>ug</w:t>
            </w:r>
            <w:proofErr w:type="spellEnd"/>
            <w:r w:rsidRPr="0011695B">
              <w:rPr>
                <w:rFonts w:eastAsia="Times New Roman" w:cs="Times New Roman"/>
                <w:color w:val="000000"/>
                <w:szCs w:val="18"/>
              </w:rPr>
              <w:t>/ml PBO</w:t>
            </w:r>
          </w:p>
        </w:tc>
      </w:tr>
      <w:tr w:rsidR="0011695B" w:rsidRPr="0011695B" w:rsidTr="0011695B">
        <w:trPr>
          <w:trHeight w:val="34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USDA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100%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49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</w:p>
        </w:tc>
      </w:tr>
      <w:tr w:rsidR="0011695B" w:rsidRPr="0011695B" w:rsidTr="0011695B">
        <w:trPr>
          <w:trHeight w:val="34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Zone 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20%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20%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</w:p>
        </w:tc>
      </w:tr>
      <w:tr w:rsidR="0011695B" w:rsidRPr="0011695B" w:rsidTr="0011695B">
        <w:trPr>
          <w:trHeight w:val="34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Zone 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7.10%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14.30%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14.30%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14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</w:p>
        </w:tc>
      </w:tr>
      <w:tr w:rsidR="0011695B" w:rsidRPr="0011695B" w:rsidTr="0011695B">
        <w:trPr>
          <w:trHeight w:val="34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</w:p>
        </w:tc>
      </w:tr>
      <w:tr w:rsidR="0011695B" w:rsidRPr="0011695B" w:rsidTr="0011695B">
        <w:trPr>
          <w:trHeight w:val="34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Duet 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0 min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15 min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30 min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45 min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60 min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75 min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90 min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n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 xml:space="preserve">11 </w:t>
            </w:r>
            <w:proofErr w:type="spellStart"/>
            <w:r w:rsidRPr="0011695B">
              <w:rPr>
                <w:rFonts w:eastAsia="Times New Roman" w:cs="Times New Roman"/>
                <w:color w:val="000000"/>
                <w:szCs w:val="18"/>
              </w:rPr>
              <w:t>ug</w:t>
            </w:r>
            <w:proofErr w:type="spellEnd"/>
            <w:r w:rsidRPr="0011695B">
              <w:rPr>
                <w:rFonts w:eastAsia="Times New Roman" w:cs="Times New Roman"/>
                <w:color w:val="000000"/>
                <w:szCs w:val="18"/>
              </w:rPr>
              <w:t xml:space="preserve">/ml </w:t>
            </w:r>
            <w:proofErr w:type="spellStart"/>
            <w:r w:rsidRPr="0011695B">
              <w:rPr>
                <w:rFonts w:eastAsia="Times New Roman" w:cs="Times New Roman"/>
                <w:color w:val="000000"/>
                <w:szCs w:val="18"/>
              </w:rPr>
              <w:t>sumithrin</w:t>
            </w:r>
            <w:proofErr w:type="spellEnd"/>
            <w:r w:rsidRPr="0011695B">
              <w:rPr>
                <w:rFonts w:eastAsia="Times New Roman" w:cs="Times New Roman"/>
                <w:color w:val="000000"/>
                <w:szCs w:val="18"/>
              </w:rPr>
              <w:t xml:space="preserve"> and PBO; 2.5 </w:t>
            </w:r>
            <w:proofErr w:type="spellStart"/>
            <w:r w:rsidRPr="0011695B">
              <w:rPr>
                <w:rFonts w:eastAsia="Times New Roman" w:cs="Times New Roman"/>
                <w:color w:val="000000"/>
                <w:szCs w:val="18"/>
              </w:rPr>
              <w:t>ug</w:t>
            </w:r>
            <w:proofErr w:type="spellEnd"/>
            <w:r w:rsidRPr="0011695B">
              <w:rPr>
                <w:rFonts w:eastAsia="Times New Roman" w:cs="Times New Roman"/>
                <w:color w:val="000000"/>
                <w:szCs w:val="18"/>
              </w:rPr>
              <w:t>/ml prallethrin</w:t>
            </w:r>
          </w:p>
        </w:tc>
      </w:tr>
      <w:tr w:rsidR="0011695B" w:rsidRPr="0011695B" w:rsidTr="0011695B">
        <w:trPr>
          <w:trHeight w:val="34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USDA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100%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41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</w:p>
        </w:tc>
      </w:tr>
      <w:tr w:rsidR="0011695B" w:rsidRPr="0011695B" w:rsidTr="0011695B">
        <w:trPr>
          <w:trHeight w:val="34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Zone 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11.10%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50%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55.60%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72.20%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83.30%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88.90%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</w:p>
        </w:tc>
      </w:tr>
      <w:tr w:rsidR="0011695B" w:rsidRPr="0011695B" w:rsidTr="0011695B">
        <w:trPr>
          <w:trHeight w:val="34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Zone 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5.00%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35%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60%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83%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95%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95%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</w:p>
        </w:tc>
      </w:tr>
      <w:tr w:rsidR="0011695B" w:rsidRPr="0011695B" w:rsidTr="0011695B">
        <w:trPr>
          <w:trHeight w:val="34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</w:p>
        </w:tc>
      </w:tr>
      <w:tr w:rsidR="0011695B" w:rsidRPr="0011695B" w:rsidTr="0011695B">
        <w:trPr>
          <w:trHeight w:val="34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Duet 2.2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0 min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15 min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30 min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45 min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60 min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75 min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90 min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n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 xml:space="preserve">2.2 </w:t>
            </w:r>
            <w:proofErr w:type="spellStart"/>
            <w:r w:rsidRPr="0011695B">
              <w:rPr>
                <w:rFonts w:eastAsia="Times New Roman" w:cs="Times New Roman"/>
                <w:color w:val="000000"/>
                <w:szCs w:val="18"/>
              </w:rPr>
              <w:t>ug</w:t>
            </w:r>
            <w:proofErr w:type="spellEnd"/>
            <w:r w:rsidRPr="0011695B">
              <w:rPr>
                <w:rFonts w:eastAsia="Times New Roman" w:cs="Times New Roman"/>
                <w:color w:val="000000"/>
                <w:szCs w:val="18"/>
              </w:rPr>
              <w:t xml:space="preserve">/ml </w:t>
            </w:r>
            <w:proofErr w:type="spellStart"/>
            <w:r w:rsidRPr="0011695B">
              <w:rPr>
                <w:rFonts w:eastAsia="Times New Roman" w:cs="Times New Roman"/>
                <w:color w:val="000000"/>
                <w:szCs w:val="18"/>
              </w:rPr>
              <w:t>sumithrin</w:t>
            </w:r>
            <w:proofErr w:type="spellEnd"/>
            <w:r w:rsidRPr="0011695B">
              <w:rPr>
                <w:rFonts w:eastAsia="Times New Roman" w:cs="Times New Roman"/>
                <w:color w:val="000000"/>
                <w:szCs w:val="18"/>
              </w:rPr>
              <w:t xml:space="preserve"> and PBO; .5 </w:t>
            </w:r>
            <w:proofErr w:type="spellStart"/>
            <w:r w:rsidRPr="0011695B">
              <w:rPr>
                <w:rFonts w:eastAsia="Times New Roman" w:cs="Times New Roman"/>
                <w:color w:val="000000"/>
                <w:szCs w:val="18"/>
              </w:rPr>
              <w:t>ug</w:t>
            </w:r>
            <w:proofErr w:type="spellEnd"/>
            <w:r w:rsidRPr="0011695B">
              <w:rPr>
                <w:rFonts w:eastAsia="Times New Roman" w:cs="Times New Roman"/>
                <w:color w:val="000000"/>
                <w:szCs w:val="18"/>
              </w:rPr>
              <w:t>/ml prallethrin</w:t>
            </w:r>
          </w:p>
        </w:tc>
      </w:tr>
      <w:tr w:rsidR="0011695B" w:rsidRPr="0011695B" w:rsidTr="0011695B">
        <w:trPr>
          <w:trHeight w:val="34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USDA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14.30%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46.40%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96.40%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100%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</w:p>
        </w:tc>
      </w:tr>
      <w:tr w:rsidR="0011695B" w:rsidRPr="0011695B" w:rsidTr="0011695B">
        <w:trPr>
          <w:trHeight w:val="34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Zone 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</w:p>
        </w:tc>
      </w:tr>
      <w:tr w:rsidR="0011695B" w:rsidRPr="0011695B" w:rsidTr="0011695B">
        <w:trPr>
          <w:trHeight w:val="34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Zone 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16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</w:p>
        </w:tc>
      </w:tr>
      <w:tr w:rsidR="0011695B" w:rsidRPr="0011695B" w:rsidTr="0011695B">
        <w:trPr>
          <w:trHeight w:val="34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</w:p>
        </w:tc>
      </w:tr>
      <w:tr w:rsidR="0011695B" w:rsidRPr="0011695B" w:rsidTr="0011695B">
        <w:trPr>
          <w:trHeight w:val="34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b/>
                <w:color w:val="000000"/>
                <w:szCs w:val="18"/>
              </w:rPr>
            </w:pPr>
            <w:proofErr w:type="spellStart"/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AquaPursuit</w:t>
            </w:r>
            <w:proofErr w:type="spellEnd"/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 xml:space="preserve"> 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0 min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15 min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30 min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45 min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60 min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75 min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90 min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b/>
                <w:color w:val="000000"/>
                <w:szCs w:val="18"/>
              </w:rPr>
              <w:t>n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 xml:space="preserve">22 </w:t>
            </w:r>
            <w:proofErr w:type="spellStart"/>
            <w:r w:rsidRPr="0011695B">
              <w:rPr>
                <w:rFonts w:eastAsia="Times New Roman" w:cs="Times New Roman"/>
                <w:color w:val="000000"/>
                <w:szCs w:val="18"/>
              </w:rPr>
              <w:t>ug</w:t>
            </w:r>
            <w:proofErr w:type="spellEnd"/>
            <w:r w:rsidRPr="0011695B">
              <w:rPr>
                <w:rFonts w:eastAsia="Times New Roman" w:cs="Times New Roman"/>
                <w:color w:val="000000"/>
                <w:szCs w:val="18"/>
              </w:rPr>
              <w:t>/ml of permethrin and PBO</w:t>
            </w:r>
          </w:p>
        </w:tc>
      </w:tr>
      <w:tr w:rsidR="0011695B" w:rsidRPr="0011695B" w:rsidTr="0011695B">
        <w:trPr>
          <w:trHeight w:val="34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USDA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100%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35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</w:p>
        </w:tc>
      </w:tr>
      <w:tr w:rsidR="0011695B" w:rsidRPr="0011695B" w:rsidTr="0011695B">
        <w:trPr>
          <w:trHeight w:val="34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Zone 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5.90%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23.50%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29.40%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29.40%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35.30%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17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</w:p>
        </w:tc>
      </w:tr>
      <w:tr w:rsidR="0011695B" w:rsidRPr="0011695B" w:rsidTr="0011695B">
        <w:trPr>
          <w:trHeight w:val="34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Zone 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6.30%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12.50%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18.80%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25%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31.30%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jc w:val="center"/>
              <w:rPr>
                <w:rFonts w:eastAsia="Times New Roman" w:cs="Times New Roman"/>
                <w:color w:val="000000"/>
                <w:szCs w:val="18"/>
              </w:rPr>
            </w:pPr>
            <w:r w:rsidRPr="0011695B">
              <w:rPr>
                <w:rFonts w:eastAsia="Times New Roman" w:cs="Times New Roman"/>
                <w:color w:val="000000"/>
                <w:szCs w:val="18"/>
              </w:rPr>
              <w:t>16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B" w:rsidRPr="0011695B" w:rsidRDefault="0011695B" w:rsidP="0011695B">
            <w:pPr>
              <w:rPr>
                <w:rFonts w:eastAsia="Times New Roman" w:cs="Times New Roman"/>
                <w:color w:val="000000"/>
                <w:szCs w:val="18"/>
              </w:rPr>
            </w:pPr>
          </w:p>
        </w:tc>
      </w:tr>
    </w:tbl>
    <w:p w:rsidR="0011695B" w:rsidRPr="0011695B" w:rsidRDefault="0011695B">
      <w:pPr>
        <w:rPr>
          <w:szCs w:val="18"/>
        </w:rPr>
      </w:pPr>
    </w:p>
    <w:sectPr w:rsidR="0011695B" w:rsidRPr="0011695B" w:rsidSect="0011695B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5B"/>
    <w:rsid w:val="0011695B"/>
    <w:rsid w:val="00325C0A"/>
    <w:rsid w:val="00E8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D. Rinkevich</dc:creator>
  <cp:lastModifiedBy>Frank D. Rinkevich</cp:lastModifiedBy>
  <cp:revision>1</cp:revision>
  <dcterms:created xsi:type="dcterms:W3CDTF">2017-01-12T12:53:00Z</dcterms:created>
  <dcterms:modified xsi:type="dcterms:W3CDTF">2017-01-12T13:03:00Z</dcterms:modified>
</cp:coreProperties>
</file>