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97" w:rsidRPr="00B7228A" w:rsidRDefault="00293097">
      <w:pPr>
        <w:rPr>
          <w:rFonts w:ascii="Times New Roman" w:hAnsi="Times New Roman" w:cs="Times New Roman"/>
          <w:b/>
        </w:rPr>
      </w:pPr>
    </w:p>
    <w:p w:rsidR="00293097" w:rsidRPr="00EB301A" w:rsidRDefault="00293097">
      <w:pPr>
        <w:rPr>
          <w:rFonts w:ascii="Times New Roman" w:hAnsi="Times New Roman" w:cs="Times New Roman"/>
          <w:b/>
          <w:sz w:val="24"/>
          <w:szCs w:val="24"/>
        </w:rPr>
      </w:pPr>
      <w:r w:rsidRPr="00EB301A">
        <w:rPr>
          <w:rFonts w:ascii="Times New Roman" w:hAnsi="Times New Roman" w:cs="Times New Roman"/>
          <w:b/>
          <w:sz w:val="24"/>
          <w:szCs w:val="24"/>
        </w:rPr>
        <w:t>Supplementary Appendix</w:t>
      </w:r>
    </w:p>
    <w:p w:rsidR="00293097" w:rsidRPr="00B7228A" w:rsidRDefault="00293097">
      <w:pPr>
        <w:rPr>
          <w:rFonts w:ascii="Times New Roman" w:hAnsi="Times New Roman" w:cs="Times New Roman"/>
          <w:b/>
        </w:rPr>
      </w:pPr>
    </w:p>
    <w:p w:rsidR="00293097" w:rsidRPr="00EB301A" w:rsidRDefault="00293097">
      <w:pPr>
        <w:rPr>
          <w:rFonts w:ascii="Times New Roman" w:hAnsi="Times New Roman" w:cs="Times New Roman"/>
          <w:b/>
          <w:sz w:val="20"/>
          <w:szCs w:val="20"/>
        </w:rPr>
      </w:pPr>
      <w:r w:rsidRPr="00EB301A">
        <w:rPr>
          <w:rFonts w:ascii="Times New Roman" w:hAnsi="Times New Roman" w:cs="Times New Roman"/>
          <w:b/>
          <w:sz w:val="20"/>
          <w:szCs w:val="20"/>
        </w:rPr>
        <w:t>Contents</w:t>
      </w:r>
    </w:p>
    <w:p w:rsidR="00293097" w:rsidRPr="005A14A2" w:rsidRDefault="00293097">
      <w:pPr>
        <w:rPr>
          <w:rFonts w:ascii="Times New Roman" w:hAnsi="Times New Roman" w:cs="Times New Roman"/>
          <w:sz w:val="20"/>
          <w:szCs w:val="20"/>
        </w:rPr>
      </w:pPr>
      <w:r>
        <w:rPr>
          <w:rFonts w:ascii="Times New Roman" w:hAnsi="Times New Roman" w:cs="Times New Roman"/>
          <w:b/>
          <w:sz w:val="20"/>
          <w:szCs w:val="20"/>
        </w:rPr>
        <w:t>Page 1</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A14A2">
        <w:rPr>
          <w:rFonts w:ascii="Times New Roman" w:hAnsi="Times New Roman" w:cs="Times New Roman"/>
          <w:sz w:val="20"/>
          <w:szCs w:val="20"/>
        </w:rPr>
        <w:t>Datasets used with key links and references</w:t>
      </w:r>
    </w:p>
    <w:p w:rsidR="00293097" w:rsidRPr="00EB301A" w:rsidRDefault="00293097">
      <w:pPr>
        <w:rPr>
          <w:rFonts w:ascii="Times New Roman" w:hAnsi="Times New Roman" w:cs="Times New Roman"/>
          <w:b/>
          <w:sz w:val="20"/>
          <w:szCs w:val="20"/>
        </w:rPr>
      </w:pPr>
      <w:r w:rsidRPr="00EB301A">
        <w:rPr>
          <w:rFonts w:ascii="Times New Roman" w:hAnsi="Times New Roman" w:cs="Times New Roman"/>
          <w:b/>
          <w:sz w:val="20"/>
          <w:szCs w:val="20"/>
        </w:rPr>
        <w:t>Page 2</w:t>
      </w:r>
      <w:r w:rsidRPr="00EB301A">
        <w:rPr>
          <w:rFonts w:ascii="Times New Roman" w:hAnsi="Times New Roman" w:cs="Times New Roman"/>
          <w:b/>
          <w:sz w:val="20"/>
          <w:szCs w:val="20"/>
        </w:rPr>
        <w:tab/>
      </w:r>
      <w:r w:rsidRPr="00EB301A">
        <w:rPr>
          <w:rFonts w:ascii="Times New Roman" w:hAnsi="Times New Roman" w:cs="Times New Roman"/>
          <w:b/>
          <w:sz w:val="20"/>
          <w:szCs w:val="20"/>
        </w:rPr>
        <w:tab/>
        <w:t>Table S1</w:t>
      </w:r>
      <w:r w:rsidRPr="00EB301A">
        <w:rPr>
          <w:rFonts w:ascii="Times New Roman" w:hAnsi="Times New Roman" w:cs="Times New Roman"/>
          <w:b/>
          <w:sz w:val="20"/>
          <w:szCs w:val="20"/>
        </w:rPr>
        <w:tab/>
      </w:r>
      <w:r w:rsidRPr="00EB301A">
        <w:rPr>
          <w:rFonts w:ascii="Times New Roman" w:hAnsi="Times New Roman" w:cs="Times New Roman"/>
          <w:sz w:val="20"/>
          <w:szCs w:val="20"/>
        </w:rPr>
        <w:t>Delineation of the cohort of recently discharged patients</w:t>
      </w:r>
    </w:p>
    <w:p w:rsidR="00293097" w:rsidRPr="00EB301A" w:rsidRDefault="00293097" w:rsidP="00B831A2">
      <w:pPr>
        <w:rPr>
          <w:rFonts w:ascii="Times New Roman" w:hAnsi="Times New Roman" w:cs="Times New Roman"/>
          <w:b/>
          <w:sz w:val="20"/>
          <w:szCs w:val="20"/>
        </w:rPr>
      </w:pPr>
      <w:r>
        <w:rPr>
          <w:rFonts w:ascii="Times New Roman" w:hAnsi="Times New Roman" w:cs="Times New Roman"/>
          <w:b/>
          <w:sz w:val="20"/>
          <w:szCs w:val="20"/>
        </w:rPr>
        <w:t>Page 3</w:t>
      </w:r>
      <w:r w:rsidRPr="00EB301A">
        <w:rPr>
          <w:rFonts w:ascii="Times New Roman" w:hAnsi="Times New Roman" w:cs="Times New Roman"/>
          <w:b/>
          <w:sz w:val="20"/>
          <w:szCs w:val="20"/>
        </w:rPr>
        <w:tab/>
      </w:r>
      <w:r w:rsidRPr="00EB301A">
        <w:rPr>
          <w:rFonts w:ascii="Times New Roman" w:hAnsi="Times New Roman" w:cs="Times New Roman"/>
          <w:b/>
          <w:sz w:val="20"/>
          <w:szCs w:val="20"/>
        </w:rPr>
        <w:tab/>
      </w:r>
      <w:r>
        <w:rPr>
          <w:rFonts w:ascii="Times New Roman" w:hAnsi="Times New Roman" w:cs="Times New Roman"/>
          <w:b/>
          <w:sz w:val="20"/>
          <w:szCs w:val="20"/>
        </w:rPr>
        <w:tab/>
      </w:r>
      <w:r w:rsidRPr="00EB301A">
        <w:rPr>
          <w:rFonts w:ascii="Times New Roman" w:hAnsi="Times New Roman" w:cs="Times New Roman"/>
          <w:b/>
          <w:sz w:val="20"/>
          <w:szCs w:val="20"/>
        </w:rPr>
        <w:tab/>
      </w:r>
      <w:r w:rsidRPr="00EB301A">
        <w:rPr>
          <w:rFonts w:ascii="Times New Roman" w:hAnsi="Times New Roman" w:cs="Times New Roman"/>
          <w:sz w:val="20"/>
          <w:szCs w:val="20"/>
        </w:rPr>
        <w:t>Sensitivity Analyses</w:t>
      </w:r>
    </w:p>
    <w:p w:rsidR="00293097" w:rsidRPr="00EB301A" w:rsidRDefault="00293097">
      <w:pPr>
        <w:rPr>
          <w:rFonts w:ascii="Times New Roman" w:hAnsi="Times New Roman" w:cs="Times New Roman"/>
          <w:sz w:val="20"/>
          <w:szCs w:val="20"/>
        </w:rPr>
      </w:pPr>
      <w:r>
        <w:rPr>
          <w:rFonts w:ascii="Times New Roman" w:hAnsi="Times New Roman" w:cs="Times New Roman"/>
          <w:b/>
          <w:sz w:val="20"/>
          <w:szCs w:val="20"/>
        </w:rPr>
        <w:t>Page 4</w:t>
      </w:r>
      <w:r>
        <w:rPr>
          <w:rFonts w:ascii="Times New Roman" w:hAnsi="Times New Roman" w:cs="Times New Roman"/>
          <w:b/>
          <w:sz w:val="20"/>
          <w:szCs w:val="20"/>
        </w:rPr>
        <w:tab/>
      </w:r>
      <w:r>
        <w:rPr>
          <w:rFonts w:ascii="Times New Roman" w:hAnsi="Times New Roman" w:cs="Times New Roman"/>
          <w:b/>
          <w:sz w:val="20"/>
          <w:szCs w:val="20"/>
        </w:rPr>
        <w:tab/>
        <w:t>Table S2</w:t>
      </w:r>
      <w:r w:rsidRPr="00EB301A">
        <w:rPr>
          <w:rFonts w:ascii="Times New Roman" w:hAnsi="Times New Roman" w:cs="Times New Roman"/>
          <w:b/>
          <w:sz w:val="20"/>
          <w:szCs w:val="20"/>
        </w:rPr>
        <w:tab/>
      </w:r>
      <w:r w:rsidRPr="00EB301A">
        <w:rPr>
          <w:rFonts w:ascii="Times New Roman" w:hAnsi="Times New Roman" w:cs="Times New Roman"/>
          <w:sz w:val="20"/>
          <w:szCs w:val="20"/>
        </w:rPr>
        <w:t>RECORD Statement for observational studies</w:t>
      </w:r>
    </w:p>
    <w:p w:rsidR="00293097" w:rsidRPr="008D00F0" w:rsidRDefault="00293097" w:rsidP="00B831A2">
      <w:pPr>
        <w:spacing w:after="0"/>
        <w:rPr>
          <w:rFonts w:ascii="Times New Roman" w:eastAsia="Times New Roman" w:hAnsi="Times New Roman" w:cs="Times New Roman"/>
          <w:color w:val="000000"/>
          <w:sz w:val="20"/>
          <w:szCs w:val="20"/>
          <w:lang w:eastAsia="en-GB"/>
        </w:rPr>
      </w:pPr>
      <w:r w:rsidRPr="008D00F0">
        <w:rPr>
          <w:rFonts w:ascii="Times New Roman" w:eastAsia="Times New Roman" w:hAnsi="Times New Roman" w:cs="Times New Roman"/>
          <w:b/>
          <w:color w:val="000000"/>
          <w:sz w:val="20"/>
          <w:szCs w:val="20"/>
          <w:lang w:eastAsia="en-GB"/>
        </w:rPr>
        <w:t>Page 8</w:t>
      </w:r>
      <w:r w:rsidRPr="008D00F0">
        <w:rPr>
          <w:rFonts w:ascii="Times New Roman" w:eastAsia="Times New Roman" w:hAnsi="Times New Roman" w:cs="Times New Roman"/>
          <w:b/>
          <w:color w:val="000000"/>
          <w:sz w:val="20"/>
          <w:szCs w:val="20"/>
          <w:lang w:eastAsia="en-GB"/>
        </w:rPr>
        <w:tab/>
      </w:r>
      <w:r w:rsidRPr="008D00F0">
        <w:rPr>
          <w:rFonts w:ascii="Times New Roman" w:eastAsia="Times New Roman" w:hAnsi="Times New Roman" w:cs="Times New Roman"/>
          <w:b/>
          <w:color w:val="000000"/>
          <w:sz w:val="20"/>
          <w:szCs w:val="20"/>
          <w:lang w:eastAsia="en-GB"/>
        </w:rPr>
        <w:tab/>
        <w:t>Table S3</w:t>
      </w:r>
      <w:r w:rsidRPr="008D00F0">
        <w:rPr>
          <w:rFonts w:ascii="Times New Roman" w:eastAsia="Times New Roman" w:hAnsi="Times New Roman" w:cs="Times New Roman"/>
          <w:b/>
          <w:color w:val="000000"/>
          <w:sz w:val="20"/>
          <w:szCs w:val="20"/>
          <w:lang w:eastAsia="en-GB"/>
        </w:rPr>
        <w:tab/>
      </w:r>
      <w:r w:rsidRPr="008D00F0">
        <w:rPr>
          <w:rFonts w:ascii="Times New Roman" w:eastAsia="Times New Roman" w:hAnsi="Times New Roman" w:cs="Times New Roman"/>
          <w:color w:val="000000"/>
          <w:sz w:val="20"/>
          <w:szCs w:val="20"/>
          <w:lang w:eastAsia="en-GB"/>
        </w:rPr>
        <w:t xml:space="preserve">Cumulative incidence by cause of death in discharged and matched </w:t>
      </w:r>
    </w:p>
    <w:p w:rsidR="00293097" w:rsidRPr="008D00F0" w:rsidRDefault="00293097" w:rsidP="00B831A2">
      <w:pPr>
        <w:spacing w:after="0"/>
        <w:rPr>
          <w:rFonts w:ascii="Times New Roman" w:eastAsia="Times New Roman" w:hAnsi="Times New Roman" w:cs="Times New Roman"/>
          <w:color w:val="000000"/>
          <w:sz w:val="20"/>
          <w:szCs w:val="20"/>
          <w:lang w:eastAsia="en-GB"/>
        </w:rPr>
      </w:pPr>
      <w:r w:rsidRPr="008D00F0">
        <w:rPr>
          <w:rFonts w:ascii="Times New Roman" w:eastAsia="Times New Roman" w:hAnsi="Times New Roman" w:cs="Times New Roman"/>
          <w:color w:val="000000"/>
          <w:sz w:val="20"/>
          <w:szCs w:val="20"/>
          <w:lang w:eastAsia="en-GB"/>
        </w:rPr>
        <w:tab/>
      </w:r>
      <w:r w:rsidRPr="008D00F0">
        <w:rPr>
          <w:rFonts w:ascii="Times New Roman" w:eastAsia="Times New Roman" w:hAnsi="Times New Roman" w:cs="Times New Roman"/>
          <w:color w:val="000000"/>
          <w:sz w:val="20"/>
          <w:szCs w:val="20"/>
          <w:lang w:eastAsia="en-GB"/>
        </w:rPr>
        <w:tab/>
      </w:r>
      <w:r w:rsidRPr="008D00F0">
        <w:rPr>
          <w:rFonts w:ascii="Times New Roman" w:eastAsia="Times New Roman" w:hAnsi="Times New Roman" w:cs="Times New Roman"/>
          <w:color w:val="000000"/>
          <w:sz w:val="20"/>
          <w:szCs w:val="20"/>
          <w:lang w:eastAsia="en-GB"/>
        </w:rPr>
        <w:tab/>
      </w:r>
      <w:r w:rsidRPr="008D00F0">
        <w:rPr>
          <w:rFonts w:ascii="Times New Roman" w:eastAsia="Times New Roman" w:hAnsi="Times New Roman" w:cs="Times New Roman"/>
          <w:color w:val="000000"/>
          <w:sz w:val="20"/>
          <w:szCs w:val="20"/>
          <w:lang w:eastAsia="en-GB"/>
        </w:rPr>
        <w:tab/>
        <w:t xml:space="preserve">comparison older adult cohorts at 1-year post-discharge from inpatient care, </w:t>
      </w:r>
    </w:p>
    <w:p w:rsidR="00293097" w:rsidRPr="008D00F0" w:rsidRDefault="00293097" w:rsidP="00B831A2">
      <w:pPr>
        <w:rPr>
          <w:rFonts w:ascii="Times New Roman" w:eastAsia="Times New Roman" w:hAnsi="Times New Roman" w:cs="Times New Roman"/>
          <w:b/>
          <w:color w:val="000000"/>
          <w:sz w:val="20"/>
          <w:szCs w:val="20"/>
          <w:lang w:eastAsia="en-GB"/>
        </w:rPr>
      </w:pPr>
      <w:r w:rsidRPr="008D00F0">
        <w:rPr>
          <w:rFonts w:ascii="Times New Roman" w:eastAsia="Times New Roman" w:hAnsi="Times New Roman" w:cs="Times New Roman"/>
          <w:color w:val="000000"/>
          <w:sz w:val="20"/>
          <w:szCs w:val="20"/>
          <w:lang w:eastAsia="en-GB"/>
        </w:rPr>
        <w:tab/>
      </w:r>
      <w:r w:rsidRPr="008D00F0">
        <w:rPr>
          <w:rFonts w:ascii="Times New Roman" w:eastAsia="Times New Roman" w:hAnsi="Times New Roman" w:cs="Times New Roman"/>
          <w:color w:val="000000"/>
          <w:sz w:val="20"/>
          <w:szCs w:val="20"/>
          <w:lang w:eastAsia="en-GB"/>
        </w:rPr>
        <w:tab/>
      </w:r>
      <w:r w:rsidRPr="008D00F0">
        <w:rPr>
          <w:rFonts w:ascii="Times New Roman" w:eastAsia="Times New Roman" w:hAnsi="Times New Roman" w:cs="Times New Roman"/>
          <w:color w:val="000000"/>
          <w:sz w:val="20"/>
          <w:szCs w:val="20"/>
          <w:lang w:eastAsia="en-GB"/>
        </w:rPr>
        <w:tab/>
      </w:r>
      <w:r w:rsidRPr="008D00F0">
        <w:rPr>
          <w:rFonts w:ascii="Times New Roman" w:eastAsia="Times New Roman" w:hAnsi="Times New Roman" w:cs="Times New Roman"/>
          <w:color w:val="000000"/>
          <w:sz w:val="20"/>
          <w:szCs w:val="20"/>
          <w:lang w:eastAsia="en-GB"/>
        </w:rPr>
        <w:tab/>
        <w:t>by age group and gender -</w:t>
      </w:r>
      <w:r w:rsidRPr="008D00F0">
        <w:rPr>
          <w:rFonts w:ascii="Times New Roman" w:eastAsia="Times New Roman" w:hAnsi="Times New Roman" w:cs="Times New Roman"/>
          <w:color w:val="595959" w:themeColor="text1" w:themeTint="A6"/>
          <w:sz w:val="20"/>
          <w:szCs w:val="20"/>
          <w:lang w:eastAsia="en-GB"/>
        </w:rPr>
        <w:t xml:space="preserve"> </w:t>
      </w:r>
      <w:r w:rsidRPr="008D00F0">
        <w:rPr>
          <w:rFonts w:ascii="Times New Roman" w:eastAsia="Times New Roman" w:hAnsi="Times New Roman" w:cs="Times New Roman"/>
          <w:color w:val="000000"/>
          <w:sz w:val="20"/>
          <w:szCs w:val="20"/>
          <w:lang w:eastAsia="en-GB"/>
        </w:rPr>
        <w:t>excluding Primary diagnosis of Dementia</w:t>
      </w:r>
    </w:p>
    <w:p w:rsidR="00293097" w:rsidRPr="008D00F0" w:rsidRDefault="00293097" w:rsidP="00B831A2">
      <w:pPr>
        <w:spacing w:after="0"/>
        <w:rPr>
          <w:rFonts w:ascii="Times New Roman" w:hAnsi="Times New Roman" w:cs="Times New Roman"/>
          <w:sz w:val="20"/>
          <w:szCs w:val="20"/>
        </w:rPr>
      </w:pPr>
      <w:r w:rsidRPr="008D00F0">
        <w:rPr>
          <w:rFonts w:ascii="Times New Roman" w:hAnsi="Times New Roman" w:cs="Times New Roman"/>
          <w:b/>
          <w:sz w:val="20"/>
          <w:szCs w:val="20"/>
        </w:rPr>
        <w:t>Page 9</w:t>
      </w:r>
      <w:r w:rsidRPr="008D00F0">
        <w:rPr>
          <w:rFonts w:ascii="Times New Roman" w:hAnsi="Times New Roman" w:cs="Times New Roman"/>
          <w:b/>
          <w:sz w:val="20"/>
          <w:szCs w:val="20"/>
        </w:rPr>
        <w:tab/>
      </w:r>
      <w:r w:rsidRPr="008D00F0">
        <w:rPr>
          <w:rFonts w:ascii="Times New Roman" w:hAnsi="Times New Roman" w:cs="Times New Roman"/>
          <w:b/>
          <w:sz w:val="20"/>
          <w:szCs w:val="20"/>
        </w:rPr>
        <w:tab/>
        <w:t>Figure S1</w:t>
      </w:r>
      <w:r w:rsidRPr="008D00F0">
        <w:rPr>
          <w:rFonts w:ascii="Times New Roman" w:hAnsi="Times New Roman" w:cs="Times New Roman"/>
          <w:b/>
          <w:sz w:val="20"/>
          <w:szCs w:val="20"/>
        </w:rPr>
        <w:tab/>
      </w:r>
      <w:r w:rsidRPr="008D00F0">
        <w:rPr>
          <w:rFonts w:ascii="Times New Roman" w:hAnsi="Times New Roman" w:cs="Times New Roman"/>
          <w:sz w:val="20"/>
          <w:szCs w:val="20"/>
        </w:rPr>
        <w:t xml:space="preserve">Relative risk estimates comparing discharged older adults with their general </w:t>
      </w:r>
    </w:p>
    <w:p w:rsidR="00293097" w:rsidRPr="008D00F0" w:rsidRDefault="00293097" w:rsidP="00B831A2">
      <w:pPr>
        <w:ind w:left="2160" w:firstLine="720"/>
        <w:rPr>
          <w:rFonts w:ascii="Times New Roman" w:hAnsi="Times New Roman" w:cs="Times New Roman"/>
          <w:b/>
          <w:sz w:val="20"/>
          <w:szCs w:val="20"/>
        </w:rPr>
      </w:pPr>
      <w:r w:rsidRPr="008D00F0">
        <w:rPr>
          <w:rFonts w:ascii="Times New Roman" w:hAnsi="Times New Roman" w:cs="Times New Roman"/>
          <w:sz w:val="20"/>
          <w:szCs w:val="20"/>
        </w:rPr>
        <w:t>population counterparts; breakdown by dementia diagnosis.</w:t>
      </w:r>
    </w:p>
    <w:p w:rsidR="00293097" w:rsidRPr="008D00F0" w:rsidRDefault="00293097" w:rsidP="00B831A2">
      <w:pPr>
        <w:spacing w:after="0" w:line="240" w:lineRule="auto"/>
        <w:ind w:left="1440" w:hanging="1440"/>
        <w:rPr>
          <w:rFonts w:ascii="Times New Roman" w:eastAsia="Times New Roman" w:hAnsi="Times New Roman" w:cs="Times New Roman"/>
          <w:sz w:val="20"/>
          <w:szCs w:val="20"/>
          <w:lang w:eastAsia="en-GB"/>
        </w:rPr>
      </w:pPr>
      <w:r w:rsidRPr="008D00F0">
        <w:rPr>
          <w:rFonts w:ascii="Times New Roman" w:hAnsi="Times New Roman" w:cs="Times New Roman"/>
          <w:b/>
          <w:sz w:val="20"/>
          <w:szCs w:val="20"/>
        </w:rPr>
        <w:t>Page 10</w:t>
      </w:r>
      <w:r w:rsidRPr="008D00F0">
        <w:rPr>
          <w:rFonts w:ascii="Times New Roman" w:hAnsi="Times New Roman" w:cs="Times New Roman"/>
          <w:b/>
          <w:sz w:val="20"/>
          <w:szCs w:val="20"/>
        </w:rPr>
        <w:tab/>
        <w:t>Table S3</w:t>
      </w:r>
      <w:r w:rsidRPr="008D00F0">
        <w:rPr>
          <w:rFonts w:ascii="Times New Roman" w:hAnsi="Times New Roman" w:cs="Times New Roman"/>
          <w:b/>
          <w:sz w:val="20"/>
          <w:szCs w:val="20"/>
        </w:rPr>
        <w:tab/>
      </w:r>
      <w:r w:rsidRPr="008D00F0">
        <w:rPr>
          <w:rFonts w:ascii="Times New Roman" w:eastAsia="Times New Roman" w:hAnsi="Times New Roman" w:cs="Times New Roman"/>
          <w:sz w:val="20"/>
          <w:szCs w:val="20"/>
          <w:lang w:eastAsia="en-GB"/>
        </w:rPr>
        <w:t xml:space="preserve">Hazard ratios between discharged working age and older adults and their </w:t>
      </w:r>
    </w:p>
    <w:p w:rsidR="00293097" w:rsidRPr="008D00F0" w:rsidRDefault="00293097" w:rsidP="00B831A2">
      <w:pPr>
        <w:spacing w:line="240" w:lineRule="auto"/>
        <w:ind w:left="2880"/>
        <w:rPr>
          <w:rFonts w:ascii="Times New Roman" w:eastAsia="Times New Roman" w:hAnsi="Times New Roman" w:cs="Times New Roman"/>
          <w:sz w:val="20"/>
          <w:szCs w:val="20"/>
          <w:lang w:eastAsia="en-GB"/>
        </w:rPr>
      </w:pPr>
      <w:r w:rsidRPr="008D00F0">
        <w:rPr>
          <w:rFonts w:ascii="Times New Roman" w:eastAsia="Times New Roman" w:hAnsi="Times New Roman" w:cs="Times New Roman"/>
          <w:sz w:val="20"/>
          <w:szCs w:val="20"/>
          <w:lang w:eastAsia="en-GB"/>
        </w:rPr>
        <w:t>respective comparison cohorts, with testing for effect modification by gender, at one year after discharge</w:t>
      </w:r>
    </w:p>
    <w:p w:rsidR="00293097" w:rsidRPr="008D00F0" w:rsidRDefault="00293097" w:rsidP="00B831A2">
      <w:pPr>
        <w:spacing w:after="0" w:line="240" w:lineRule="auto"/>
        <w:ind w:left="720" w:hanging="720"/>
        <w:rPr>
          <w:rFonts w:ascii="Times New Roman" w:hAnsi="Times New Roman" w:cs="Times New Roman"/>
          <w:b/>
          <w:sz w:val="20"/>
          <w:szCs w:val="20"/>
        </w:rPr>
      </w:pPr>
      <w:r w:rsidRPr="008D00F0">
        <w:rPr>
          <w:rFonts w:ascii="Times New Roman" w:eastAsia="Times New Roman" w:hAnsi="Times New Roman" w:cs="Times New Roman"/>
          <w:b/>
          <w:sz w:val="20"/>
          <w:szCs w:val="20"/>
          <w:lang w:eastAsia="en-GB"/>
        </w:rPr>
        <w:t>Page 11</w:t>
      </w:r>
      <w:r w:rsidRPr="008D00F0">
        <w:rPr>
          <w:rFonts w:ascii="Times New Roman" w:eastAsia="Times New Roman" w:hAnsi="Times New Roman" w:cs="Times New Roman"/>
          <w:sz w:val="20"/>
          <w:szCs w:val="20"/>
          <w:lang w:eastAsia="en-GB"/>
        </w:rPr>
        <w:tab/>
      </w:r>
      <w:r w:rsidRPr="008D00F0">
        <w:rPr>
          <w:rFonts w:ascii="Times New Roman" w:eastAsia="Times New Roman" w:hAnsi="Times New Roman" w:cs="Times New Roman"/>
          <w:sz w:val="20"/>
          <w:szCs w:val="20"/>
          <w:lang w:eastAsia="en-GB"/>
        </w:rPr>
        <w:tab/>
      </w:r>
      <w:r w:rsidRPr="008D00F0">
        <w:rPr>
          <w:rFonts w:ascii="Times New Roman" w:eastAsia="Times New Roman" w:hAnsi="Times New Roman" w:cs="Times New Roman"/>
          <w:b/>
          <w:sz w:val="20"/>
          <w:szCs w:val="20"/>
          <w:lang w:eastAsia="en-GB"/>
        </w:rPr>
        <w:t>Figure S1</w:t>
      </w:r>
      <w:r w:rsidRPr="008D00F0">
        <w:rPr>
          <w:rFonts w:ascii="Times New Roman" w:eastAsia="Times New Roman" w:hAnsi="Times New Roman" w:cs="Times New Roman"/>
          <w:sz w:val="20"/>
          <w:szCs w:val="20"/>
          <w:lang w:eastAsia="en-GB"/>
        </w:rPr>
        <w:tab/>
      </w:r>
      <w:r w:rsidRPr="008D00F0">
        <w:rPr>
          <w:rFonts w:ascii="Times New Roman" w:hAnsi="Times New Roman" w:cs="Times New Roman"/>
          <w:sz w:val="20"/>
          <w:szCs w:val="20"/>
          <w:lang w:val="en-US"/>
        </w:rPr>
        <w:t xml:space="preserve">Relative risk of suicide in people discharged from psychiatric inpatient care </w:t>
      </w:r>
    </w:p>
    <w:p w:rsidR="00293097" w:rsidRPr="008D00F0" w:rsidRDefault="00293097" w:rsidP="00B831A2">
      <w:pPr>
        <w:spacing w:line="240" w:lineRule="auto"/>
        <w:ind w:left="720" w:hanging="720"/>
        <w:rPr>
          <w:rFonts w:ascii="Times New Roman" w:hAnsi="Times New Roman" w:cs="Times New Roman"/>
          <w:b/>
          <w:sz w:val="20"/>
          <w:szCs w:val="20"/>
        </w:rPr>
      </w:pPr>
      <w:r w:rsidRPr="008D00F0">
        <w:rPr>
          <w:rFonts w:ascii="Times New Roman" w:hAnsi="Times New Roman" w:cs="Times New Roman"/>
          <w:b/>
        </w:rPr>
        <w:tab/>
      </w:r>
      <w:r w:rsidRPr="008D00F0">
        <w:rPr>
          <w:rFonts w:ascii="Times New Roman" w:hAnsi="Times New Roman" w:cs="Times New Roman"/>
          <w:b/>
        </w:rPr>
        <w:tab/>
      </w:r>
      <w:r w:rsidRPr="008D00F0">
        <w:rPr>
          <w:rFonts w:ascii="Times New Roman" w:hAnsi="Times New Roman" w:cs="Times New Roman"/>
          <w:b/>
        </w:rPr>
        <w:tab/>
      </w:r>
      <w:r w:rsidRPr="008D00F0">
        <w:rPr>
          <w:rFonts w:ascii="Times New Roman" w:hAnsi="Times New Roman" w:cs="Times New Roman"/>
          <w:b/>
        </w:rPr>
        <w:tab/>
      </w:r>
      <w:r w:rsidRPr="008D00F0">
        <w:rPr>
          <w:rFonts w:ascii="Times New Roman" w:hAnsi="Times New Roman" w:cs="Times New Roman"/>
          <w:sz w:val="20"/>
          <w:szCs w:val="20"/>
          <w:lang w:val="en-US"/>
        </w:rPr>
        <w:t>by age group and gender during the first year after discharge</w:t>
      </w:r>
    </w:p>
    <w:p w:rsidR="00293097" w:rsidRPr="008D00F0" w:rsidRDefault="00293097" w:rsidP="00B831A2">
      <w:pPr>
        <w:spacing w:after="0"/>
        <w:rPr>
          <w:rFonts w:ascii="Times New Roman" w:hAnsi="Times New Roman" w:cs="Times New Roman"/>
          <w:b/>
          <w:sz w:val="20"/>
          <w:szCs w:val="20"/>
        </w:rPr>
      </w:pPr>
      <w:r w:rsidRPr="008D00F0">
        <w:rPr>
          <w:rFonts w:ascii="Times New Roman" w:hAnsi="Times New Roman" w:cs="Times New Roman"/>
          <w:b/>
          <w:bCs/>
          <w:sz w:val="20"/>
          <w:szCs w:val="20"/>
          <w:lang w:val="en-US"/>
        </w:rPr>
        <w:t>Page 11</w:t>
      </w:r>
      <w:r w:rsidRPr="008D00F0">
        <w:rPr>
          <w:rFonts w:ascii="Times New Roman" w:hAnsi="Times New Roman" w:cs="Times New Roman"/>
          <w:b/>
          <w:bCs/>
          <w:sz w:val="20"/>
          <w:szCs w:val="20"/>
          <w:lang w:val="en-US"/>
        </w:rPr>
        <w:tab/>
      </w:r>
      <w:r w:rsidRPr="008D00F0">
        <w:rPr>
          <w:rFonts w:ascii="Times New Roman" w:hAnsi="Times New Roman" w:cs="Times New Roman"/>
          <w:b/>
          <w:bCs/>
          <w:sz w:val="20"/>
          <w:szCs w:val="20"/>
          <w:lang w:val="en-US"/>
        </w:rPr>
        <w:tab/>
        <w:t>Figure S2</w:t>
      </w:r>
      <w:r w:rsidRPr="008D00F0">
        <w:rPr>
          <w:rFonts w:ascii="Times New Roman" w:hAnsi="Times New Roman" w:cs="Times New Roman"/>
          <w:bCs/>
          <w:sz w:val="20"/>
          <w:szCs w:val="20"/>
          <w:lang w:val="en-US"/>
        </w:rPr>
        <w:tab/>
        <w:t xml:space="preserve">Risk of suicide in working age people discharged from psychiatric inpatient </w:t>
      </w:r>
    </w:p>
    <w:p w:rsidR="00293097" w:rsidRPr="008D00F0" w:rsidRDefault="00293097" w:rsidP="007C7DD0">
      <w:pPr>
        <w:ind w:left="2880"/>
        <w:rPr>
          <w:rFonts w:ascii="Times New Roman" w:hAnsi="Times New Roman" w:cs="Times New Roman"/>
          <w:bCs/>
          <w:sz w:val="20"/>
          <w:szCs w:val="20"/>
          <w:lang w:val="en-US"/>
        </w:rPr>
      </w:pPr>
      <w:proofErr w:type="gramStart"/>
      <w:r w:rsidRPr="008D00F0">
        <w:rPr>
          <w:rFonts w:ascii="Times New Roman" w:hAnsi="Times New Roman" w:cs="Times New Roman"/>
          <w:bCs/>
          <w:sz w:val="20"/>
          <w:szCs w:val="20"/>
          <w:lang w:val="en-US"/>
        </w:rPr>
        <w:t>care</w:t>
      </w:r>
      <w:proofErr w:type="gramEnd"/>
      <w:r w:rsidRPr="008D00F0">
        <w:rPr>
          <w:rFonts w:ascii="Times New Roman" w:hAnsi="Times New Roman" w:cs="Times New Roman"/>
          <w:bCs/>
          <w:sz w:val="20"/>
          <w:szCs w:val="20"/>
          <w:lang w:val="en-US"/>
        </w:rPr>
        <w:t xml:space="preserve"> between practice-level IMD quintiles during the first year after discharge</w:t>
      </w:r>
    </w:p>
    <w:p w:rsidR="00293097" w:rsidRPr="008D00F0" w:rsidRDefault="00293097" w:rsidP="00B831A2">
      <w:pPr>
        <w:spacing w:after="0"/>
        <w:rPr>
          <w:rFonts w:ascii="Times New Roman" w:hAnsi="Times New Roman" w:cs="Times New Roman"/>
          <w:bCs/>
          <w:sz w:val="20"/>
          <w:szCs w:val="20"/>
          <w:lang w:val="en-US"/>
        </w:rPr>
      </w:pPr>
      <w:r w:rsidRPr="008D00F0">
        <w:rPr>
          <w:rFonts w:ascii="Times New Roman" w:hAnsi="Times New Roman" w:cs="Times New Roman"/>
          <w:b/>
          <w:bCs/>
          <w:sz w:val="20"/>
          <w:szCs w:val="20"/>
          <w:lang w:val="en-US"/>
        </w:rPr>
        <w:t>Page 12</w:t>
      </w:r>
      <w:r w:rsidRPr="008D00F0">
        <w:rPr>
          <w:rFonts w:ascii="Times New Roman" w:hAnsi="Times New Roman" w:cs="Times New Roman"/>
          <w:b/>
          <w:bCs/>
          <w:sz w:val="20"/>
          <w:szCs w:val="20"/>
          <w:lang w:val="en-US"/>
        </w:rPr>
        <w:tab/>
      </w:r>
      <w:r w:rsidRPr="008D00F0">
        <w:rPr>
          <w:rFonts w:ascii="Times New Roman" w:hAnsi="Times New Roman" w:cs="Times New Roman"/>
          <w:b/>
          <w:bCs/>
          <w:sz w:val="20"/>
          <w:szCs w:val="20"/>
          <w:lang w:val="en-US"/>
        </w:rPr>
        <w:tab/>
        <w:t>Figure S3</w:t>
      </w:r>
      <w:r w:rsidRPr="008D00F0">
        <w:rPr>
          <w:rFonts w:ascii="Times New Roman" w:hAnsi="Times New Roman" w:cs="Times New Roman"/>
          <w:bCs/>
          <w:sz w:val="20"/>
          <w:szCs w:val="20"/>
          <w:lang w:val="en-US"/>
        </w:rPr>
        <w:tab/>
        <w:t>Risk of death by natural causes in older adults discharged from psychiatric</w:t>
      </w:r>
    </w:p>
    <w:p w:rsidR="00293097" w:rsidRPr="008D00F0" w:rsidRDefault="00293097" w:rsidP="00B831A2">
      <w:pPr>
        <w:spacing w:after="0"/>
        <w:ind w:left="2880"/>
        <w:rPr>
          <w:rFonts w:ascii="Times New Roman" w:hAnsi="Times New Roman" w:cs="Times New Roman"/>
          <w:b/>
        </w:rPr>
      </w:pPr>
      <w:r w:rsidRPr="008D00F0">
        <w:rPr>
          <w:rFonts w:ascii="Times New Roman" w:hAnsi="Times New Roman" w:cs="Times New Roman"/>
          <w:bCs/>
          <w:sz w:val="20"/>
          <w:szCs w:val="20"/>
          <w:lang w:val="en-US"/>
        </w:rPr>
        <w:t>inpatient care between practice-level IMD quintiles during the first year after discharge</w:t>
      </w:r>
    </w:p>
    <w:p w:rsidR="00293097" w:rsidRPr="008D00F0" w:rsidRDefault="00293097">
      <w:pPr>
        <w:rPr>
          <w:rFonts w:ascii="Times New Roman" w:hAnsi="Times New Roman" w:cs="Times New Roman"/>
          <w:b/>
        </w:rPr>
      </w:pPr>
    </w:p>
    <w:p w:rsidR="00293097" w:rsidRPr="008D00F0" w:rsidRDefault="00293097">
      <w:pPr>
        <w:rPr>
          <w:rFonts w:ascii="Times New Roman" w:hAnsi="Times New Roman" w:cs="Times New Roman"/>
          <w:b/>
        </w:rPr>
      </w:pPr>
    </w:p>
    <w:p w:rsidR="00293097" w:rsidRPr="008D00F0" w:rsidRDefault="00293097">
      <w:pPr>
        <w:rPr>
          <w:rFonts w:ascii="Times New Roman" w:hAnsi="Times New Roman" w:cs="Times New Roman"/>
          <w:b/>
        </w:rPr>
        <w:sectPr w:rsidR="00293097" w:rsidRPr="008D00F0" w:rsidSect="00B831A2">
          <w:pgSz w:w="11906" w:h="16838"/>
          <w:pgMar w:top="1440" w:right="1440" w:bottom="1440" w:left="1440" w:header="708" w:footer="708" w:gutter="0"/>
          <w:cols w:space="708"/>
          <w:docGrid w:linePitch="360"/>
        </w:sectPr>
      </w:pPr>
    </w:p>
    <w:p w:rsidR="00293097" w:rsidRPr="008D00F0" w:rsidRDefault="00293097" w:rsidP="00B831A2">
      <w:pPr>
        <w:spacing w:line="240" w:lineRule="auto"/>
        <w:rPr>
          <w:rFonts w:ascii="Times New Roman" w:hAnsi="Times New Roman" w:cs="Times New Roman"/>
          <w:b/>
        </w:rPr>
      </w:pPr>
      <w:r w:rsidRPr="008D00F0">
        <w:rPr>
          <w:rFonts w:ascii="Times New Roman" w:hAnsi="Times New Roman" w:cs="Times New Roman"/>
          <w:b/>
        </w:rPr>
        <w:lastRenderedPageBreak/>
        <w:t>S1. Datasets used with key links and references</w:t>
      </w:r>
    </w:p>
    <w:p w:rsidR="00293097" w:rsidRPr="008D00F0" w:rsidRDefault="00293097" w:rsidP="00B831A2">
      <w:pPr>
        <w:widowControl w:val="0"/>
        <w:autoSpaceDE w:val="0"/>
        <w:autoSpaceDN w:val="0"/>
        <w:adjustRightInd w:val="0"/>
        <w:spacing w:line="240" w:lineRule="auto"/>
        <w:rPr>
          <w:rFonts w:ascii="Times New Roman" w:hAnsi="Times New Roman" w:cs="Times New Roman"/>
          <w:b/>
          <w:noProof/>
          <w:sz w:val="20"/>
          <w:szCs w:val="20"/>
        </w:rPr>
      </w:pPr>
      <w:r w:rsidRPr="008D00F0">
        <w:rPr>
          <w:rFonts w:ascii="Times New Roman" w:hAnsi="Times New Roman" w:cs="Times New Roman"/>
          <w:b/>
          <w:noProof/>
          <w:sz w:val="20"/>
          <w:szCs w:val="20"/>
        </w:rPr>
        <w:t>CPRD primary care dataset (GOLD)</w:t>
      </w:r>
    </w:p>
    <w:p w:rsidR="00293097" w:rsidRPr="008D00F0" w:rsidRDefault="00293097" w:rsidP="00B831A2">
      <w:pPr>
        <w:widowControl w:val="0"/>
        <w:autoSpaceDE w:val="0"/>
        <w:autoSpaceDN w:val="0"/>
        <w:adjustRightInd w:val="0"/>
        <w:spacing w:line="240" w:lineRule="auto"/>
        <w:rPr>
          <w:rFonts w:ascii="Times New Roman" w:hAnsi="Times New Roman" w:cs="Times New Roman"/>
          <w:sz w:val="20"/>
          <w:szCs w:val="20"/>
        </w:rPr>
      </w:pPr>
      <w:proofErr w:type="spellStart"/>
      <w:r w:rsidRPr="008D00F0">
        <w:rPr>
          <w:rFonts w:ascii="Times New Roman" w:hAnsi="Times New Roman" w:cs="Times New Roman"/>
          <w:sz w:val="20"/>
          <w:szCs w:val="20"/>
        </w:rPr>
        <w:t>Herrett</w:t>
      </w:r>
      <w:proofErr w:type="spellEnd"/>
      <w:r w:rsidRPr="008D00F0">
        <w:rPr>
          <w:rFonts w:ascii="Times New Roman" w:hAnsi="Times New Roman" w:cs="Times New Roman"/>
          <w:sz w:val="20"/>
          <w:szCs w:val="20"/>
        </w:rPr>
        <w:t xml:space="preserve"> E, Gallagher AM, </w:t>
      </w:r>
      <w:proofErr w:type="spellStart"/>
      <w:r w:rsidRPr="008D00F0">
        <w:rPr>
          <w:rFonts w:ascii="Times New Roman" w:hAnsi="Times New Roman" w:cs="Times New Roman"/>
          <w:sz w:val="20"/>
          <w:szCs w:val="20"/>
        </w:rPr>
        <w:t>Bhaskaran</w:t>
      </w:r>
      <w:proofErr w:type="spellEnd"/>
      <w:r w:rsidRPr="008D00F0">
        <w:rPr>
          <w:rFonts w:ascii="Times New Roman" w:hAnsi="Times New Roman" w:cs="Times New Roman"/>
          <w:sz w:val="20"/>
          <w:szCs w:val="20"/>
        </w:rPr>
        <w:t xml:space="preserve"> K, et al. Data Resource Profile: Clinical Practice Research Datalink (CPRD). </w:t>
      </w:r>
      <w:proofErr w:type="spellStart"/>
      <w:r w:rsidRPr="008D00F0">
        <w:rPr>
          <w:rFonts w:ascii="Times New Roman" w:hAnsi="Times New Roman" w:cs="Times New Roman"/>
          <w:i/>
          <w:sz w:val="20"/>
          <w:szCs w:val="20"/>
        </w:rPr>
        <w:t>Int</w:t>
      </w:r>
      <w:proofErr w:type="spellEnd"/>
      <w:r w:rsidRPr="008D00F0">
        <w:rPr>
          <w:rFonts w:ascii="Times New Roman" w:hAnsi="Times New Roman" w:cs="Times New Roman"/>
          <w:i/>
          <w:sz w:val="20"/>
          <w:szCs w:val="20"/>
        </w:rPr>
        <w:t xml:space="preserve"> J </w:t>
      </w:r>
      <w:proofErr w:type="spellStart"/>
      <w:r w:rsidRPr="008D00F0">
        <w:rPr>
          <w:rFonts w:ascii="Times New Roman" w:hAnsi="Times New Roman" w:cs="Times New Roman"/>
          <w:i/>
          <w:sz w:val="20"/>
          <w:szCs w:val="20"/>
        </w:rPr>
        <w:t>Epidemiol</w:t>
      </w:r>
      <w:proofErr w:type="spellEnd"/>
      <w:r w:rsidRPr="008D00F0">
        <w:rPr>
          <w:rFonts w:ascii="Times New Roman" w:hAnsi="Times New Roman" w:cs="Times New Roman"/>
          <w:sz w:val="20"/>
          <w:szCs w:val="20"/>
        </w:rPr>
        <w:t xml:space="preserve"> 2015; </w:t>
      </w:r>
      <w:r w:rsidRPr="008D00F0">
        <w:rPr>
          <w:rFonts w:ascii="Times New Roman" w:hAnsi="Times New Roman" w:cs="Times New Roman"/>
          <w:b/>
          <w:sz w:val="20"/>
          <w:szCs w:val="20"/>
        </w:rPr>
        <w:t>44</w:t>
      </w:r>
      <w:r w:rsidRPr="008D00F0">
        <w:rPr>
          <w:rFonts w:ascii="Times New Roman" w:hAnsi="Times New Roman" w:cs="Times New Roman"/>
          <w:sz w:val="20"/>
          <w:szCs w:val="20"/>
        </w:rPr>
        <w:t xml:space="preserve">(3): 827-36. </w:t>
      </w:r>
      <w:hyperlink r:id="rId7" w:history="1">
        <w:r w:rsidRPr="008D00F0">
          <w:rPr>
            <w:rStyle w:val="Hyperlink"/>
            <w:rFonts w:ascii="Times New Roman" w:hAnsi="Times New Roman" w:cs="Times New Roman"/>
            <w:sz w:val="20"/>
            <w:szCs w:val="20"/>
          </w:rPr>
          <w:t>https://academic.oup.com/ije/article/44/3/827/632531</w:t>
        </w:r>
      </w:hyperlink>
    </w:p>
    <w:p w:rsidR="00293097" w:rsidRPr="008D00F0" w:rsidRDefault="00293097" w:rsidP="00B831A2">
      <w:pPr>
        <w:widowControl w:val="0"/>
        <w:autoSpaceDE w:val="0"/>
        <w:autoSpaceDN w:val="0"/>
        <w:adjustRightInd w:val="0"/>
        <w:spacing w:line="240" w:lineRule="auto"/>
        <w:rPr>
          <w:rFonts w:ascii="Times New Roman" w:hAnsi="Times New Roman" w:cs="Times New Roman"/>
          <w:b/>
          <w:noProof/>
          <w:sz w:val="20"/>
          <w:szCs w:val="20"/>
        </w:rPr>
      </w:pPr>
      <w:r w:rsidRPr="008D00F0">
        <w:rPr>
          <w:rFonts w:ascii="Times New Roman" w:hAnsi="Times New Roman" w:cs="Times New Roman"/>
          <w:b/>
          <w:noProof/>
          <w:sz w:val="20"/>
          <w:szCs w:val="20"/>
        </w:rPr>
        <w:t>CPRD primary care dataset (Aurum)</w:t>
      </w:r>
    </w:p>
    <w:p w:rsidR="00293097" w:rsidRPr="008D00F0" w:rsidRDefault="00293097" w:rsidP="00B831A2">
      <w:pPr>
        <w:widowControl w:val="0"/>
        <w:autoSpaceDE w:val="0"/>
        <w:autoSpaceDN w:val="0"/>
        <w:adjustRightInd w:val="0"/>
        <w:spacing w:line="240" w:lineRule="auto"/>
        <w:rPr>
          <w:rFonts w:ascii="Times New Roman" w:hAnsi="Times New Roman" w:cs="Times New Roman"/>
          <w:sz w:val="20"/>
          <w:szCs w:val="20"/>
        </w:rPr>
      </w:pPr>
      <w:r w:rsidRPr="008D00F0">
        <w:rPr>
          <w:rFonts w:ascii="Times New Roman" w:hAnsi="Times New Roman" w:cs="Times New Roman"/>
          <w:sz w:val="20"/>
          <w:szCs w:val="20"/>
        </w:rPr>
        <w:t xml:space="preserve">Wolf A, </w:t>
      </w:r>
      <w:proofErr w:type="spellStart"/>
      <w:r w:rsidRPr="008D00F0">
        <w:rPr>
          <w:rFonts w:ascii="Times New Roman" w:hAnsi="Times New Roman" w:cs="Times New Roman"/>
          <w:sz w:val="20"/>
          <w:szCs w:val="20"/>
        </w:rPr>
        <w:t>Dedman</w:t>
      </w:r>
      <w:proofErr w:type="spellEnd"/>
      <w:r w:rsidRPr="008D00F0">
        <w:rPr>
          <w:rFonts w:ascii="Times New Roman" w:hAnsi="Times New Roman" w:cs="Times New Roman"/>
          <w:sz w:val="20"/>
          <w:szCs w:val="20"/>
        </w:rPr>
        <w:t xml:space="preserve"> D, Campbell J, et al. Data resource profile: Clinical Practice Research Datalink (CPRD) Aurum. </w:t>
      </w:r>
      <w:r w:rsidRPr="008D00F0">
        <w:rPr>
          <w:rFonts w:ascii="Times New Roman" w:hAnsi="Times New Roman" w:cs="Times New Roman"/>
          <w:i/>
          <w:sz w:val="20"/>
          <w:szCs w:val="20"/>
        </w:rPr>
        <w:t>International Journal of Epidemiology</w:t>
      </w:r>
      <w:r w:rsidRPr="008D00F0">
        <w:rPr>
          <w:rFonts w:ascii="Times New Roman" w:hAnsi="Times New Roman" w:cs="Times New Roman"/>
          <w:sz w:val="20"/>
          <w:szCs w:val="20"/>
        </w:rPr>
        <w:t xml:space="preserve"> 2019; </w:t>
      </w:r>
      <w:r w:rsidRPr="008D00F0">
        <w:rPr>
          <w:rFonts w:ascii="Times New Roman" w:hAnsi="Times New Roman" w:cs="Times New Roman"/>
          <w:b/>
          <w:sz w:val="20"/>
          <w:szCs w:val="20"/>
        </w:rPr>
        <w:t>dyz034</w:t>
      </w:r>
      <w:r w:rsidRPr="008D00F0">
        <w:rPr>
          <w:rFonts w:ascii="Times New Roman" w:hAnsi="Times New Roman" w:cs="Times New Roman"/>
          <w:sz w:val="20"/>
          <w:szCs w:val="20"/>
        </w:rPr>
        <w:t xml:space="preserve">. </w:t>
      </w:r>
      <w:hyperlink r:id="rId8" w:history="1">
        <w:r w:rsidRPr="008D00F0">
          <w:rPr>
            <w:rStyle w:val="Hyperlink"/>
            <w:rFonts w:ascii="Times New Roman" w:hAnsi="Times New Roman" w:cs="Times New Roman"/>
            <w:noProof/>
            <w:sz w:val="20"/>
            <w:szCs w:val="20"/>
          </w:rPr>
          <w:t>https://academic.oup.com/ije/article/48/6/1740/5374844</w:t>
        </w:r>
      </w:hyperlink>
    </w:p>
    <w:p w:rsidR="00293097" w:rsidRPr="008D00F0" w:rsidRDefault="00293097" w:rsidP="00B831A2">
      <w:pPr>
        <w:widowControl w:val="0"/>
        <w:autoSpaceDE w:val="0"/>
        <w:autoSpaceDN w:val="0"/>
        <w:adjustRightInd w:val="0"/>
        <w:spacing w:line="240" w:lineRule="auto"/>
        <w:rPr>
          <w:rFonts w:ascii="Times New Roman" w:hAnsi="Times New Roman" w:cs="Times New Roman"/>
          <w:b/>
          <w:noProof/>
          <w:sz w:val="20"/>
          <w:szCs w:val="20"/>
        </w:rPr>
      </w:pPr>
      <w:r w:rsidRPr="008D00F0">
        <w:rPr>
          <w:rFonts w:ascii="Times New Roman" w:hAnsi="Times New Roman" w:cs="Times New Roman"/>
          <w:b/>
          <w:sz w:val="20"/>
          <w:szCs w:val="20"/>
        </w:rPr>
        <w:t xml:space="preserve">HES </w:t>
      </w:r>
      <w:r w:rsidRPr="008D00F0">
        <w:rPr>
          <w:rFonts w:ascii="Times New Roman" w:hAnsi="Times New Roman" w:cs="Times New Roman"/>
          <w:b/>
          <w:noProof/>
          <w:sz w:val="20"/>
          <w:szCs w:val="20"/>
        </w:rPr>
        <w:t>Secondary Care dataset</w:t>
      </w:r>
    </w:p>
    <w:p w:rsidR="00293097" w:rsidRPr="008D00F0" w:rsidRDefault="00293097" w:rsidP="00B831A2">
      <w:pPr>
        <w:spacing w:line="240" w:lineRule="auto"/>
        <w:rPr>
          <w:rFonts w:ascii="Times New Roman" w:hAnsi="Times New Roman" w:cs="Times New Roman"/>
          <w:sz w:val="20"/>
          <w:szCs w:val="20"/>
        </w:rPr>
      </w:pPr>
      <w:r w:rsidRPr="008D00F0">
        <w:rPr>
          <w:rFonts w:ascii="Times New Roman" w:hAnsi="Times New Roman" w:cs="Times New Roman"/>
          <w:sz w:val="20"/>
          <w:szCs w:val="20"/>
        </w:rPr>
        <w:t xml:space="preserve">The Admitted Patient Care or Inpatient dataset is part of a collection of datasets in the Hospital Episode Statistics (HES) data warehouse containing information on all admissions to English NHS hospitals.  It is derived from the Commissioning Dataset (CDS) which is used as the basis of allocating payment for care provided by hospitals.  It is administered by NHS Digital who facilitate the data-linkage to the CPRD.  </w:t>
      </w:r>
    </w:p>
    <w:p w:rsidR="00293097" w:rsidRPr="008D00F0" w:rsidRDefault="00293097" w:rsidP="00B831A2">
      <w:pPr>
        <w:spacing w:line="240" w:lineRule="auto"/>
        <w:rPr>
          <w:rFonts w:ascii="Times New Roman" w:hAnsi="Times New Roman" w:cs="Times New Roman"/>
          <w:sz w:val="20"/>
          <w:szCs w:val="20"/>
        </w:rPr>
      </w:pPr>
      <w:r w:rsidRPr="008D00F0">
        <w:rPr>
          <w:rFonts w:ascii="Times New Roman" w:hAnsi="Times New Roman" w:cs="Times New Roman"/>
          <w:noProof/>
          <w:sz w:val="20"/>
          <w:szCs w:val="20"/>
        </w:rPr>
        <w:t xml:space="preserve">NHS Digital. Hospital Episode Statistics - Hospital Admitted Patient Care Activity [Datafiles]. 2009-2019. </w:t>
      </w:r>
      <w:hyperlink r:id="rId9" w:history="1">
        <w:r w:rsidRPr="008D00F0">
          <w:rPr>
            <w:rStyle w:val="Hyperlink"/>
            <w:rFonts w:ascii="Times New Roman" w:hAnsi="Times New Roman" w:cs="Times New Roman"/>
            <w:noProof/>
            <w:sz w:val="20"/>
            <w:szCs w:val="20"/>
          </w:rPr>
          <w:t>https://digital.nhs.uk/data-and-information/publications/statistical/hospital-admitted-patient-care-activity</w:t>
        </w:r>
      </w:hyperlink>
      <w:r w:rsidRPr="008D00F0">
        <w:rPr>
          <w:rFonts w:ascii="Times New Roman" w:hAnsi="Times New Roman" w:cs="Times New Roman"/>
          <w:noProof/>
          <w:sz w:val="20"/>
          <w:szCs w:val="20"/>
        </w:rPr>
        <w:t xml:space="preserve"> (accessed Nov 14 2019).</w:t>
      </w:r>
    </w:p>
    <w:p w:rsidR="00293097" w:rsidRPr="008D00F0" w:rsidRDefault="00293097" w:rsidP="00B831A2">
      <w:pPr>
        <w:widowControl w:val="0"/>
        <w:autoSpaceDE w:val="0"/>
        <w:autoSpaceDN w:val="0"/>
        <w:adjustRightInd w:val="0"/>
        <w:spacing w:line="240" w:lineRule="auto"/>
        <w:rPr>
          <w:rFonts w:ascii="Times New Roman" w:hAnsi="Times New Roman" w:cs="Times New Roman"/>
          <w:noProof/>
          <w:sz w:val="20"/>
          <w:szCs w:val="20"/>
        </w:rPr>
      </w:pPr>
      <w:r w:rsidRPr="008D00F0">
        <w:rPr>
          <w:rFonts w:ascii="Times New Roman" w:hAnsi="Times New Roman" w:cs="Times New Roman"/>
          <w:noProof/>
          <w:sz w:val="20"/>
          <w:szCs w:val="20"/>
        </w:rPr>
        <w:t>Further information about the linkage process and quality checks can be found in the article below.</w:t>
      </w:r>
    </w:p>
    <w:p w:rsidR="00293097" w:rsidRPr="008D00F0" w:rsidRDefault="00293097" w:rsidP="00B831A2">
      <w:pPr>
        <w:widowControl w:val="0"/>
        <w:autoSpaceDE w:val="0"/>
        <w:autoSpaceDN w:val="0"/>
        <w:adjustRightInd w:val="0"/>
        <w:spacing w:line="240" w:lineRule="auto"/>
        <w:rPr>
          <w:rFonts w:ascii="Times New Roman" w:hAnsi="Times New Roman" w:cs="Times New Roman"/>
          <w:noProof/>
          <w:sz w:val="20"/>
          <w:szCs w:val="20"/>
        </w:rPr>
      </w:pPr>
      <w:proofErr w:type="spellStart"/>
      <w:r w:rsidRPr="008D00F0">
        <w:rPr>
          <w:rFonts w:ascii="Times New Roman" w:hAnsi="Times New Roman" w:cs="Times New Roman"/>
          <w:sz w:val="20"/>
          <w:szCs w:val="20"/>
        </w:rPr>
        <w:t>Padmanabhan</w:t>
      </w:r>
      <w:proofErr w:type="spellEnd"/>
      <w:r w:rsidRPr="008D00F0">
        <w:rPr>
          <w:rFonts w:ascii="Times New Roman" w:hAnsi="Times New Roman" w:cs="Times New Roman"/>
          <w:sz w:val="20"/>
          <w:szCs w:val="20"/>
        </w:rPr>
        <w:t xml:space="preserve"> S, Carty L, Cameron E, Ghosh RE, Williams R, Strongman H. Approach to record linkage of primary care data from Clinical Practice Research Datalink to other health-related patient data: overview and implications. </w:t>
      </w:r>
      <w:r w:rsidRPr="008D00F0">
        <w:rPr>
          <w:rFonts w:ascii="Times New Roman" w:hAnsi="Times New Roman" w:cs="Times New Roman"/>
          <w:i/>
          <w:sz w:val="20"/>
          <w:szCs w:val="20"/>
        </w:rPr>
        <w:t>European Journal of Epidemiology</w:t>
      </w:r>
      <w:r w:rsidRPr="008D00F0">
        <w:rPr>
          <w:rFonts w:ascii="Times New Roman" w:hAnsi="Times New Roman" w:cs="Times New Roman"/>
          <w:sz w:val="20"/>
          <w:szCs w:val="20"/>
        </w:rPr>
        <w:t xml:space="preserve"> 2019; </w:t>
      </w:r>
      <w:r w:rsidRPr="008D00F0">
        <w:rPr>
          <w:rFonts w:ascii="Times New Roman" w:hAnsi="Times New Roman" w:cs="Times New Roman"/>
          <w:b/>
          <w:sz w:val="20"/>
          <w:szCs w:val="20"/>
        </w:rPr>
        <w:t>34</w:t>
      </w:r>
      <w:r w:rsidRPr="008D00F0">
        <w:rPr>
          <w:rFonts w:ascii="Times New Roman" w:hAnsi="Times New Roman" w:cs="Times New Roman"/>
          <w:sz w:val="20"/>
          <w:szCs w:val="20"/>
        </w:rPr>
        <w:t>(1): 91-9.</w:t>
      </w:r>
    </w:p>
    <w:p w:rsidR="00293097" w:rsidRPr="008D00F0" w:rsidRDefault="00293097" w:rsidP="00B831A2">
      <w:pPr>
        <w:widowControl w:val="0"/>
        <w:autoSpaceDE w:val="0"/>
        <w:autoSpaceDN w:val="0"/>
        <w:adjustRightInd w:val="0"/>
        <w:spacing w:line="240" w:lineRule="auto"/>
        <w:rPr>
          <w:rFonts w:ascii="Times New Roman" w:hAnsi="Times New Roman" w:cs="Times New Roman"/>
          <w:b/>
          <w:noProof/>
          <w:sz w:val="20"/>
          <w:szCs w:val="20"/>
        </w:rPr>
      </w:pPr>
      <w:r w:rsidRPr="008D00F0">
        <w:rPr>
          <w:rFonts w:ascii="Times New Roman" w:hAnsi="Times New Roman" w:cs="Times New Roman"/>
          <w:b/>
          <w:noProof/>
          <w:sz w:val="20"/>
          <w:szCs w:val="20"/>
        </w:rPr>
        <w:t>Index of Multiple Deprivation (IMD)</w:t>
      </w:r>
    </w:p>
    <w:p w:rsidR="00293097" w:rsidRPr="008D00F0" w:rsidRDefault="00293097" w:rsidP="00B831A2">
      <w:pPr>
        <w:rPr>
          <w:rFonts w:ascii="Times New Roman" w:hAnsi="Times New Roman" w:cs="Times New Roman"/>
          <w:sz w:val="20"/>
          <w:szCs w:val="20"/>
        </w:rPr>
      </w:pPr>
      <w:r w:rsidRPr="008D00F0">
        <w:rPr>
          <w:rFonts w:ascii="Times New Roman" w:hAnsi="Times New Roman" w:cs="Times New Roman"/>
          <w:sz w:val="20"/>
          <w:szCs w:val="20"/>
        </w:rPr>
        <w:t xml:space="preserve">The IMD is a composite measure of relative deprivation, encompassing seven domains: health, income, employment, education, </w:t>
      </w:r>
      <w:proofErr w:type="gramStart"/>
      <w:r w:rsidRPr="008D00F0">
        <w:rPr>
          <w:rFonts w:ascii="Times New Roman" w:hAnsi="Times New Roman" w:cs="Times New Roman"/>
          <w:sz w:val="20"/>
          <w:szCs w:val="20"/>
        </w:rPr>
        <w:t>crime</w:t>
      </w:r>
      <w:proofErr w:type="gramEnd"/>
      <w:r w:rsidRPr="008D00F0">
        <w:rPr>
          <w:rFonts w:ascii="Times New Roman" w:hAnsi="Times New Roman" w:cs="Times New Roman"/>
          <w:sz w:val="20"/>
          <w:szCs w:val="20"/>
        </w:rPr>
        <w:t>, barriers to housing and services, and living environment.</w:t>
      </w:r>
    </w:p>
    <w:p w:rsidR="00293097" w:rsidRPr="008D00F0" w:rsidRDefault="00293097" w:rsidP="00B831A2">
      <w:pPr>
        <w:rPr>
          <w:rFonts w:ascii="Times New Roman" w:hAnsi="Times New Roman" w:cs="Times New Roman"/>
          <w:sz w:val="20"/>
          <w:szCs w:val="20"/>
        </w:rPr>
      </w:pPr>
      <w:r w:rsidRPr="008D00F0">
        <w:rPr>
          <w:rFonts w:ascii="Times New Roman" w:hAnsi="Times New Roman" w:cs="Times New Roman"/>
          <w:sz w:val="20"/>
          <w:szCs w:val="20"/>
        </w:rPr>
        <w:t>Ministry of Housing, Communities &amp; Local Government</w:t>
      </w:r>
      <w:proofErr w:type="gramStart"/>
      <w:r w:rsidRPr="008D00F0">
        <w:rPr>
          <w:rFonts w:ascii="Times New Roman" w:hAnsi="Times New Roman" w:cs="Times New Roman"/>
          <w:sz w:val="20"/>
          <w:szCs w:val="20"/>
        </w:rPr>
        <w:t>,.</w:t>
      </w:r>
      <w:proofErr w:type="gramEnd"/>
      <w:r w:rsidRPr="008D00F0">
        <w:rPr>
          <w:rFonts w:ascii="Times New Roman" w:hAnsi="Times New Roman" w:cs="Times New Roman"/>
          <w:sz w:val="20"/>
          <w:szCs w:val="20"/>
        </w:rPr>
        <w:t xml:space="preserve"> English indices of deprivation [</w:t>
      </w:r>
      <w:proofErr w:type="spellStart"/>
      <w:r w:rsidRPr="008D00F0">
        <w:rPr>
          <w:rFonts w:ascii="Times New Roman" w:hAnsi="Times New Roman" w:cs="Times New Roman"/>
          <w:sz w:val="20"/>
          <w:szCs w:val="20"/>
        </w:rPr>
        <w:t>Intenet</w:t>
      </w:r>
      <w:proofErr w:type="spellEnd"/>
      <w:r w:rsidRPr="008D00F0">
        <w:rPr>
          <w:rFonts w:ascii="Times New Roman" w:hAnsi="Times New Roman" w:cs="Times New Roman"/>
          <w:sz w:val="20"/>
          <w:szCs w:val="20"/>
        </w:rPr>
        <w:t xml:space="preserve">]. 26/09/2019 2019. </w:t>
      </w:r>
      <w:hyperlink r:id="rId10" w:history="1">
        <w:r w:rsidRPr="008D00F0">
          <w:rPr>
            <w:rStyle w:val="Hyperlink"/>
            <w:rFonts w:ascii="Times New Roman" w:hAnsi="Times New Roman" w:cs="Times New Roman"/>
            <w:sz w:val="20"/>
            <w:szCs w:val="20"/>
          </w:rPr>
          <w:t>https://www.gov.uk/government/collections/english-indices-of-deprivation</w:t>
        </w:r>
      </w:hyperlink>
      <w:r w:rsidRPr="008D00F0">
        <w:rPr>
          <w:rFonts w:ascii="Times New Roman" w:hAnsi="Times New Roman" w:cs="Times New Roman"/>
          <w:sz w:val="20"/>
          <w:szCs w:val="20"/>
        </w:rPr>
        <w:t xml:space="preserve"> (accessed Nov 25 2019).</w:t>
      </w:r>
    </w:p>
    <w:p w:rsidR="00293097" w:rsidRPr="008D00F0" w:rsidRDefault="00293097" w:rsidP="00B831A2">
      <w:pPr>
        <w:rPr>
          <w:rFonts w:ascii="Times New Roman" w:hAnsi="Times New Roman" w:cs="Times New Roman"/>
          <w:b/>
          <w:sz w:val="20"/>
          <w:szCs w:val="20"/>
        </w:rPr>
      </w:pPr>
      <w:r w:rsidRPr="008D00F0">
        <w:rPr>
          <w:rFonts w:ascii="Times New Roman" w:hAnsi="Times New Roman" w:cs="Times New Roman"/>
          <w:b/>
          <w:sz w:val="20"/>
          <w:szCs w:val="20"/>
        </w:rPr>
        <w:t>Office for National Statistics – Mortality Records</w:t>
      </w:r>
    </w:p>
    <w:p w:rsidR="00293097" w:rsidRPr="008D00F0" w:rsidRDefault="007C7DD0" w:rsidP="00B831A2">
      <w:pPr>
        <w:rPr>
          <w:rFonts w:ascii="Times New Roman" w:hAnsi="Times New Roman" w:cs="Times New Roman"/>
          <w:sz w:val="20"/>
          <w:szCs w:val="20"/>
        </w:rPr>
      </w:pPr>
      <w:hyperlink r:id="rId11" w:history="1">
        <w:r w:rsidR="00293097" w:rsidRPr="008D00F0">
          <w:rPr>
            <w:rStyle w:val="Hyperlink"/>
            <w:rFonts w:ascii="Times New Roman" w:hAnsi="Times New Roman" w:cs="Times New Roman"/>
            <w:sz w:val="20"/>
            <w:szCs w:val="20"/>
          </w:rPr>
          <w:t>https://www.ons.gov.uk/peoplepopulationandcommunity/birthsdeathsandmarriages/deaths</w:t>
        </w:r>
      </w:hyperlink>
    </w:p>
    <w:p w:rsidR="00293097" w:rsidRPr="008D00F0" w:rsidRDefault="00293097" w:rsidP="00B831A2">
      <w:pPr>
        <w:rPr>
          <w:rFonts w:ascii="Times New Roman" w:hAnsi="Times New Roman" w:cs="Times New Roman"/>
          <w:b/>
          <w:sz w:val="20"/>
          <w:szCs w:val="20"/>
        </w:rPr>
      </w:pPr>
      <w:r w:rsidRPr="008D00F0">
        <w:rPr>
          <w:rFonts w:ascii="Times New Roman" w:hAnsi="Times New Roman" w:cs="Times New Roman"/>
          <w:b/>
          <w:sz w:val="20"/>
          <w:szCs w:val="20"/>
        </w:rPr>
        <w:t>Alcohol related deaths</w:t>
      </w:r>
    </w:p>
    <w:p w:rsidR="00293097" w:rsidRPr="008D00F0" w:rsidRDefault="00293097" w:rsidP="00B831A2">
      <w:pPr>
        <w:rPr>
          <w:rFonts w:ascii="Times New Roman" w:hAnsi="Times New Roman" w:cs="Times New Roman"/>
          <w:sz w:val="20"/>
          <w:szCs w:val="20"/>
        </w:rPr>
      </w:pPr>
      <w:r w:rsidRPr="008D00F0">
        <w:rPr>
          <w:rFonts w:ascii="Times New Roman" w:hAnsi="Times New Roman" w:cs="Times New Roman"/>
          <w:sz w:val="20"/>
          <w:szCs w:val="20"/>
        </w:rPr>
        <w:t xml:space="preserve">Office for National Statistics. Alcohol-specific deaths in the UK: registered in 2017. 2018. </w:t>
      </w:r>
      <w:hyperlink r:id="rId12" w:history="1">
        <w:r w:rsidRPr="008D00F0">
          <w:rPr>
            <w:rStyle w:val="Hyperlink"/>
            <w:rFonts w:ascii="Times New Roman" w:hAnsi="Times New Roman" w:cs="Times New Roman"/>
            <w:sz w:val="20"/>
            <w:szCs w:val="20"/>
          </w:rPr>
          <w:t>https://www.ons.gov.uk/peoplepopulationandcommunity/healthandsocialcare/causesofdeath/bulletins/alcoholrelateddeathsintheunitedkingdom/registeredin2017</w:t>
        </w:r>
      </w:hyperlink>
      <w:r w:rsidRPr="008D00F0">
        <w:rPr>
          <w:rFonts w:ascii="Times New Roman" w:hAnsi="Times New Roman" w:cs="Times New Roman"/>
          <w:sz w:val="20"/>
          <w:szCs w:val="20"/>
        </w:rPr>
        <w:t xml:space="preserve"> (accessed Nov 10 2019).</w:t>
      </w:r>
    </w:p>
    <w:p w:rsidR="00293097" w:rsidRPr="008D00F0" w:rsidRDefault="00293097" w:rsidP="00B831A2">
      <w:pPr>
        <w:rPr>
          <w:rFonts w:ascii="Times New Roman" w:hAnsi="Times New Roman" w:cs="Times New Roman"/>
          <w:b/>
          <w:sz w:val="20"/>
          <w:szCs w:val="20"/>
        </w:rPr>
      </w:pPr>
      <w:r w:rsidRPr="008D00F0">
        <w:rPr>
          <w:rFonts w:ascii="Times New Roman" w:hAnsi="Times New Roman" w:cs="Times New Roman"/>
          <w:b/>
          <w:sz w:val="20"/>
          <w:szCs w:val="20"/>
        </w:rPr>
        <w:t>Drug Specific deaths</w:t>
      </w:r>
    </w:p>
    <w:p w:rsidR="00293097" w:rsidRPr="008D00F0" w:rsidRDefault="00293097" w:rsidP="00B831A2">
      <w:pPr>
        <w:rPr>
          <w:rFonts w:ascii="Times New Roman" w:hAnsi="Times New Roman" w:cs="Times New Roman"/>
          <w:sz w:val="20"/>
          <w:szCs w:val="20"/>
        </w:rPr>
      </w:pPr>
      <w:r w:rsidRPr="008D00F0">
        <w:rPr>
          <w:rFonts w:ascii="Times New Roman" w:hAnsi="Times New Roman" w:cs="Times New Roman"/>
          <w:sz w:val="20"/>
          <w:szCs w:val="20"/>
        </w:rPr>
        <w:t xml:space="preserve">Office for National Statistics. Deaths related to drug poisoning in England and Wales: 2018 registrations. 2019. </w:t>
      </w:r>
      <w:hyperlink r:id="rId13" w:history="1">
        <w:r w:rsidRPr="008D00F0">
          <w:rPr>
            <w:rStyle w:val="Hyperlink"/>
            <w:rFonts w:ascii="Times New Roman" w:hAnsi="Times New Roman" w:cs="Times New Roman"/>
            <w:sz w:val="20"/>
            <w:szCs w:val="20"/>
          </w:rPr>
          <w:t>https://www.ons.gov.uk/peoplepopulationandcommunity/birthsdeathsandmarriages/deaths/bulletins/deathsrelatedtodrugpoisoninginenglandandwales/2018registrations</w:t>
        </w:r>
      </w:hyperlink>
      <w:r w:rsidRPr="008D00F0">
        <w:rPr>
          <w:rFonts w:ascii="Times New Roman" w:hAnsi="Times New Roman" w:cs="Times New Roman"/>
          <w:sz w:val="20"/>
          <w:szCs w:val="20"/>
        </w:rPr>
        <w:t xml:space="preserve"> (accessed Oct 09 2019).</w:t>
      </w:r>
    </w:p>
    <w:p w:rsidR="00293097" w:rsidRPr="008D00F0" w:rsidRDefault="00293097" w:rsidP="00B831A2">
      <w:pPr>
        <w:rPr>
          <w:rFonts w:ascii="Times New Roman" w:hAnsi="Times New Roman" w:cs="Times New Roman"/>
          <w:b/>
          <w:sz w:val="20"/>
          <w:szCs w:val="20"/>
        </w:rPr>
      </w:pPr>
      <w:r w:rsidRPr="008D00F0">
        <w:rPr>
          <w:rFonts w:ascii="Times New Roman" w:hAnsi="Times New Roman" w:cs="Times New Roman"/>
          <w:b/>
          <w:sz w:val="20"/>
          <w:szCs w:val="20"/>
        </w:rPr>
        <w:t>Dementia Diagnosis (ICD-10)</w:t>
      </w:r>
    </w:p>
    <w:p w:rsidR="00293097" w:rsidRPr="008D00F0" w:rsidRDefault="00293097" w:rsidP="00B831A2">
      <w:pPr>
        <w:rPr>
          <w:rFonts w:ascii="Times New Roman" w:hAnsi="Times New Roman" w:cs="Times New Roman"/>
          <w:sz w:val="20"/>
          <w:szCs w:val="20"/>
        </w:rPr>
      </w:pPr>
      <w:r w:rsidRPr="008D00F0">
        <w:rPr>
          <w:rFonts w:ascii="Times New Roman" w:hAnsi="Times New Roman" w:cs="Times New Roman"/>
          <w:sz w:val="20"/>
          <w:szCs w:val="20"/>
        </w:rPr>
        <w:t>Codes for dementia classification in HES were taken from the following study which also used the CPRD and HES</w:t>
      </w:r>
      <w:r w:rsidR="00B831A2" w:rsidRPr="008D00F0">
        <w:rPr>
          <w:rFonts w:ascii="Times New Roman" w:hAnsi="Times New Roman" w:cs="Times New Roman"/>
          <w:sz w:val="20"/>
          <w:szCs w:val="20"/>
        </w:rPr>
        <w:t xml:space="preserve"> datasets</w:t>
      </w:r>
      <w:r w:rsidRPr="008D00F0">
        <w:rPr>
          <w:rFonts w:ascii="Times New Roman" w:hAnsi="Times New Roman" w:cs="Times New Roman"/>
          <w:sz w:val="20"/>
          <w:szCs w:val="20"/>
        </w:rPr>
        <w:t>:</w:t>
      </w:r>
    </w:p>
    <w:p w:rsidR="00293097" w:rsidRPr="008D00F0" w:rsidRDefault="00293097" w:rsidP="00B831A2">
      <w:pPr>
        <w:rPr>
          <w:rFonts w:ascii="Times New Roman" w:hAnsi="Times New Roman" w:cs="Times New Roman"/>
          <w:noProof/>
          <w:sz w:val="20"/>
          <w:szCs w:val="20"/>
        </w:rPr>
      </w:pPr>
      <w:r w:rsidRPr="008D00F0">
        <w:rPr>
          <w:rFonts w:ascii="Times New Roman" w:hAnsi="Times New Roman" w:cs="Times New Roman"/>
          <w:noProof/>
          <w:sz w:val="20"/>
          <w:szCs w:val="20"/>
        </w:rPr>
        <w:t xml:space="preserve">Muzambi R, Bhaskaran K, Smeeth L, Brayne C, Chaturvedi N, Warren-Gash C. Assessment of common infections and incident dementia using UK primary and secondary care data: a historical cohort study. </w:t>
      </w:r>
      <w:r w:rsidRPr="008D00F0">
        <w:rPr>
          <w:rFonts w:ascii="Times New Roman" w:hAnsi="Times New Roman" w:cs="Times New Roman"/>
          <w:i/>
          <w:noProof/>
          <w:sz w:val="20"/>
          <w:szCs w:val="20"/>
        </w:rPr>
        <w:t>The Lancet Healthy Longevity</w:t>
      </w:r>
      <w:r w:rsidRPr="008D00F0">
        <w:rPr>
          <w:rFonts w:ascii="Times New Roman" w:hAnsi="Times New Roman" w:cs="Times New Roman"/>
          <w:noProof/>
          <w:sz w:val="20"/>
          <w:szCs w:val="20"/>
        </w:rPr>
        <w:t xml:space="preserve"> 2021; </w:t>
      </w:r>
      <w:r w:rsidRPr="008D00F0">
        <w:rPr>
          <w:rFonts w:ascii="Times New Roman" w:hAnsi="Times New Roman" w:cs="Times New Roman"/>
          <w:b/>
          <w:noProof/>
          <w:sz w:val="20"/>
          <w:szCs w:val="20"/>
        </w:rPr>
        <w:t>2</w:t>
      </w:r>
      <w:r w:rsidRPr="008D00F0">
        <w:rPr>
          <w:rFonts w:ascii="Times New Roman" w:hAnsi="Times New Roman" w:cs="Times New Roman"/>
          <w:noProof/>
          <w:sz w:val="20"/>
          <w:szCs w:val="20"/>
        </w:rPr>
        <w:t>(7): e426-e35.</w:t>
      </w:r>
    </w:p>
    <w:p w:rsidR="00293097" w:rsidRPr="008D00F0" w:rsidRDefault="00293097" w:rsidP="00B831A2">
      <w:pPr>
        <w:rPr>
          <w:rFonts w:ascii="Times New Roman" w:hAnsi="Times New Roman" w:cs="Times New Roman"/>
          <w:noProof/>
          <w:sz w:val="20"/>
          <w:szCs w:val="20"/>
        </w:rPr>
      </w:pPr>
      <w:r w:rsidRPr="008D00F0">
        <w:rPr>
          <w:rFonts w:ascii="Times New Roman" w:hAnsi="Times New Roman" w:cs="Times New Roman"/>
          <w:b/>
          <w:noProof/>
          <w:sz w:val="20"/>
          <w:szCs w:val="20"/>
        </w:rPr>
        <w:t>Other codelists</w:t>
      </w:r>
      <w:r w:rsidRPr="008D00F0">
        <w:rPr>
          <w:rFonts w:ascii="Times New Roman" w:hAnsi="Times New Roman" w:cs="Times New Roman"/>
          <w:noProof/>
          <w:sz w:val="20"/>
          <w:szCs w:val="20"/>
        </w:rPr>
        <w:t xml:space="preserve"> </w:t>
      </w:r>
    </w:p>
    <w:p w:rsidR="00293097" w:rsidRPr="008D00F0" w:rsidRDefault="00293097">
      <w:pPr>
        <w:rPr>
          <w:rFonts w:ascii="Times New Roman" w:hAnsi="Times New Roman" w:cs="Times New Roman"/>
          <w:sz w:val="20"/>
          <w:szCs w:val="20"/>
        </w:rPr>
      </w:pPr>
      <w:r w:rsidRPr="008D00F0">
        <w:rPr>
          <w:rFonts w:ascii="Times New Roman" w:hAnsi="Times New Roman" w:cs="Times New Roman"/>
          <w:sz w:val="20"/>
          <w:szCs w:val="20"/>
        </w:rPr>
        <w:t xml:space="preserve">All other </w:t>
      </w:r>
      <w:proofErr w:type="spellStart"/>
      <w:r w:rsidRPr="008D00F0">
        <w:rPr>
          <w:rFonts w:ascii="Times New Roman" w:hAnsi="Times New Roman" w:cs="Times New Roman"/>
          <w:sz w:val="20"/>
          <w:szCs w:val="20"/>
        </w:rPr>
        <w:t>codelists</w:t>
      </w:r>
      <w:proofErr w:type="spellEnd"/>
      <w:r w:rsidRPr="008D00F0">
        <w:rPr>
          <w:rFonts w:ascii="Times New Roman" w:hAnsi="Times New Roman" w:cs="Times New Roman"/>
          <w:sz w:val="20"/>
          <w:szCs w:val="20"/>
        </w:rPr>
        <w:t xml:space="preserve"> can be found at </w:t>
      </w:r>
      <w:hyperlink r:id="rId14" w:history="1">
        <w:r w:rsidRPr="008D00F0">
          <w:rPr>
            <w:rStyle w:val="Hyperlink"/>
            <w:rFonts w:ascii="Times New Roman" w:hAnsi="Times New Roman" w:cs="Times New Roman"/>
            <w:sz w:val="20"/>
            <w:szCs w:val="20"/>
          </w:rPr>
          <w:t>https://clinicalcodes.rss.mhs.man.ac.uk/</w:t>
        </w:r>
      </w:hyperlink>
    </w:p>
    <w:p w:rsidR="00293097" w:rsidRPr="008D00F0" w:rsidRDefault="00293097" w:rsidP="00B831A2">
      <w:pPr>
        <w:tabs>
          <w:tab w:val="left" w:pos="2758"/>
        </w:tabs>
        <w:rPr>
          <w:rFonts w:ascii="Times New Roman" w:hAnsi="Times New Roman" w:cs="Times New Roman"/>
          <w:b/>
          <w:sz w:val="20"/>
          <w:szCs w:val="20"/>
        </w:rPr>
      </w:pPr>
      <w:r w:rsidRPr="008D00F0">
        <w:rPr>
          <w:rFonts w:ascii="Times New Roman" w:hAnsi="Times New Roman" w:cs="Times New Roman"/>
          <w:b/>
          <w:sz w:val="20"/>
          <w:szCs w:val="20"/>
        </w:rPr>
        <w:lastRenderedPageBreak/>
        <w:t xml:space="preserve">Table S1- Delineation of the cohort of recently discharged patients </w:t>
      </w:r>
    </w:p>
    <w:p w:rsidR="00293097" w:rsidRPr="008D00F0" w:rsidRDefault="00293097" w:rsidP="00B831A2">
      <w:pPr>
        <w:jc w:val="both"/>
        <w:rPr>
          <w:rFonts w:ascii="Times New Roman" w:hAnsi="Times New Roman" w:cs="Times New Roman"/>
          <w:sz w:val="20"/>
          <w:szCs w:val="20"/>
        </w:rPr>
      </w:pPr>
      <w:r w:rsidRPr="008D00F0">
        <w:rPr>
          <w:rFonts w:ascii="Times New Roman" w:hAnsi="Times New Roman" w:cs="Times New Roman"/>
          <w:sz w:val="20"/>
          <w:szCs w:val="20"/>
        </w:rPr>
        <w:t xml:space="preserve">All numbers tabulated are those patients who remain in the cohort after the exclusion criteria have been applied.  Patients can have multiple episodes of care within one hospital stay, and/or several episodes across more than one hospital stay. The original data provided by the CPRD contained all episodes for each patient to identify the index episode. Aurum contains records from practices using the </w:t>
      </w:r>
      <w:r w:rsidRPr="008D00F0">
        <w:rPr>
          <w:rFonts w:ascii="Times New Roman" w:hAnsi="Times New Roman" w:cs="Times New Roman"/>
          <w:sz w:val="20"/>
          <w:szCs w:val="20"/>
          <w:lang w:val="en-US"/>
        </w:rPr>
        <w:t xml:space="preserve">EMIS </w:t>
      </w:r>
      <w:r w:rsidRPr="008D00F0">
        <w:rPr>
          <w:rFonts w:ascii="Times New Roman" w:hAnsi="Times New Roman" w:cs="Times New Roman"/>
          <w:sz w:val="20"/>
          <w:szCs w:val="20"/>
        </w:rPr>
        <w:t>Web</w:t>
      </w:r>
      <w:r w:rsidRPr="008D00F0">
        <w:rPr>
          <w:rFonts w:ascii="Times New Roman" w:hAnsi="Times New Roman" w:cs="Times New Roman"/>
          <w:color w:val="333333"/>
          <w:sz w:val="20"/>
          <w:szCs w:val="20"/>
        </w:rPr>
        <w:t>®</w:t>
      </w:r>
      <w:r w:rsidRPr="008D00F0">
        <w:rPr>
          <w:rFonts w:ascii="Times New Roman" w:hAnsi="Times New Roman" w:cs="Times New Roman"/>
          <w:sz w:val="20"/>
          <w:szCs w:val="20"/>
          <w:lang w:val="en-US"/>
        </w:rPr>
        <w:t xml:space="preserve"> patient record system and GOLD contains records from practices using Vision</w:t>
      </w:r>
      <w:r w:rsidRPr="008D00F0">
        <w:rPr>
          <w:rFonts w:ascii="Times New Roman" w:hAnsi="Times New Roman" w:cs="Times New Roman"/>
          <w:color w:val="333333"/>
          <w:sz w:val="20"/>
          <w:szCs w:val="20"/>
        </w:rPr>
        <w:t>®</w:t>
      </w:r>
      <w:r w:rsidRPr="008D00F0">
        <w:rPr>
          <w:rFonts w:ascii="Times New Roman" w:hAnsi="Times New Roman" w:cs="Times New Roman"/>
          <w:sz w:val="20"/>
          <w:szCs w:val="20"/>
          <w:lang w:val="en-US"/>
        </w:rPr>
        <w:t>.</w:t>
      </w:r>
    </w:p>
    <w:tbl>
      <w:tblPr>
        <w:tblStyle w:val="TableGrid"/>
        <w:tblW w:w="9918" w:type="dxa"/>
        <w:tblInd w:w="-289" w:type="dxa"/>
        <w:tblLayout w:type="fixed"/>
        <w:tblLook w:val="04A0" w:firstRow="1" w:lastRow="0" w:firstColumn="1" w:lastColumn="0" w:noHBand="0" w:noVBand="1"/>
      </w:tblPr>
      <w:tblGrid>
        <w:gridCol w:w="2237"/>
        <w:gridCol w:w="3428"/>
        <w:gridCol w:w="993"/>
        <w:gridCol w:w="1134"/>
        <w:gridCol w:w="992"/>
        <w:gridCol w:w="1134"/>
      </w:tblGrid>
      <w:tr w:rsidR="00293097" w:rsidRPr="008D00F0" w:rsidTr="00B831A2">
        <w:tc>
          <w:tcPr>
            <w:tcW w:w="2237" w:type="dxa"/>
          </w:tcPr>
          <w:p w:rsidR="00293097" w:rsidRPr="008D00F0" w:rsidRDefault="00293097">
            <w:pPr>
              <w:rPr>
                <w:rFonts w:ascii="Times New Roman" w:hAnsi="Times New Roman" w:cs="Times New Roman"/>
                <w:sz w:val="16"/>
                <w:szCs w:val="16"/>
              </w:rPr>
            </w:pPr>
          </w:p>
        </w:tc>
        <w:tc>
          <w:tcPr>
            <w:tcW w:w="3428" w:type="dxa"/>
          </w:tcPr>
          <w:p w:rsidR="00293097" w:rsidRPr="008D00F0" w:rsidRDefault="00293097" w:rsidP="00B831A2">
            <w:pPr>
              <w:jc w:val="center"/>
              <w:rPr>
                <w:rFonts w:ascii="Times New Roman" w:hAnsi="Times New Roman" w:cs="Times New Roman"/>
                <w:sz w:val="16"/>
                <w:szCs w:val="16"/>
              </w:rPr>
            </w:pPr>
          </w:p>
        </w:tc>
        <w:tc>
          <w:tcPr>
            <w:tcW w:w="2127" w:type="dxa"/>
            <w:gridSpan w:val="2"/>
          </w:tcPr>
          <w:p w:rsidR="00293097" w:rsidRPr="008D00F0" w:rsidRDefault="00293097" w:rsidP="00B831A2">
            <w:pPr>
              <w:jc w:val="center"/>
              <w:rPr>
                <w:rFonts w:ascii="Times New Roman" w:hAnsi="Times New Roman" w:cs="Times New Roman"/>
                <w:b/>
                <w:sz w:val="16"/>
                <w:szCs w:val="16"/>
              </w:rPr>
            </w:pPr>
            <w:r w:rsidRPr="008D00F0">
              <w:rPr>
                <w:rFonts w:ascii="Times New Roman" w:hAnsi="Times New Roman" w:cs="Times New Roman"/>
                <w:b/>
                <w:sz w:val="16"/>
                <w:szCs w:val="16"/>
              </w:rPr>
              <w:t>Aurum Dataset</w:t>
            </w:r>
          </w:p>
        </w:tc>
        <w:tc>
          <w:tcPr>
            <w:tcW w:w="2126" w:type="dxa"/>
            <w:gridSpan w:val="2"/>
          </w:tcPr>
          <w:p w:rsidR="00293097" w:rsidRPr="008D00F0" w:rsidRDefault="00293097" w:rsidP="00B831A2">
            <w:pPr>
              <w:jc w:val="center"/>
              <w:rPr>
                <w:rFonts w:ascii="Times New Roman" w:hAnsi="Times New Roman" w:cs="Times New Roman"/>
                <w:b/>
                <w:sz w:val="16"/>
                <w:szCs w:val="16"/>
              </w:rPr>
            </w:pPr>
            <w:r w:rsidRPr="008D00F0">
              <w:rPr>
                <w:rFonts w:ascii="Times New Roman" w:hAnsi="Times New Roman" w:cs="Times New Roman"/>
                <w:b/>
                <w:sz w:val="16"/>
                <w:szCs w:val="16"/>
              </w:rPr>
              <w:t>GOLD Dataset</w:t>
            </w:r>
          </w:p>
        </w:tc>
      </w:tr>
      <w:tr w:rsidR="00293097" w:rsidRPr="008D00F0" w:rsidTr="00B831A2">
        <w:tc>
          <w:tcPr>
            <w:tcW w:w="2237" w:type="dxa"/>
          </w:tcPr>
          <w:p w:rsidR="00293097" w:rsidRPr="008D00F0" w:rsidRDefault="00293097" w:rsidP="00B831A2">
            <w:pPr>
              <w:rPr>
                <w:rFonts w:ascii="Times New Roman" w:hAnsi="Times New Roman" w:cs="Times New Roman"/>
                <w:b/>
                <w:sz w:val="16"/>
                <w:szCs w:val="16"/>
              </w:rPr>
            </w:pPr>
            <w:r w:rsidRPr="008D00F0">
              <w:rPr>
                <w:rFonts w:ascii="Times New Roman" w:hAnsi="Times New Roman" w:cs="Times New Roman"/>
                <w:b/>
                <w:sz w:val="16"/>
                <w:szCs w:val="16"/>
              </w:rPr>
              <w:t>Criteria</w:t>
            </w:r>
          </w:p>
        </w:tc>
        <w:tc>
          <w:tcPr>
            <w:tcW w:w="3428"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b/>
                <w:sz w:val="16"/>
                <w:szCs w:val="16"/>
              </w:rPr>
              <w:t>Further detail</w:t>
            </w:r>
          </w:p>
        </w:tc>
        <w:tc>
          <w:tcPr>
            <w:tcW w:w="993" w:type="dxa"/>
          </w:tcPr>
          <w:p w:rsidR="00293097" w:rsidRPr="008D00F0" w:rsidRDefault="00293097" w:rsidP="00B831A2">
            <w:pPr>
              <w:rPr>
                <w:rFonts w:ascii="Times New Roman" w:hAnsi="Times New Roman" w:cs="Times New Roman"/>
                <w:b/>
                <w:sz w:val="16"/>
                <w:szCs w:val="16"/>
              </w:rPr>
            </w:pPr>
            <w:r w:rsidRPr="008D00F0">
              <w:rPr>
                <w:rFonts w:ascii="Times New Roman" w:hAnsi="Times New Roman" w:cs="Times New Roman"/>
                <w:b/>
                <w:sz w:val="16"/>
                <w:szCs w:val="16"/>
              </w:rPr>
              <w:t xml:space="preserve">Patients </w:t>
            </w:r>
          </w:p>
        </w:tc>
        <w:tc>
          <w:tcPr>
            <w:tcW w:w="1134" w:type="dxa"/>
          </w:tcPr>
          <w:p w:rsidR="00293097" w:rsidRPr="008D00F0" w:rsidRDefault="00293097" w:rsidP="00B831A2">
            <w:pPr>
              <w:rPr>
                <w:rFonts w:ascii="Times New Roman" w:hAnsi="Times New Roman" w:cs="Times New Roman"/>
                <w:b/>
                <w:sz w:val="16"/>
                <w:szCs w:val="16"/>
              </w:rPr>
            </w:pPr>
            <w:r w:rsidRPr="008D00F0">
              <w:rPr>
                <w:rFonts w:ascii="Times New Roman" w:hAnsi="Times New Roman" w:cs="Times New Roman"/>
                <w:b/>
                <w:sz w:val="16"/>
                <w:szCs w:val="16"/>
              </w:rPr>
              <w:t xml:space="preserve">Patient Episodes </w:t>
            </w:r>
          </w:p>
        </w:tc>
        <w:tc>
          <w:tcPr>
            <w:tcW w:w="992" w:type="dxa"/>
          </w:tcPr>
          <w:p w:rsidR="00293097" w:rsidRPr="008D00F0" w:rsidRDefault="00293097" w:rsidP="00B831A2">
            <w:pPr>
              <w:rPr>
                <w:rFonts w:ascii="Times New Roman" w:hAnsi="Times New Roman" w:cs="Times New Roman"/>
                <w:b/>
                <w:sz w:val="16"/>
                <w:szCs w:val="16"/>
              </w:rPr>
            </w:pPr>
            <w:r w:rsidRPr="008D00F0">
              <w:rPr>
                <w:rFonts w:ascii="Times New Roman" w:hAnsi="Times New Roman" w:cs="Times New Roman"/>
                <w:b/>
                <w:sz w:val="16"/>
                <w:szCs w:val="16"/>
              </w:rPr>
              <w:t>Patients</w:t>
            </w:r>
          </w:p>
        </w:tc>
        <w:tc>
          <w:tcPr>
            <w:tcW w:w="1134" w:type="dxa"/>
          </w:tcPr>
          <w:p w:rsidR="00293097" w:rsidRPr="008D00F0" w:rsidRDefault="00293097" w:rsidP="00B831A2">
            <w:pPr>
              <w:rPr>
                <w:rFonts w:ascii="Times New Roman" w:hAnsi="Times New Roman" w:cs="Times New Roman"/>
                <w:b/>
                <w:sz w:val="16"/>
                <w:szCs w:val="16"/>
              </w:rPr>
            </w:pPr>
            <w:r w:rsidRPr="008D00F0">
              <w:rPr>
                <w:rFonts w:ascii="Times New Roman" w:hAnsi="Times New Roman" w:cs="Times New Roman"/>
                <w:b/>
                <w:sz w:val="16"/>
                <w:szCs w:val="16"/>
              </w:rPr>
              <w:t>Patient Episodes</w:t>
            </w:r>
          </w:p>
        </w:tc>
      </w:tr>
      <w:tr w:rsidR="00293097" w:rsidRPr="008D00F0" w:rsidTr="00B831A2">
        <w:tc>
          <w:tcPr>
            <w:tcW w:w="2237" w:type="dxa"/>
            <w:tcBorders>
              <w:bottom w:val="single" w:sz="4" w:space="0" w:color="auto"/>
            </w:tcBorders>
          </w:tcPr>
          <w:p w:rsidR="00293097" w:rsidRPr="008D00F0" w:rsidRDefault="00293097" w:rsidP="00B831A2">
            <w:pPr>
              <w:rPr>
                <w:rFonts w:ascii="Times New Roman" w:hAnsi="Times New Roman" w:cs="Times New Roman"/>
                <w:b/>
                <w:sz w:val="16"/>
                <w:szCs w:val="16"/>
              </w:rPr>
            </w:pPr>
            <w:r w:rsidRPr="008D00F0">
              <w:rPr>
                <w:rFonts w:ascii="Times New Roman" w:hAnsi="Times New Roman" w:cs="Times New Roman"/>
                <w:b/>
                <w:sz w:val="16"/>
                <w:szCs w:val="16"/>
              </w:rPr>
              <w:t>HES Cohort delineation</w:t>
            </w:r>
          </w:p>
        </w:tc>
        <w:tc>
          <w:tcPr>
            <w:tcW w:w="3428" w:type="dxa"/>
            <w:tcBorders>
              <w:bottom w:val="single" w:sz="4" w:space="0" w:color="auto"/>
            </w:tcBorders>
          </w:tcPr>
          <w:p w:rsidR="00293097" w:rsidRPr="008D00F0" w:rsidRDefault="00293097" w:rsidP="00B831A2">
            <w:pPr>
              <w:rPr>
                <w:rFonts w:ascii="Times New Roman" w:hAnsi="Times New Roman" w:cs="Times New Roman"/>
                <w:b/>
                <w:sz w:val="16"/>
                <w:szCs w:val="16"/>
              </w:rPr>
            </w:pPr>
          </w:p>
        </w:tc>
        <w:tc>
          <w:tcPr>
            <w:tcW w:w="993" w:type="dxa"/>
            <w:tcBorders>
              <w:bottom w:val="single" w:sz="4" w:space="0" w:color="auto"/>
            </w:tcBorders>
            <w:vAlign w:val="center"/>
          </w:tcPr>
          <w:p w:rsidR="00293097" w:rsidRPr="008D00F0" w:rsidRDefault="00293097" w:rsidP="00B831A2">
            <w:pPr>
              <w:rPr>
                <w:rFonts w:ascii="Times New Roman" w:hAnsi="Times New Roman" w:cs="Times New Roman"/>
                <w:sz w:val="16"/>
                <w:szCs w:val="16"/>
              </w:rPr>
            </w:pPr>
          </w:p>
        </w:tc>
        <w:tc>
          <w:tcPr>
            <w:tcW w:w="1134" w:type="dxa"/>
            <w:tcBorders>
              <w:bottom w:val="single" w:sz="4" w:space="0" w:color="auto"/>
            </w:tcBorders>
            <w:vAlign w:val="center"/>
          </w:tcPr>
          <w:p w:rsidR="00293097" w:rsidRPr="008D00F0" w:rsidRDefault="00293097" w:rsidP="00B831A2">
            <w:pPr>
              <w:rPr>
                <w:rFonts w:ascii="Times New Roman" w:hAnsi="Times New Roman" w:cs="Times New Roman"/>
                <w:sz w:val="16"/>
                <w:szCs w:val="16"/>
              </w:rPr>
            </w:pPr>
          </w:p>
        </w:tc>
        <w:tc>
          <w:tcPr>
            <w:tcW w:w="992" w:type="dxa"/>
            <w:tcBorders>
              <w:bottom w:val="single" w:sz="4" w:space="0" w:color="auto"/>
            </w:tcBorders>
            <w:vAlign w:val="center"/>
          </w:tcPr>
          <w:p w:rsidR="00293097" w:rsidRPr="008D00F0" w:rsidRDefault="00293097" w:rsidP="00B831A2">
            <w:pPr>
              <w:rPr>
                <w:rFonts w:ascii="Times New Roman" w:hAnsi="Times New Roman" w:cs="Times New Roman"/>
                <w:color w:val="000000"/>
                <w:sz w:val="16"/>
                <w:szCs w:val="16"/>
              </w:rPr>
            </w:pPr>
          </w:p>
        </w:tc>
        <w:tc>
          <w:tcPr>
            <w:tcW w:w="1134" w:type="dxa"/>
            <w:tcBorders>
              <w:bottom w:val="single" w:sz="4" w:space="0" w:color="auto"/>
            </w:tcBorders>
            <w:vAlign w:val="center"/>
          </w:tcPr>
          <w:p w:rsidR="00293097" w:rsidRPr="008D00F0" w:rsidRDefault="00293097" w:rsidP="00B831A2">
            <w:pPr>
              <w:rPr>
                <w:rFonts w:ascii="Times New Roman" w:hAnsi="Times New Roman" w:cs="Times New Roman"/>
                <w:sz w:val="16"/>
                <w:szCs w:val="16"/>
              </w:rPr>
            </w:pPr>
          </w:p>
        </w:tc>
      </w:tr>
      <w:tr w:rsidR="00293097" w:rsidRPr="008D00F0" w:rsidTr="00B831A2">
        <w:tc>
          <w:tcPr>
            <w:tcW w:w="2237" w:type="dxa"/>
            <w:tcBorders>
              <w:bottom w:val="single" w:sz="4" w:space="0" w:color="auto"/>
            </w:tcBorders>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Records received from CPRD. All episodes of care under a psychiatric consultant between 01/01/1998 and 31/05/2019</w:t>
            </w:r>
          </w:p>
        </w:tc>
        <w:tc>
          <w:tcPr>
            <w:tcW w:w="3428" w:type="dxa"/>
            <w:tcBorders>
              <w:bottom w:val="single" w:sz="4" w:space="0" w:color="auto"/>
            </w:tcBorders>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Main Specialty= 710/711/712/713/715</w:t>
            </w:r>
          </w:p>
        </w:tc>
        <w:tc>
          <w:tcPr>
            <w:tcW w:w="993" w:type="dxa"/>
            <w:tcBorders>
              <w:bottom w:val="single" w:sz="4" w:space="0" w:color="auto"/>
            </w:tcBorders>
            <w:vAlign w:val="center"/>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485,715</w:t>
            </w:r>
          </w:p>
        </w:tc>
        <w:tc>
          <w:tcPr>
            <w:tcW w:w="1134" w:type="dxa"/>
            <w:tcBorders>
              <w:bottom w:val="single" w:sz="4" w:space="0" w:color="auto"/>
            </w:tcBorders>
            <w:vAlign w:val="center"/>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1,588,855</w:t>
            </w:r>
          </w:p>
        </w:tc>
        <w:tc>
          <w:tcPr>
            <w:tcW w:w="992" w:type="dxa"/>
            <w:tcBorders>
              <w:bottom w:val="single" w:sz="4" w:space="0" w:color="auto"/>
            </w:tcBorders>
            <w:vAlign w:val="center"/>
          </w:tcPr>
          <w:p w:rsidR="00293097" w:rsidRPr="008D00F0" w:rsidRDefault="00293097" w:rsidP="00B831A2">
            <w:pPr>
              <w:rPr>
                <w:rFonts w:ascii="Times New Roman" w:hAnsi="Times New Roman" w:cs="Times New Roman"/>
                <w:color w:val="000000"/>
                <w:sz w:val="16"/>
                <w:szCs w:val="16"/>
              </w:rPr>
            </w:pPr>
            <w:r w:rsidRPr="008D00F0">
              <w:rPr>
                <w:rFonts w:ascii="Times New Roman" w:hAnsi="Times New Roman" w:cs="Times New Roman"/>
                <w:color w:val="000000"/>
                <w:sz w:val="16"/>
                <w:szCs w:val="16"/>
              </w:rPr>
              <w:t>193,317</w:t>
            </w:r>
          </w:p>
        </w:tc>
        <w:tc>
          <w:tcPr>
            <w:tcW w:w="1134" w:type="dxa"/>
            <w:tcBorders>
              <w:bottom w:val="single" w:sz="4" w:space="0" w:color="auto"/>
            </w:tcBorders>
            <w:vAlign w:val="center"/>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623,756</w:t>
            </w:r>
          </w:p>
        </w:tc>
      </w:tr>
      <w:tr w:rsidR="00293097" w:rsidRPr="008D00F0" w:rsidTr="00B831A2">
        <w:tc>
          <w:tcPr>
            <w:tcW w:w="9918" w:type="dxa"/>
            <w:gridSpan w:val="6"/>
          </w:tcPr>
          <w:p w:rsidR="00293097" w:rsidRPr="008D00F0" w:rsidRDefault="00293097" w:rsidP="00B831A2">
            <w:pPr>
              <w:jc w:val="center"/>
              <w:rPr>
                <w:rFonts w:ascii="Times New Roman" w:hAnsi="Times New Roman" w:cs="Times New Roman"/>
                <w:b/>
                <w:sz w:val="16"/>
                <w:szCs w:val="16"/>
              </w:rPr>
            </w:pPr>
            <w:r w:rsidRPr="008D00F0">
              <w:rPr>
                <w:rFonts w:ascii="Times New Roman" w:hAnsi="Times New Roman" w:cs="Times New Roman"/>
                <w:b/>
                <w:sz w:val="16"/>
                <w:szCs w:val="16"/>
              </w:rPr>
              <w:t>Numbers after exclusions</w:t>
            </w:r>
          </w:p>
        </w:tc>
      </w:tr>
      <w:tr w:rsidR="00293097" w:rsidRPr="008D00F0" w:rsidTr="00B831A2">
        <w:tc>
          <w:tcPr>
            <w:tcW w:w="2237"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Removal of patients from duplicate practices which have moved electronic record systems (GOLD only)</w:t>
            </w:r>
          </w:p>
        </w:tc>
        <w:tc>
          <w:tcPr>
            <w:tcW w:w="3428" w:type="dxa"/>
          </w:tcPr>
          <w:p w:rsidR="00293097" w:rsidRPr="008D00F0" w:rsidRDefault="00293097" w:rsidP="00B831A2">
            <w:pPr>
              <w:rPr>
                <w:rFonts w:ascii="Times New Roman" w:hAnsi="Times New Roman" w:cs="Times New Roman"/>
                <w:sz w:val="16"/>
                <w:szCs w:val="16"/>
              </w:rPr>
            </w:pPr>
          </w:p>
        </w:tc>
        <w:tc>
          <w:tcPr>
            <w:tcW w:w="993"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485,715</w:t>
            </w:r>
          </w:p>
        </w:tc>
        <w:tc>
          <w:tcPr>
            <w:tcW w:w="1134"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1,588,855</w:t>
            </w:r>
          </w:p>
        </w:tc>
        <w:tc>
          <w:tcPr>
            <w:tcW w:w="992"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123,461</w:t>
            </w:r>
          </w:p>
        </w:tc>
        <w:tc>
          <w:tcPr>
            <w:tcW w:w="1134"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402,426</w:t>
            </w:r>
          </w:p>
        </w:tc>
      </w:tr>
      <w:tr w:rsidR="00293097" w:rsidRPr="008D00F0" w:rsidTr="00B831A2">
        <w:tc>
          <w:tcPr>
            <w:tcW w:w="2237"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Keep only ‘ordinary’ inpatients</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(Exclude day patients) </w:t>
            </w:r>
          </w:p>
        </w:tc>
        <w:tc>
          <w:tcPr>
            <w:tcW w:w="3428"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(classification!=1)</w:t>
            </w:r>
          </w:p>
        </w:tc>
        <w:tc>
          <w:tcPr>
            <w:tcW w:w="993"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484,690</w:t>
            </w:r>
          </w:p>
        </w:tc>
        <w:tc>
          <w:tcPr>
            <w:tcW w:w="1134"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1,578,462</w:t>
            </w:r>
          </w:p>
        </w:tc>
        <w:tc>
          <w:tcPr>
            <w:tcW w:w="992"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123,211</w:t>
            </w:r>
          </w:p>
        </w:tc>
        <w:tc>
          <w:tcPr>
            <w:tcW w:w="1134" w:type="dxa"/>
            <w:vAlign w:val="bottom"/>
          </w:tcPr>
          <w:p w:rsidR="00293097" w:rsidRPr="008D00F0" w:rsidRDefault="00293097" w:rsidP="00B831A2">
            <w:pPr>
              <w:rPr>
                <w:rFonts w:ascii="Times New Roman" w:hAnsi="Times New Roman" w:cs="Times New Roman"/>
                <w:color w:val="000000"/>
                <w:sz w:val="16"/>
                <w:szCs w:val="16"/>
              </w:rPr>
            </w:pPr>
            <w:r w:rsidRPr="008D00F0">
              <w:rPr>
                <w:rFonts w:ascii="Times New Roman" w:hAnsi="Times New Roman" w:cs="Times New Roman"/>
                <w:color w:val="000000"/>
                <w:sz w:val="16"/>
                <w:szCs w:val="16"/>
              </w:rPr>
              <w:t>398,609</w:t>
            </w:r>
          </w:p>
        </w:tc>
      </w:tr>
      <w:tr w:rsidR="00293097" w:rsidRPr="008D00F0" w:rsidTr="00B831A2">
        <w:tc>
          <w:tcPr>
            <w:tcW w:w="2237"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Limit to episodes that end with a community discharge</w:t>
            </w:r>
          </w:p>
          <w:p w:rsidR="00293097" w:rsidRPr="008D00F0" w:rsidRDefault="00293097" w:rsidP="00B831A2">
            <w:pPr>
              <w:rPr>
                <w:rFonts w:ascii="Times New Roman" w:hAnsi="Times New Roman" w:cs="Times New Roman"/>
                <w:sz w:val="16"/>
                <w:szCs w:val="16"/>
              </w:rPr>
            </w:pPr>
          </w:p>
        </w:tc>
        <w:tc>
          <w:tcPr>
            <w:tcW w:w="3428"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Keep</w:t>
            </w:r>
          </w:p>
          <w:p w:rsidR="00293097" w:rsidRPr="008D00F0" w:rsidRDefault="00293097" w:rsidP="00B831A2">
            <w:pPr>
              <w:pStyle w:val="Body"/>
              <w:rPr>
                <w:rFonts w:ascii="Times New Roman" w:hAnsi="Times New Roman" w:cs="Times New Roman"/>
                <w:color w:val="auto"/>
                <w:sz w:val="16"/>
                <w:szCs w:val="16"/>
                <w:u w:color="1F4E79"/>
              </w:rPr>
            </w:pPr>
            <w:r w:rsidRPr="008D00F0">
              <w:rPr>
                <w:rFonts w:ascii="Times New Roman" w:hAnsi="Times New Roman" w:cs="Times New Roman"/>
                <w:sz w:val="16"/>
                <w:szCs w:val="16"/>
              </w:rPr>
              <w:t xml:space="preserve">Discharge destination </w:t>
            </w:r>
            <w:r w:rsidRPr="008D00F0">
              <w:rPr>
                <w:rFonts w:ascii="Times New Roman" w:hAnsi="Times New Roman" w:cs="Times New Roman"/>
                <w:color w:val="auto"/>
                <w:sz w:val="16"/>
                <w:szCs w:val="16"/>
              </w:rPr>
              <w:t xml:space="preserve">= </w:t>
            </w:r>
            <w:r w:rsidRPr="008D00F0">
              <w:rPr>
                <w:rFonts w:ascii="Times New Roman" w:hAnsi="Times New Roman" w:cs="Times New Roman"/>
                <w:color w:val="auto"/>
                <w:sz w:val="16"/>
                <w:szCs w:val="16"/>
                <w:u w:color="1F4E79"/>
              </w:rPr>
              <w:t>19 Normal place of residence</w:t>
            </w:r>
          </w:p>
          <w:p w:rsidR="00293097" w:rsidRPr="008D00F0" w:rsidRDefault="00293097" w:rsidP="00B831A2">
            <w:pPr>
              <w:pStyle w:val="Body"/>
              <w:rPr>
                <w:rFonts w:ascii="Times New Roman" w:hAnsi="Times New Roman" w:cs="Times New Roman"/>
                <w:color w:val="auto"/>
                <w:sz w:val="16"/>
                <w:szCs w:val="16"/>
                <w:u w:color="1F4E79"/>
              </w:rPr>
            </w:pPr>
            <w:r w:rsidRPr="008D00F0">
              <w:rPr>
                <w:rFonts w:ascii="Times New Roman" w:hAnsi="Times New Roman" w:cs="Times New Roman"/>
                <w:color w:val="auto"/>
                <w:sz w:val="16"/>
                <w:szCs w:val="16"/>
                <w:u w:color="1F4E79"/>
              </w:rPr>
              <w:t>Or 29 = Temporary place of residence</w:t>
            </w:r>
          </w:p>
          <w:p w:rsidR="00293097" w:rsidRPr="008D00F0" w:rsidRDefault="00293097" w:rsidP="00B831A2">
            <w:pPr>
              <w:pStyle w:val="Body"/>
              <w:rPr>
                <w:rFonts w:ascii="Times New Roman" w:hAnsi="Times New Roman" w:cs="Times New Roman"/>
                <w:color w:val="auto"/>
                <w:sz w:val="16"/>
                <w:szCs w:val="16"/>
                <w:u w:color="1F4E79"/>
              </w:rPr>
            </w:pPr>
            <w:r w:rsidRPr="008D00F0">
              <w:rPr>
                <w:rFonts w:ascii="Times New Roman" w:hAnsi="Times New Roman" w:cs="Times New Roman"/>
                <w:color w:val="auto"/>
                <w:sz w:val="16"/>
                <w:szCs w:val="16"/>
                <w:u w:color="1F4E79"/>
              </w:rPr>
              <w:t>Or 54,65,66,85 = care homes/foster care</w:t>
            </w: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Exclude all transfers and any episodes where the discharge method is 8 (N/A still in hospital) or 4 (died in hospital)</w:t>
            </w:r>
          </w:p>
        </w:tc>
        <w:tc>
          <w:tcPr>
            <w:tcW w:w="993"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456,355</w:t>
            </w:r>
          </w:p>
        </w:tc>
        <w:tc>
          <w:tcPr>
            <w:tcW w:w="1134"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1,184,355</w:t>
            </w:r>
          </w:p>
        </w:tc>
        <w:tc>
          <w:tcPr>
            <w:tcW w:w="992"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115,812</w:t>
            </w:r>
          </w:p>
        </w:tc>
        <w:tc>
          <w:tcPr>
            <w:tcW w:w="1134"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color w:val="000000"/>
                <w:sz w:val="16"/>
                <w:szCs w:val="16"/>
              </w:rPr>
              <w:t>301,716</w:t>
            </w:r>
          </w:p>
        </w:tc>
      </w:tr>
      <w:tr w:rsidR="00293097" w:rsidRPr="008D00F0" w:rsidTr="00B831A2">
        <w:tc>
          <w:tcPr>
            <w:tcW w:w="2237"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Limit to discharges within the study period, without recent prior hospitalisation.</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 </w:t>
            </w:r>
          </w:p>
        </w:tc>
        <w:tc>
          <w:tcPr>
            <w:tcW w:w="3428"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Exclude all patients whose</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-only discharge falls outside the study period (before 1</w:t>
            </w:r>
            <w:r w:rsidRPr="008D00F0">
              <w:rPr>
                <w:rFonts w:ascii="Times New Roman" w:hAnsi="Times New Roman" w:cs="Times New Roman"/>
                <w:sz w:val="16"/>
                <w:szCs w:val="16"/>
                <w:vertAlign w:val="superscript"/>
              </w:rPr>
              <w:t>st</w:t>
            </w:r>
            <w:r w:rsidRPr="008D00F0">
              <w:rPr>
                <w:rFonts w:ascii="Times New Roman" w:hAnsi="Times New Roman" w:cs="Times New Roman"/>
                <w:sz w:val="16"/>
                <w:szCs w:val="16"/>
              </w:rPr>
              <w:t xml:space="preserve"> January 2001, after 31</w:t>
            </w:r>
            <w:r w:rsidRPr="008D00F0">
              <w:rPr>
                <w:rFonts w:ascii="Times New Roman" w:hAnsi="Times New Roman" w:cs="Times New Roman"/>
                <w:sz w:val="16"/>
                <w:szCs w:val="16"/>
                <w:vertAlign w:val="superscript"/>
              </w:rPr>
              <w:t>st</w:t>
            </w:r>
            <w:r w:rsidRPr="008D00F0">
              <w:rPr>
                <w:rFonts w:ascii="Times New Roman" w:hAnsi="Times New Roman" w:cs="Times New Roman"/>
                <w:sz w:val="16"/>
                <w:szCs w:val="16"/>
              </w:rPr>
              <w:t xml:space="preserve"> May 2018)</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-who have a first discharge before the study period and a second within three years of the beginning of the study period.</w:t>
            </w:r>
          </w:p>
        </w:tc>
        <w:tc>
          <w:tcPr>
            <w:tcW w:w="993"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365,058</w:t>
            </w:r>
          </w:p>
        </w:tc>
        <w:tc>
          <w:tcPr>
            <w:tcW w:w="1134"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799,615</w:t>
            </w:r>
          </w:p>
        </w:tc>
        <w:tc>
          <w:tcPr>
            <w:tcW w:w="992"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92,042</w:t>
            </w:r>
          </w:p>
        </w:tc>
        <w:tc>
          <w:tcPr>
            <w:tcW w:w="1134"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202,096</w:t>
            </w:r>
          </w:p>
        </w:tc>
      </w:tr>
      <w:tr w:rsidR="00293097" w:rsidRPr="008D00F0" w:rsidTr="00B831A2">
        <w:tc>
          <w:tcPr>
            <w:tcW w:w="2237"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Limit to first discharge</w:t>
            </w:r>
          </w:p>
        </w:tc>
        <w:tc>
          <w:tcPr>
            <w:tcW w:w="3428"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Excludes all subsequent episodes of care to leave one episode per patient</w:t>
            </w:r>
          </w:p>
        </w:tc>
        <w:tc>
          <w:tcPr>
            <w:tcW w:w="993"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365,058</w:t>
            </w:r>
          </w:p>
        </w:tc>
        <w:tc>
          <w:tcPr>
            <w:tcW w:w="1134"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365,058</w:t>
            </w:r>
          </w:p>
        </w:tc>
        <w:tc>
          <w:tcPr>
            <w:tcW w:w="992"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91,108</w:t>
            </w:r>
          </w:p>
        </w:tc>
        <w:tc>
          <w:tcPr>
            <w:tcW w:w="1134"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91,108</w:t>
            </w:r>
          </w:p>
        </w:tc>
      </w:tr>
      <w:tr w:rsidR="00293097" w:rsidRPr="008D00F0" w:rsidTr="00B831A2">
        <w:tc>
          <w:tcPr>
            <w:tcW w:w="2237"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Exclude patients with poor quality HES data completion</w:t>
            </w:r>
          </w:p>
          <w:p w:rsidR="00293097" w:rsidRPr="008D00F0" w:rsidRDefault="00293097" w:rsidP="00B831A2">
            <w:pPr>
              <w:rPr>
                <w:rFonts w:ascii="Times New Roman" w:hAnsi="Times New Roman" w:cs="Times New Roman"/>
                <w:sz w:val="16"/>
                <w:szCs w:val="16"/>
              </w:rPr>
            </w:pPr>
          </w:p>
        </w:tc>
        <w:tc>
          <w:tcPr>
            <w:tcW w:w="3428"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-episode end and discharge end do not match &amp; either the discharge method or discharge destination is unknown</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-exclude those where both the discharge destination and discharge method are unknown.</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-drop patients where the episode end date is before the discharge date, or it is missing.</w:t>
            </w:r>
          </w:p>
        </w:tc>
        <w:tc>
          <w:tcPr>
            <w:tcW w:w="993"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360,583</w:t>
            </w:r>
          </w:p>
        </w:tc>
        <w:tc>
          <w:tcPr>
            <w:tcW w:w="1134" w:type="dxa"/>
            <w:vAlign w:val="bottom"/>
          </w:tcPr>
          <w:p w:rsidR="00293097" w:rsidRPr="008D00F0" w:rsidRDefault="00293097" w:rsidP="00B831A2">
            <w:pPr>
              <w:rPr>
                <w:rFonts w:ascii="Times New Roman" w:hAnsi="Times New Roman" w:cs="Times New Roman"/>
                <w:sz w:val="16"/>
                <w:szCs w:val="16"/>
              </w:rPr>
            </w:pPr>
          </w:p>
        </w:tc>
        <w:tc>
          <w:tcPr>
            <w:tcW w:w="992"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90,979</w:t>
            </w:r>
          </w:p>
        </w:tc>
        <w:tc>
          <w:tcPr>
            <w:tcW w:w="1134" w:type="dxa"/>
            <w:vAlign w:val="bottom"/>
          </w:tcPr>
          <w:p w:rsidR="00293097" w:rsidRPr="008D00F0" w:rsidRDefault="00293097" w:rsidP="00B831A2">
            <w:pPr>
              <w:rPr>
                <w:rFonts w:ascii="Times New Roman" w:hAnsi="Times New Roman" w:cs="Times New Roman"/>
                <w:sz w:val="16"/>
                <w:szCs w:val="16"/>
              </w:rPr>
            </w:pPr>
          </w:p>
        </w:tc>
      </w:tr>
      <w:tr w:rsidR="00293097" w:rsidRPr="008D00F0" w:rsidTr="00B831A2">
        <w:tc>
          <w:tcPr>
            <w:tcW w:w="7792" w:type="dxa"/>
            <w:gridSpan w:val="4"/>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b/>
                <w:sz w:val="16"/>
                <w:szCs w:val="16"/>
              </w:rPr>
              <w:t>Linkage Availability</w:t>
            </w:r>
          </w:p>
        </w:tc>
        <w:tc>
          <w:tcPr>
            <w:tcW w:w="992" w:type="dxa"/>
            <w:vAlign w:val="bottom"/>
          </w:tcPr>
          <w:p w:rsidR="00293097" w:rsidRPr="008D00F0" w:rsidRDefault="00293097" w:rsidP="00B831A2">
            <w:pPr>
              <w:rPr>
                <w:rFonts w:ascii="Times New Roman" w:hAnsi="Times New Roman" w:cs="Times New Roman"/>
                <w:b/>
                <w:sz w:val="16"/>
                <w:szCs w:val="16"/>
              </w:rPr>
            </w:pPr>
          </w:p>
        </w:tc>
        <w:tc>
          <w:tcPr>
            <w:tcW w:w="1134" w:type="dxa"/>
            <w:vAlign w:val="bottom"/>
          </w:tcPr>
          <w:p w:rsidR="00293097" w:rsidRPr="008D00F0" w:rsidRDefault="00293097" w:rsidP="00B831A2">
            <w:pPr>
              <w:rPr>
                <w:rFonts w:ascii="Times New Roman" w:hAnsi="Times New Roman" w:cs="Times New Roman"/>
                <w:b/>
                <w:sz w:val="16"/>
                <w:szCs w:val="16"/>
              </w:rPr>
            </w:pPr>
          </w:p>
        </w:tc>
      </w:tr>
      <w:tr w:rsidR="00293097" w:rsidRPr="008D00F0" w:rsidTr="00B831A2">
        <w:tc>
          <w:tcPr>
            <w:tcW w:w="2237"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Exclude patients not eligible for linkage to all necessary data files </w:t>
            </w:r>
          </w:p>
        </w:tc>
        <w:tc>
          <w:tcPr>
            <w:tcW w:w="3428"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-not present in CPRD denominator file </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-no linkage with HES,ONS, IMD)  </w:t>
            </w:r>
          </w:p>
        </w:tc>
        <w:tc>
          <w:tcPr>
            <w:tcW w:w="993"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356,606</w:t>
            </w:r>
          </w:p>
        </w:tc>
        <w:tc>
          <w:tcPr>
            <w:tcW w:w="1134" w:type="dxa"/>
            <w:vAlign w:val="bottom"/>
          </w:tcPr>
          <w:p w:rsidR="00293097" w:rsidRPr="008D00F0" w:rsidRDefault="00293097" w:rsidP="00B831A2">
            <w:pPr>
              <w:rPr>
                <w:rFonts w:ascii="Times New Roman" w:hAnsi="Times New Roman" w:cs="Times New Roman"/>
                <w:sz w:val="16"/>
                <w:szCs w:val="16"/>
              </w:rPr>
            </w:pPr>
          </w:p>
        </w:tc>
        <w:tc>
          <w:tcPr>
            <w:tcW w:w="992"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90,150</w:t>
            </w:r>
          </w:p>
        </w:tc>
        <w:tc>
          <w:tcPr>
            <w:tcW w:w="1134" w:type="dxa"/>
            <w:vAlign w:val="bottom"/>
          </w:tcPr>
          <w:p w:rsidR="00293097" w:rsidRPr="008D00F0" w:rsidRDefault="00293097" w:rsidP="00B831A2">
            <w:pPr>
              <w:rPr>
                <w:rFonts w:ascii="Times New Roman" w:hAnsi="Times New Roman" w:cs="Times New Roman"/>
                <w:sz w:val="16"/>
                <w:szCs w:val="16"/>
              </w:rPr>
            </w:pPr>
          </w:p>
        </w:tc>
      </w:tr>
      <w:tr w:rsidR="00293097" w:rsidRPr="008D00F0" w:rsidTr="00B831A2">
        <w:tc>
          <w:tcPr>
            <w:tcW w:w="7792" w:type="dxa"/>
            <w:gridSpan w:val="4"/>
          </w:tcPr>
          <w:p w:rsidR="00293097" w:rsidRPr="008D00F0" w:rsidRDefault="00293097" w:rsidP="00B831A2">
            <w:pPr>
              <w:rPr>
                <w:rFonts w:ascii="Times New Roman" w:hAnsi="Times New Roman" w:cs="Times New Roman"/>
                <w:b/>
                <w:sz w:val="16"/>
                <w:szCs w:val="16"/>
              </w:rPr>
            </w:pPr>
            <w:r w:rsidRPr="008D00F0">
              <w:rPr>
                <w:rFonts w:ascii="Times New Roman" w:hAnsi="Times New Roman" w:cs="Times New Roman"/>
                <w:b/>
                <w:sz w:val="16"/>
                <w:szCs w:val="16"/>
              </w:rPr>
              <w:t>CPRD Primary Care dataset exclusions</w:t>
            </w:r>
          </w:p>
        </w:tc>
        <w:tc>
          <w:tcPr>
            <w:tcW w:w="992" w:type="dxa"/>
            <w:vAlign w:val="bottom"/>
          </w:tcPr>
          <w:p w:rsidR="00293097" w:rsidRPr="008D00F0" w:rsidRDefault="00293097" w:rsidP="00B831A2">
            <w:pPr>
              <w:rPr>
                <w:rFonts w:ascii="Times New Roman" w:hAnsi="Times New Roman" w:cs="Times New Roman"/>
                <w:b/>
                <w:sz w:val="16"/>
                <w:szCs w:val="16"/>
              </w:rPr>
            </w:pPr>
          </w:p>
        </w:tc>
        <w:tc>
          <w:tcPr>
            <w:tcW w:w="1134" w:type="dxa"/>
            <w:vAlign w:val="bottom"/>
          </w:tcPr>
          <w:p w:rsidR="00293097" w:rsidRPr="008D00F0" w:rsidRDefault="00293097" w:rsidP="00B831A2">
            <w:pPr>
              <w:rPr>
                <w:rFonts w:ascii="Times New Roman" w:hAnsi="Times New Roman" w:cs="Times New Roman"/>
                <w:b/>
                <w:sz w:val="16"/>
                <w:szCs w:val="16"/>
              </w:rPr>
            </w:pPr>
          </w:p>
        </w:tc>
      </w:tr>
      <w:tr w:rsidR="00293097" w:rsidRPr="008D00F0" w:rsidTr="00B831A2">
        <w:tc>
          <w:tcPr>
            <w:tcW w:w="2237"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Exclude patients without acceptable records.</w:t>
            </w:r>
          </w:p>
        </w:tc>
        <w:tc>
          <w:tcPr>
            <w:tcW w:w="3428"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Acceptable!=1 (Aurum)</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Accept!=1 (GOLD)</w:t>
            </w: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Excludes any with key data missing such as year of birth and gender</w:t>
            </w:r>
          </w:p>
        </w:tc>
        <w:tc>
          <w:tcPr>
            <w:tcW w:w="993"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323,526</w:t>
            </w:r>
          </w:p>
        </w:tc>
        <w:tc>
          <w:tcPr>
            <w:tcW w:w="1134" w:type="dxa"/>
            <w:vAlign w:val="bottom"/>
          </w:tcPr>
          <w:p w:rsidR="00293097" w:rsidRPr="008D00F0" w:rsidRDefault="00293097" w:rsidP="00B831A2">
            <w:pPr>
              <w:rPr>
                <w:rFonts w:ascii="Times New Roman" w:hAnsi="Times New Roman" w:cs="Times New Roman"/>
                <w:sz w:val="16"/>
                <w:szCs w:val="16"/>
              </w:rPr>
            </w:pPr>
          </w:p>
        </w:tc>
        <w:tc>
          <w:tcPr>
            <w:tcW w:w="992"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84,352</w:t>
            </w:r>
          </w:p>
        </w:tc>
        <w:tc>
          <w:tcPr>
            <w:tcW w:w="1134" w:type="dxa"/>
            <w:vAlign w:val="bottom"/>
          </w:tcPr>
          <w:p w:rsidR="00293097" w:rsidRPr="008D00F0" w:rsidRDefault="00293097" w:rsidP="00B831A2">
            <w:pPr>
              <w:rPr>
                <w:rFonts w:ascii="Times New Roman" w:hAnsi="Times New Roman" w:cs="Times New Roman"/>
                <w:sz w:val="16"/>
                <w:szCs w:val="16"/>
              </w:rPr>
            </w:pPr>
          </w:p>
        </w:tc>
      </w:tr>
      <w:tr w:rsidR="00293097" w:rsidRPr="008D00F0" w:rsidTr="00B831A2">
        <w:tc>
          <w:tcPr>
            <w:tcW w:w="2237"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Cohort inclusion criteria.  </w:t>
            </w:r>
          </w:p>
          <w:p w:rsidR="00293097" w:rsidRPr="008D00F0" w:rsidRDefault="00293097" w:rsidP="00B831A2">
            <w:pPr>
              <w:rPr>
                <w:rFonts w:ascii="Times New Roman" w:hAnsi="Times New Roman" w:cs="Times New Roman"/>
                <w:sz w:val="16"/>
                <w:szCs w:val="16"/>
              </w:rPr>
            </w:pPr>
          </w:p>
        </w:tc>
        <w:tc>
          <w:tcPr>
            <w:tcW w:w="3428"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Exclude if:</w:t>
            </w:r>
          </w:p>
          <w:p w:rsidR="00293097" w:rsidRPr="008D00F0" w:rsidRDefault="00293097" w:rsidP="00B831A2">
            <w:pPr>
              <w:pStyle w:val="ListParagraph"/>
              <w:numPr>
                <w:ilvl w:val="0"/>
                <w:numId w:val="1"/>
              </w:numPr>
              <w:rPr>
                <w:rFonts w:ascii="Times New Roman" w:hAnsi="Times New Roman" w:cs="Times New Roman"/>
                <w:sz w:val="16"/>
                <w:szCs w:val="16"/>
              </w:rPr>
            </w:pPr>
            <w:r w:rsidRPr="008D00F0">
              <w:rPr>
                <w:rFonts w:ascii="Times New Roman" w:hAnsi="Times New Roman" w:cs="Times New Roman"/>
                <w:sz w:val="16"/>
                <w:szCs w:val="16"/>
              </w:rPr>
              <w:t>Not registered at the GP practice, or had less than 6 months registered at the practice at point of discharge</w:t>
            </w:r>
          </w:p>
          <w:p w:rsidR="00293097" w:rsidRPr="008D00F0" w:rsidRDefault="00293097" w:rsidP="00B831A2">
            <w:pPr>
              <w:pStyle w:val="ListParagraph"/>
              <w:numPr>
                <w:ilvl w:val="0"/>
                <w:numId w:val="1"/>
              </w:numPr>
              <w:rPr>
                <w:rFonts w:ascii="Times New Roman" w:hAnsi="Times New Roman" w:cs="Times New Roman"/>
                <w:sz w:val="16"/>
                <w:szCs w:val="16"/>
              </w:rPr>
            </w:pPr>
            <w:r w:rsidRPr="008D00F0">
              <w:rPr>
                <w:rFonts w:ascii="Times New Roman" w:hAnsi="Times New Roman" w:cs="Times New Roman"/>
                <w:sz w:val="16"/>
                <w:szCs w:val="16"/>
              </w:rPr>
              <w:t xml:space="preserve">Age under 10 </w:t>
            </w:r>
          </w:p>
          <w:p w:rsidR="00293097" w:rsidRPr="008D00F0" w:rsidRDefault="00293097" w:rsidP="00B831A2">
            <w:pPr>
              <w:pStyle w:val="ListParagraph"/>
              <w:numPr>
                <w:ilvl w:val="0"/>
                <w:numId w:val="1"/>
              </w:numPr>
              <w:rPr>
                <w:rFonts w:ascii="Times New Roman" w:hAnsi="Times New Roman" w:cs="Times New Roman"/>
                <w:sz w:val="16"/>
                <w:szCs w:val="16"/>
              </w:rPr>
            </w:pPr>
            <w:r w:rsidRPr="008D00F0">
              <w:rPr>
                <w:rFonts w:ascii="Times New Roman" w:hAnsi="Times New Roman" w:cs="Times New Roman"/>
                <w:sz w:val="16"/>
                <w:szCs w:val="16"/>
              </w:rPr>
              <w:t>Patient recorded at more than one practice at time of discharge (duplicates)</w:t>
            </w:r>
          </w:p>
        </w:tc>
        <w:tc>
          <w:tcPr>
            <w:tcW w:w="993"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87,608</w:t>
            </w:r>
          </w:p>
        </w:tc>
        <w:tc>
          <w:tcPr>
            <w:tcW w:w="1134" w:type="dxa"/>
            <w:vAlign w:val="bottom"/>
          </w:tcPr>
          <w:p w:rsidR="00293097" w:rsidRPr="008D00F0" w:rsidRDefault="00293097" w:rsidP="00B831A2">
            <w:pPr>
              <w:rPr>
                <w:rFonts w:ascii="Times New Roman" w:hAnsi="Times New Roman" w:cs="Times New Roman"/>
                <w:sz w:val="16"/>
                <w:szCs w:val="16"/>
              </w:rPr>
            </w:pPr>
          </w:p>
        </w:tc>
        <w:tc>
          <w:tcPr>
            <w:tcW w:w="992"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19,795</w:t>
            </w:r>
          </w:p>
        </w:tc>
        <w:tc>
          <w:tcPr>
            <w:tcW w:w="1134" w:type="dxa"/>
            <w:vAlign w:val="bottom"/>
          </w:tcPr>
          <w:p w:rsidR="00293097" w:rsidRPr="008D00F0" w:rsidRDefault="00293097" w:rsidP="00B831A2">
            <w:pPr>
              <w:rPr>
                <w:rFonts w:ascii="Times New Roman" w:hAnsi="Times New Roman" w:cs="Times New Roman"/>
                <w:sz w:val="16"/>
                <w:szCs w:val="16"/>
              </w:rPr>
            </w:pPr>
          </w:p>
        </w:tc>
      </w:tr>
      <w:tr w:rsidR="00293097" w:rsidRPr="008D00F0" w:rsidTr="00B831A2">
        <w:tc>
          <w:tcPr>
            <w:tcW w:w="7792" w:type="dxa"/>
            <w:gridSpan w:val="4"/>
          </w:tcPr>
          <w:p w:rsidR="00293097" w:rsidRPr="008D00F0" w:rsidRDefault="00293097" w:rsidP="00B831A2">
            <w:pPr>
              <w:rPr>
                <w:rFonts w:ascii="Times New Roman" w:hAnsi="Times New Roman" w:cs="Times New Roman"/>
                <w:b/>
                <w:sz w:val="16"/>
                <w:szCs w:val="16"/>
              </w:rPr>
            </w:pPr>
            <w:r w:rsidRPr="008D00F0">
              <w:rPr>
                <w:rFonts w:ascii="Times New Roman" w:hAnsi="Times New Roman" w:cs="Times New Roman"/>
                <w:b/>
                <w:sz w:val="16"/>
                <w:szCs w:val="16"/>
              </w:rPr>
              <w:t>Further Exclusions after matching and full linkage to all datasets</w:t>
            </w:r>
          </w:p>
        </w:tc>
        <w:tc>
          <w:tcPr>
            <w:tcW w:w="992" w:type="dxa"/>
            <w:vAlign w:val="bottom"/>
          </w:tcPr>
          <w:p w:rsidR="00293097" w:rsidRPr="008D00F0" w:rsidRDefault="00293097" w:rsidP="00B831A2">
            <w:pPr>
              <w:rPr>
                <w:rFonts w:ascii="Times New Roman" w:hAnsi="Times New Roman" w:cs="Times New Roman"/>
                <w:b/>
                <w:sz w:val="16"/>
                <w:szCs w:val="16"/>
              </w:rPr>
            </w:pPr>
          </w:p>
        </w:tc>
        <w:tc>
          <w:tcPr>
            <w:tcW w:w="1134" w:type="dxa"/>
            <w:vAlign w:val="bottom"/>
          </w:tcPr>
          <w:p w:rsidR="00293097" w:rsidRPr="008D00F0" w:rsidRDefault="00293097" w:rsidP="00B831A2">
            <w:pPr>
              <w:rPr>
                <w:rFonts w:ascii="Times New Roman" w:hAnsi="Times New Roman" w:cs="Times New Roman"/>
                <w:b/>
                <w:sz w:val="16"/>
                <w:szCs w:val="16"/>
              </w:rPr>
            </w:pPr>
          </w:p>
        </w:tc>
      </w:tr>
      <w:tr w:rsidR="00293097" w:rsidRPr="008D00F0" w:rsidTr="00B831A2">
        <w:tc>
          <w:tcPr>
            <w:tcW w:w="2237"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Drop if ONS date of death is before the index date.  </w:t>
            </w:r>
          </w:p>
        </w:tc>
        <w:tc>
          <w:tcPr>
            <w:tcW w:w="3428" w:type="dxa"/>
          </w:tcPr>
          <w:p w:rsidR="00293097" w:rsidRPr="008D00F0" w:rsidRDefault="00293097" w:rsidP="00B831A2">
            <w:pPr>
              <w:rPr>
                <w:rFonts w:ascii="Times New Roman" w:hAnsi="Times New Roman" w:cs="Times New Roman"/>
                <w:sz w:val="16"/>
                <w:szCs w:val="16"/>
              </w:rPr>
            </w:pPr>
          </w:p>
        </w:tc>
        <w:tc>
          <w:tcPr>
            <w:tcW w:w="993"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87,604</w:t>
            </w:r>
          </w:p>
        </w:tc>
        <w:tc>
          <w:tcPr>
            <w:tcW w:w="1134" w:type="dxa"/>
            <w:vAlign w:val="bottom"/>
          </w:tcPr>
          <w:p w:rsidR="00293097" w:rsidRPr="008D00F0" w:rsidRDefault="00293097" w:rsidP="00B831A2">
            <w:pPr>
              <w:rPr>
                <w:rFonts w:ascii="Times New Roman" w:hAnsi="Times New Roman" w:cs="Times New Roman"/>
                <w:sz w:val="16"/>
                <w:szCs w:val="16"/>
              </w:rPr>
            </w:pPr>
          </w:p>
        </w:tc>
        <w:tc>
          <w:tcPr>
            <w:tcW w:w="992"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19,795</w:t>
            </w:r>
          </w:p>
        </w:tc>
        <w:tc>
          <w:tcPr>
            <w:tcW w:w="1134" w:type="dxa"/>
            <w:vAlign w:val="bottom"/>
          </w:tcPr>
          <w:p w:rsidR="00293097" w:rsidRPr="008D00F0" w:rsidRDefault="00293097" w:rsidP="00B831A2">
            <w:pPr>
              <w:rPr>
                <w:rFonts w:ascii="Times New Roman" w:hAnsi="Times New Roman" w:cs="Times New Roman"/>
                <w:sz w:val="16"/>
                <w:szCs w:val="16"/>
              </w:rPr>
            </w:pPr>
          </w:p>
        </w:tc>
      </w:tr>
      <w:tr w:rsidR="00293097" w:rsidRPr="008D00F0" w:rsidTr="00B831A2">
        <w:tc>
          <w:tcPr>
            <w:tcW w:w="2237"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Drop if case has no matches </w:t>
            </w:r>
          </w:p>
        </w:tc>
        <w:tc>
          <w:tcPr>
            <w:tcW w:w="3428" w:type="dxa"/>
          </w:tcPr>
          <w:p w:rsidR="00293097" w:rsidRPr="008D00F0" w:rsidRDefault="00293097" w:rsidP="00B831A2">
            <w:pPr>
              <w:rPr>
                <w:rFonts w:ascii="Times New Roman" w:hAnsi="Times New Roman" w:cs="Times New Roman"/>
                <w:sz w:val="16"/>
                <w:szCs w:val="16"/>
              </w:rPr>
            </w:pPr>
          </w:p>
        </w:tc>
        <w:tc>
          <w:tcPr>
            <w:tcW w:w="993"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87,442</w:t>
            </w:r>
          </w:p>
        </w:tc>
        <w:tc>
          <w:tcPr>
            <w:tcW w:w="1134" w:type="dxa"/>
            <w:vAlign w:val="bottom"/>
          </w:tcPr>
          <w:p w:rsidR="00293097" w:rsidRPr="008D00F0" w:rsidRDefault="00293097" w:rsidP="00B831A2">
            <w:pPr>
              <w:rPr>
                <w:rFonts w:ascii="Times New Roman" w:hAnsi="Times New Roman" w:cs="Times New Roman"/>
                <w:sz w:val="16"/>
                <w:szCs w:val="16"/>
              </w:rPr>
            </w:pPr>
          </w:p>
        </w:tc>
        <w:tc>
          <w:tcPr>
            <w:tcW w:w="992"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19,749</w:t>
            </w:r>
          </w:p>
        </w:tc>
        <w:tc>
          <w:tcPr>
            <w:tcW w:w="1134" w:type="dxa"/>
            <w:vAlign w:val="bottom"/>
          </w:tcPr>
          <w:p w:rsidR="00293097" w:rsidRPr="008D00F0" w:rsidRDefault="00293097" w:rsidP="00B831A2">
            <w:pPr>
              <w:rPr>
                <w:rFonts w:ascii="Times New Roman" w:hAnsi="Times New Roman" w:cs="Times New Roman"/>
                <w:sz w:val="16"/>
                <w:szCs w:val="16"/>
              </w:rPr>
            </w:pPr>
          </w:p>
        </w:tc>
      </w:tr>
      <w:tr w:rsidR="00293097" w:rsidRPr="008D00F0" w:rsidTr="00B831A2">
        <w:tc>
          <w:tcPr>
            <w:tcW w:w="2237"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Drop if case does not meet final quality criteria</w:t>
            </w:r>
          </w:p>
        </w:tc>
        <w:tc>
          <w:tcPr>
            <w:tcW w:w="3428"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-Episode end after discharge date</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-Discharge destination is unknown</w:t>
            </w:r>
          </w:p>
        </w:tc>
        <w:tc>
          <w:tcPr>
            <w:tcW w:w="993"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84,102</w:t>
            </w:r>
          </w:p>
        </w:tc>
        <w:tc>
          <w:tcPr>
            <w:tcW w:w="1134" w:type="dxa"/>
            <w:vAlign w:val="bottom"/>
          </w:tcPr>
          <w:p w:rsidR="00293097" w:rsidRPr="008D00F0" w:rsidRDefault="00293097" w:rsidP="00B831A2">
            <w:pPr>
              <w:rPr>
                <w:rFonts w:ascii="Times New Roman" w:hAnsi="Times New Roman" w:cs="Times New Roman"/>
                <w:sz w:val="16"/>
                <w:szCs w:val="16"/>
              </w:rPr>
            </w:pPr>
          </w:p>
        </w:tc>
        <w:tc>
          <w:tcPr>
            <w:tcW w:w="992"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19,095</w:t>
            </w:r>
          </w:p>
        </w:tc>
        <w:tc>
          <w:tcPr>
            <w:tcW w:w="1134" w:type="dxa"/>
            <w:vAlign w:val="bottom"/>
          </w:tcPr>
          <w:p w:rsidR="00293097" w:rsidRPr="008D00F0" w:rsidRDefault="00293097" w:rsidP="00B831A2">
            <w:pPr>
              <w:rPr>
                <w:rFonts w:ascii="Times New Roman" w:hAnsi="Times New Roman" w:cs="Times New Roman"/>
                <w:sz w:val="16"/>
                <w:szCs w:val="16"/>
              </w:rPr>
            </w:pPr>
          </w:p>
        </w:tc>
      </w:tr>
      <w:tr w:rsidR="00293097" w:rsidRPr="008D00F0" w:rsidTr="00B831A2">
        <w:tc>
          <w:tcPr>
            <w:tcW w:w="2237"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Excluding those under 18</w:t>
            </w:r>
          </w:p>
        </w:tc>
        <w:tc>
          <w:tcPr>
            <w:tcW w:w="3428" w:type="dxa"/>
          </w:tcPr>
          <w:p w:rsidR="00293097" w:rsidRPr="008D00F0" w:rsidRDefault="00293097" w:rsidP="00B831A2">
            <w:pPr>
              <w:rPr>
                <w:rFonts w:ascii="Times New Roman" w:hAnsi="Times New Roman" w:cs="Times New Roman"/>
                <w:sz w:val="16"/>
                <w:szCs w:val="16"/>
              </w:rPr>
            </w:pPr>
          </w:p>
        </w:tc>
        <w:tc>
          <w:tcPr>
            <w:tcW w:w="993"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82,103</w:t>
            </w:r>
          </w:p>
        </w:tc>
        <w:tc>
          <w:tcPr>
            <w:tcW w:w="1134" w:type="dxa"/>
            <w:vAlign w:val="bottom"/>
          </w:tcPr>
          <w:p w:rsidR="00293097" w:rsidRPr="008D00F0" w:rsidRDefault="00293097" w:rsidP="00B831A2">
            <w:pPr>
              <w:rPr>
                <w:rFonts w:ascii="Times New Roman" w:hAnsi="Times New Roman" w:cs="Times New Roman"/>
                <w:sz w:val="16"/>
                <w:szCs w:val="16"/>
              </w:rPr>
            </w:pPr>
          </w:p>
        </w:tc>
        <w:tc>
          <w:tcPr>
            <w:tcW w:w="992" w:type="dxa"/>
            <w:vAlign w:val="bottom"/>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18,658</w:t>
            </w:r>
          </w:p>
        </w:tc>
        <w:tc>
          <w:tcPr>
            <w:tcW w:w="1134" w:type="dxa"/>
            <w:vAlign w:val="bottom"/>
          </w:tcPr>
          <w:p w:rsidR="00293097" w:rsidRPr="008D00F0" w:rsidRDefault="00293097" w:rsidP="00B831A2">
            <w:pPr>
              <w:rPr>
                <w:rFonts w:ascii="Times New Roman" w:hAnsi="Times New Roman" w:cs="Times New Roman"/>
                <w:sz w:val="16"/>
                <w:szCs w:val="16"/>
              </w:rPr>
            </w:pPr>
          </w:p>
        </w:tc>
      </w:tr>
      <w:tr w:rsidR="00293097" w:rsidRPr="008D00F0" w:rsidTr="00B831A2">
        <w:tc>
          <w:tcPr>
            <w:tcW w:w="2237" w:type="dxa"/>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Final Combined Cohort</w:t>
            </w:r>
          </w:p>
        </w:tc>
        <w:tc>
          <w:tcPr>
            <w:tcW w:w="3428" w:type="dxa"/>
          </w:tcPr>
          <w:p w:rsidR="00293097" w:rsidRPr="008D00F0" w:rsidRDefault="00293097" w:rsidP="00B831A2">
            <w:pPr>
              <w:rPr>
                <w:rFonts w:ascii="Times New Roman" w:hAnsi="Times New Roman" w:cs="Times New Roman"/>
                <w:sz w:val="16"/>
                <w:szCs w:val="16"/>
              </w:rPr>
            </w:pPr>
          </w:p>
        </w:tc>
        <w:tc>
          <w:tcPr>
            <w:tcW w:w="4253" w:type="dxa"/>
            <w:gridSpan w:val="4"/>
            <w:vAlign w:val="bottom"/>
          </w:tcPr>
          <w:p w:rsidR="00293097" w:rsidRPr="008D00F0" w:rsidRDefault="00293097" w:rsidP="00B831A2">
            <w:pPr>
              <w:jc w:val="center"/>
              <w:rPr>
                <w:rFonts w:ascii="Times New Roman" w:hAnsi="Times New Roman" w:cs="Times New Roman"/>
                <w:sz w:val="16"/>
                <w:szCs w:val="16"/>
              </w:rPr>
            </w:pPr>
            <w:r w:rsidRPr="008D00F0">
              <w:rPr>
                <w:rFonts w:ascii="Times New Roman" w:hAnsi="Times New Roman" w:cs="Times New Roman"/>
                <w:sz w:val="16"/>
                <w:szCs w:val="16"/>
              </w:rPr>
              <w:t>100,761</w:t>
            </w:r>
          </w:p>
        </w:tc>
      </w:tr>
    </w:tbl>
    <w:p w:rsidR="00293097" w:rsidRPr="008D00F0" w:rsidRDefault="00293097">
      <w:pPr>
        <w:rPr>
          <w:rFonts w:ascii="Times New Roman" w:hAnsi="Times New Roman" w:cs="Times New Roman"/>
        </w:rPr>
      </w:pPr>
    </w:p>
    <w:p w:rsidR="00293097" w:rsidRPr="008D00F0" w:rsidRDefault="00293097" w:rsidP="00B831A2">
      <w:pPr>
        <w:rPr>
          <w:rFonts w:ascii="Times New Roman" w:hAnsi="Times New Roman" w:cs="Times New Roman"/>
          <w:b/>
          <w:sz w:val="20"/>
          <w:szCs w:val="20"/>
        </w:rPr>
      </w:pPr>
      <w:r w:rsidRPr="008D00F0">
        <w:rPr>
          <w:rFonts w:ascii="Times New Roman" w:hAnsi="Times New Roman" w:cs="Times New Roman"/>
          <w:b/>
          <w:sz w:val="20"/>
          <w:szCs w:val="20"/>
        </w:rPr>
        <w:t>S2 - Sensitivity Analyses</w:t>
      </w:r>
    </w:p>
    <w:p w:rsidR="00293097" w:rsidRPr="008D00F0" w:rsidRDefault="00293097" w:rsidP="00B831A2">
      <w:pPr>
        <w:jc w:val="both"/>
        <w:rPr>
          <w:rFonts w:ascii="Times New Roman" w:hAnsi="Times New Roman" w:cs="Times New Roman"/>
          <w:sz w:val="20"/>
          <w:szCs w:val="20"/>
        </w:rPr>
      </w:pPr>
      <w:r w:rsidRPr="008D00F0">
        <w:rPr>
          <w:rFonts w:ascii="Times New Roman" w:hAnsi="Times New Roman" w:cs="Times New Roman"/>
          <w:sz w:val="20"/>
          <w:szCs w:val="20"/>
        </w:rPr>
        <w:t xml:space="preserve">Four sensitivity analyses were carried out: </w:t>
      </w:r>
    </w:p>
    <w:p w:rsidR="00293097" w:rsidRPr="008D00F0" w:rsidRDefault="00293097" w:rsidP="00B831A2">
      <w:pPr>
        <w:pStyle w:val="ListParagraph"/>
        <w:numPr>
          <w:ilvl w:val="0"/>
          <w:numId w:val="2"/>
        </w:numPr>
        <w:jc w:val="both"/>
        <w:rPr>
          <w:rFonts w:ascii="Times New Roman" w:hAnsi="Times New Roman" w:cs="Times New Roman"/>
          <w:sz w:val="20"/>
          <w:szCs w:val="20"/>
        </w:rPr>
      </w:pPr>
      <w:r w:rsidRPr="008D00F0">
        <w:rPr>
          <w:rFonts w:ascii="Times New Roman" w:hAnsi="Times New Roman" w:cs="Times New Roman"/>
          <w:sz w:val="20"/>
          <w:szCs w:val="20"/>
        </w:rPr>
        <w:t>Apply interval censoring for periods of readmission to inpatient psychiatric care to assess any difference in relative suicide risk estimates, as admission may be protective against suicide.</w:t>
      </w:r>
    </w:p>
    <w:p w:rsidR="00293097" w:rsidRPr="008D00F0" w:rsidRDefault="00293097" w:rsidP="00B831A2">
      <w:pPr>
        <w:jc w:val="both"/>
        <w:rPr>
          <w:rFonts w:ascii="Times New Roman" w:hAnsi="Times New Roman" w:cs="Times New Roman"/>
          <w:sz w:val="20"/>
          <w:szCs w:val="20"/>
        </w:rPr>
      </w:pPr>
      <w:r w:rsidRPr="008D00F0">
        <w:rPr>
          <w:rFonts w:ascii="Times New Roman" w:hAnsi="Times New Roman" w:cs="Times New Roman"/>
          <w:sz w:val="20"/>
          <w:szCs w:val="20"/>
        </w:rPr>
        <w:t xml:space="preserve">In order to account for readmission, the exposure variable ‘discharge from psychiatric inpatient care’ was made to be time varying. Periods after discharge when an individual was in the community were set as being at risk. Periods when an individual was back in hospital were set as not being at risk at all – in order to set the most extreme parameters for the sensitivity analysis. Individuals were in effect interval censored - an individual left the study when they were readmitted to inpatient psychiatric care and re-entered on subsequent discharge. The binary exposed/unexposed variable was set to missing for all lines where an individual was censored due to readmission. After data was split, the data was set for analysis using the </w:t>
      </w:r>
      <w:proofErr w:type="spellStart"/>
      <w:r w:rsidRPr="008D00F0">
        <w:rPr>
          <w:rFonts w:ascii="Times New Roman" w:hAnsi="Times New Roman" w:cs="Times New Roman"/>
          <w:sz w:val="20"/>
          <w:szCs w:val="20"/>
        </w:rPr>
        <w:t>Stset</w:t>
      </w:r>
      <w:proofErr w:type="spellEnd"/>
      <w:r w:rsidRPr="008D00F0">
        <w:rPr>
          <w:rFonts w:ascii="Times New Roman" w:hAnsi="Times New Roman" w:cs="Times New Roman"/>
          <w:sz w:val="20"/>
          <w:szCs w:val="20"/>
        </w:rPr>
        <w:t xml:space="preserve"> command as for the primary analysis and cox regression run to calculate hazard ratios. Any line where the exposure variable was set to missing was automatically excluded in the regression calculation. </w:t>
      </w:r>
    </w:p>
    <w:p w:rsidR="00293097" w:rsidRPr="008D00F0" w:rsidRDefault="00293097" w:rsidP="00B831A2">
      <w:pPr>
        <w:jc w:val="both"/>
        <w:rPr>
          <w:rFonts w:ascii="Times New Roman" w:hAnsi="Times New Roman" w:cs="Times New Roman"/>
          <w:sz w:val="20"/>
          <w:szCs w:val="20"/>
        </w:rPr>
      </w:pPr>
      <w:r w:rsidRPr="008D00F0">
        <w:rPr>
          <w:rFonts w:ascii="Times New Roman" w:hAnsi="Times New Roman" w:cs="Times New Roman"/>
          <w:sz w:val="20"/>
          <w:szCs w:val="20"/>
        </w:rPr>
        <w:t xml:space="preserve">Models excluding periods of readmission to psychiatric inpatient care showed very small, non-significant, increases in relative risk of suicide, from a HR of 89 to 91 in working adults and from 59 to 61 in older adults. </w:t>
      </w:r>
    </w:p>
    <w:p w:rsidR="00293097" w:rsidRPr="008D00F0" w:rsidRDefault="00293097" w:rsidP="00B831A2">
      <w:pPr>
        <w:pStyle w:val="ListParagraph"/>
        <w:numPr>
          <w:ilvl w:val="0"/>
          <w:numId w:val="2"/>
        </w:numPr>
        <w:jc w:val="both"/>
        <w:rPr>
          <w:rFonts w:ascii="Times New Roman" w:hAnsi="Times New Roman" w:cs="Times New Roman"/>
          <w:sz w:val="20"/>
          <w:szCs w:val="20"/>
        </w:rPr>
      </w:pPr>
      <w:r w:rsidRPr="008D00F0">
        <w:rPr>
          <w:rFonts w:ascii="Times New Roman" w:hAnsi="Times New Roman" w:cs="Times New Roman"/>
          <w:sz w:val="20"/>
          <w:szCs w:val="20"/>
        </w:rPr>
        <w:t>Exclude patients in the older adult cohort with a primary diagnosis of dementia to assess any difference in absolute and relative risk estimates</w:t>
      </w:r>
    </w:p>
    <w:p w:rsidR="00293097" w:rsidRPr="008D00F0" w:rsidRDefault="00293097" w:rsidP="00B831A2">
      <w:pPr>
        <w:jc w:val="both"/>
        <w:rPr>
          <w:rFonts w:ascii="Times New Roman" w:hAnsi="Times New Roman" w:cs="Times New Roman"/>
          <w:sz w:val="20"/>
          <w:szCs w:val="20"/>
        </w:rPr>
      </w:pPr>
      <w:r w:rsidRPr="008D00F0">
        <w:rPr>
          <w:rFonts w:ascii="Times New Roman" w:hAnsi="Times New Roman" w:cs="Times New Roman"/>
          <w:sz w:val="20"/>
          <w:szCs w:val="20"/>
        </w:rPr>
        <w:t>All absolute and relative risks of all-cause, external or natural cause mortality and suicide were calculated for older adults excluding those with a primary diagnosis of dementia. This had some impact on overall risk estimates, reducing the absolute and relative risk of death by natural causes and increasing slightly the risk of external causes (see Table S3 and Figure S1). However, the findings compared to working age adults and timing of death after discharge were unchanged.</w:t>
      </w:r>
    </w:p>
    <w:p w:rsidR="00293097" w:rsidRPr="008D00F0" w:rsidRDefault="00293097" w:rsidP="00B831A2">
      <w:pPr>
        <w:jc w:val="both"/>
        <w:rPr>
          <w:rFonts w:ascii="Times New Roman" w:hAnsi="Times New Roman" w:cs="Times New Roman"/>
          <w:sz w:val="20"/>
          <w:szCs w:val="20"/>
        </w:rPr>
      </w:pPr>
      <w:r w:rsidRPr="008D00F0">
        <w:rPr>
          <w:rFonts w:ascii="Times New Roman" w:hAnsi="Times New Roman" w:cs="Times New Roman"/>
          <w:sz w:val="20"/>
          <w:szCs w:val="20"/>
        </w:rPr>
        <w:t>3) Exclude the final year of discharges from analyses to estimate the impact of delayed death registrations in that latest year of observation</w:t>
      </w:r>
      <w:proofErr w:type="gramStart"/>
      <w:r w:rsidRPr="008D00F0">
        <w:rPr>
          <w:rFonts w:ascii="Times New Roman" w:hAnsi="Times New Roman" w:cs="Times New Roman"/>
          <w:sz w:val="20"/>
          <w:szCs w:val="20"/>
        </w:rPr>
        <w:t>;</w:t>
      </w:r>
      <w:r w:rsidRPr="008D00F0">
        <w:rPr>
          <w:rFonts w:ascii="Times New Roman" w:hAnsi="Times New Roman" w:cs="Times New Roman"/>
          <w:noProof/>
          <w:sz w:val="20"/>
          <w:szCs w:val="20"/>
          <w:vertAlign w:val="superscript"/>
        </w:rPr>
        <w:t>1</w:t>
      </w:r>
      <w:proofErr w:type="gramEnd"/>
      <w:r w:rsidRPr="008D00F0">
        <w:rPr>
          <w:rFonts w:ascii="Times New Roman" w:hAnsi="Times New Roman" w:cs="Times New Roman"/>
          <w:sz w:val="20"/>
          <w:szCs w:val="20"/>
        </w:rPr>
        <w:t xml:space="preserve"> </w:t>
      </w:r>
    </w:p>
    <w:p w:rsidR="00293097" w:rsidRPr="008D00F0" w:rsidRDefault="00293097" w:rsidP="00B831A2">
      <w:pPr>
        <w:jc w:val="both"/>
        <w:rPr>
          <w:rFonts w:ascii="Times New Roman" w:hAnsi="Times New Roman" w:cs="Times New Roman"/>
          <w:sz w:val="20"/>
          <w:szCs w:val="20"/>
        </w:rPr>
      </w:pPr>
      <w:r w:rsidRPr="008D00F0">
        <w:rPr>
          <w:rFonts w:ascii="Times New Roman" w:hAnsi="Times New Roman" w:cs="Times New Roman"/>
          <w:sz w:val="20"/>
          <w:szCs w:val="20"/>
        </w:rPr>
        <w:t>Sensitivity analysis, excluding the final year of discharges in the observation period, showed little change in estimates. The risk of suicide in working-age adults increased by 0.01% and decreased by the same amount in older adults.</w:t>
      </w:r>
    </w:p>
    <w:p w:rsidR="00293097" w:rsidRPr="008D00F0" w:rsidRDefault="00293097" w:rsidP="00B831A2">
      <w:pPr>
        <w:jc w:val="both"/>
        <w:rPr>
          <w:rFonts w:ascii="Times New Roman" w:hAnsi="Times New Roman" w:cs="Times New Roman"/>
          <w:sz w:val="20"/>
          <w:szCs w:val="20"/>
        </w:rPr>
      </w:pPr>
      <w:r w:rsidRPr="008D00F0">
        <w:rPr>
          <w:rFonts w:ascii="Times New Roman" w:hAnsi="Times New Roman" w:cs="Times New Roman"/>
          <w:sz w:val="20"/>
          <w:szCs w:val="20"/>
        </w:rPr>
        <w:t xml:space="preserve">4) Exclude individuals with no documented overnight stay. </w:t>
      </w:r>
    </w:p>
    <w:p w:rsidR="00293097" w:rsidRPr="008D00F0" w:rsidRDefault="00293097" w:rsidP="00B831A2">
      <w:pPr>
        <w:jc w:val="both"/>
        <w:rPr>
          <w:rFonts w:ascii="Times New Roman" w:hAnsi="Times New Roman" w:cs="Times New Roman"/>
          <w:sz w:val="20"/>
          <w:szCs w:val="20"/>
        </w:rPr>
      </w:pPr>
      <w:r w:rsidRPr="008D00F0">
        <w:rPr>
          <w:rFonts w:ascii="Times New Roman" w:hAnsi="Times New Roman" w:cs="Times New Roman"/>
          <w:sz w:val="20"/>
          <w:szCs w:val="20"/>
        </w:rPr>
        <w:t>Although regular day patients were excluded from the primary analysis (analysis was limited to those classified as regular inpatients) a total of 1,902 individuals who had an episode of care under a psychiatric consultant were included who had ‘zero’ days of care. This could be valid: for example due to self-discharge or individuals who were admitted for observation and then discharged. However in some cases it could be a misclassification of a patient as an inpatient. Sensitivity analysis excluding these individuals was carried out. For the one year period post-discharge the cumulative incidence and hazard ratios were identical or changed only very slightly. Therefore these individuals were kept in the main analysis.</w:t>
      </w:r>
    </w:p>
    <w:p w:rsidR="00293097" w:rsidRPr="008D00F0" w:rsidRDefault="00293097" w:rsidP="00B831A2">
      <w:pPr>
        <w:pStyle w:val="ListParagraph"/>
        <w:ind w:left="0"/>
        <w:contextualSpacing w:val="0"/>
        <w:jc w:val="both"/>
        <w:rPr>
          <w:rFonts w:ascii="Times New Roman" w:hAnsi="Times New Roman" w:cs="Times New Roman"/>
          <w:sz w:val="20"/>
          <w:szCs w:val="20"/>
        </w:rPr>
      </w:pPr>
    </w:p>
    <w:p w:rsidR="00293097" w:rsidRPr="008D00F0" w:rsidRDefault="00293097" w:rsidP="00B831A2">
      <w:pPr>
        <w:pStyle w:val="ListParagraph"/>
        <w:ind w:left="0"/>
        <w:contextualSpacing w:val="0"/>
        <w:jc w:val="both"/>
        <w:rPr>
          <w:rFonts w:ascii="Times New Roman" w:hAnsi="Times New Roman" w:cs="Times New Roman"/>
          <w:sz w:val="20"/>
          <w:szCs w:val="20"/>
        </w:rPr>
      </w:pPr>
    </w:p>
    <w:p w:rsidR="00293097" w:rsidRPr="008D00F0" w:rsidRDefault="00293097" w:rsidP="00B831A2">
      <w:pPr>
        <w:rPr>
          <w:rFonts w:ascii="Times New Roman" w:hAnsi="Times New Roman" w:cs="Times New Roman"/>
        </w:rPr>
      </w:pPr>
    </w:p>
    <w:p w:rsidR="00293097" w:rsidRPr="008D00F0" w:rsidRDefault="00293097" w:rsidP="00B831A2">
      <w:pPr>
        <w:autoSpaceDE w:val="0"/>
        <w:autoSpaceDN w:val="0"/>
        <w:adjustRightInd w:val="0"/>
        <w:rPr>
          <w:rFonts w:ascii="Times New Roman" w:hAnsi="Times New Roman" w:cs="Times New Roman"/>
          <w:b/>
        </w:rPr>
        <w:sectPr w:rsidR="00293097" w:rsidRPr="008D00F0" w:rsidSect="00B831A2">
          <w:headerReference w:type="default" r:id="rId15"/>
          <w:footerReference w:type="default" r:id="rId16"/>
          <w:pgSz w:w="11906" w:h="16838"/>
          <w:pgMar w:top="1440" w:right="1274" w:bottom="1440" w:left="1440" w:header="708" w:footer="708" w:gutter="0"/>
          <w:pgNumType w:start="1"/>
          <w:cols w:space="708"/>
          <w:docGrid w:linePitch="360"/>
        </w:sectPr>
      </w:pPr>
    </w:p>
    <w:p w:rsidR="00293097" w:rsidRPr="008D00F0" w:rsidRDefault="00293097" w:rsidP="00B831A2">
      <w:pPr>
        <w:autoSpaceDE w:val="0"/>
        <w:autoSpaceDN w:val="0"/>
        <w:adjustRightInd w:val="0"/>
        <w:rPr>
          <w:rFonts w:ascii="Times New Roman" w:hAnsi="Times New Roman" w:cs="Times New Roman"/>
          <w:b/>
          <w:sz w:val="20"/>
          <w:szCs w:val="20"/>
        </w:rPr>
      </w:pPr>
      <w:r w:rsidRPr="008D00F0">
        <w:rPr>
          <w:rFonts w:ascii="Times New Roman" w:hAnsi="Times New Roman" w:cs="Times New Roman"/>
          <w:b/>
          <w:sz w:val="20"/>
          <w:szCs w:val="20"/>
        </w:rPr>
        <w:lastRenderedPageBreak/>
        <w:t>Table S3 - The RECORD statement</w:t>
      </w:r>
      <w:r w:rsidRPr="008D00F0">
        <w:rPr>
          <w:rFonts w:ascii="Times New Roman" w:hAnsi="Times New Roman" w:cs="Times New Roman"/>
          <w:b/>
          <w:sz w:val="20"/>
          <w:szCs w:val="20"/>
          <w:vertAlign w:val="superscript"/>
        </w:rPr>
        <w:t>2</w:t>
      </w:r>
      <w:r w:rsidRPr="008D00F0">
        <w:rPr>
          <w:rFonts w:ascii="Times New Roman" w:hAnsi="Times New Roman" w:cs="Times New Roman"/>
          <w:b/>
          <w:sz w:val="20"/>
          <w:szCs w:val="20"/>
        </w:rPr>
        <w:t xml:space="preserve"> – checklist of items, extended from the STROBE statement that should be reported in observational studies using routinely collected health data.</w:t>
      </w:r>
    </w:p>
    <w:tbl>
      <w:tblPr>
        <w:tblStyle w:val="TableGrid"/>
        <w:tblW w:w="5000" w:type="pct"/>
        <w:tblLayout w:type="fixed"/>
        <w:tblLook w:val="04A0" w:firstRow="1" w:lastRow="0" w:firstColumn="1" w:lastColumn="0" w:noHBand="0" w:noVBand="1"/>
      </w:tblPr>
      <w:tblGrid>
        <w:gridCol w:w="1867"/>
        <w:gridCol w:w="748"/>
        <w:gridCol w:w="3314"/>
        <w:gridCol w:w="2181"/>
        <w:gridCol w:w="3908"/>
        <w:gridCol w:w="1930"/>
      </w:tblGrid>
      <w:tr w:rsidR="00293097" w:rsidRPr="008D00F0" w:rsidTr="00B831A2">
        <w:tc>
          <w:tcPr>
            <w:tcW w:w="669" w:type="pct"/>
          </w:tcPr>
          <w:p w:rsidR="00293097" w:rsidRPr="008D00F0" w:rsidRDefault="00293097" w:rsidP="00B831A2">
            <w:pPr>
              <w:rPr>
                <w:rFonts w:ascii="Times New Roman" w:hAnsi="Times New Roman" w:cs="Times New Roman"/>
                <w:sz w:val="16"/>
                <w:szCs w:val="16"/>
              </w:rPr>
            </w:pPr>
          </w:p>
        </w:tc>
        <w:tc>
          <w:tcPr>
            <w:tcW w:w="268" w:type="pct"/>
          </w:tcPr>
          <w:p w:rsidR="00293097" w:rsidRPr="008D00F0" w:rsidRDefault="00293097" w:rsidP="00B831A2">
            <w:pPr>
              <w:rPr>
                <w:rFonts w:ascii="Times New Roman" w:hAnsi="Times New Roman" w:cs="Times New Roman"/>
                <w:b/>
                <w:sz w:val="16"/>
                <w:szCs w:val="16"/>
              </w:rPr>
            </w:pPr>
            <w:r w:rsidRPr="008D00F0">
              <w:rPr>
                <w:rFonts w:ascii="Times New Roman" w:hAnsi="Times New Roman" w:cs="Times New Roman"/>
                <w:b/>
                <w:sz w:val="16"/>
                <w:szCs w:val="16"/>
              </w:rPr>
              <w:t>Item No.</w:t>
            </w:r>
          </w:p>
        </w:tc>
        <w:tc>
          <w:tcPr>
            <w:tcW w:w="1188" w:type="pct"/>
          </w:tcPr>
          <w:p w:rsidR="00293097" w:rsidRPr="008D00F0" w:rsidRDefault="00293097" w:rsidP="00B831A2">
            <w:pPr>
              <w:rPr>
                <w:rFonts w:ascii="Times New Roman" w:hAnsi="Times New Roman" w:cs="Times New Roman"/>
                <w:b/>
                <w:sz w:val="16"/>
                <w:szCs w:val="16"/>
              </w:rPr>
            </w:pPr>
            <w:r w:rsidRPr="008D00F0">
              <w:rPr>
                <w:rFonts w:ascii="Times New Roman" w:hAnsi="Times New Roman" w:cs="Times New Roman"/>
                <w:b/>
                <w:sz w:val="16"/>
                <w:szCs w:val="16"/>
              </w:rPr>
              <w:t>STROBE items</w:t>
            </w:r>
          </w:p>
        </w:tc>
        <w:tc>
          <w:tcPr>
            <w:tcW w:w="782" w:type="pct"/>
          </w:tcPr>
          <w:p w:rsidR="00293097" w:rsidRPr="008D00F0" w:rsidRDefault="00293097" w:rsidP="00B831A2">
            <w:pPr>
              <w:rPr>
                <w:rFonts w:ascii="Times New Roman" w:hAnsi="Times New Roman" w:cs="Times New Roman"/>
                <w:b/>
                <w:sz w:val="16"/>
                <w:szCs w:val="16"/>
              </w:rPr>
            </w:pPr>
            <w:r w:rsidRPr="008D00F0">
              <w:rPr>
                <w:rFonts w:ascii="Times New Roman" w:hAnsi="Times New Roman" w:cs="Times New Roman"/>
                <w:b/>
                <w:sz w:val="16"/>
                <w:szCs w:val="16"/>
              </w:rPr>
              <w:t>Location in manuscript where items are reported</w:t>
            </w:r>
          </w:p>
        </w:tc>
        <w:tc>
          <w:tcPr>
            <w:tcW w:w="1401" w:type="pct"/>
          </w:tcPr>
          <w:p w:rsidR="00293097" w:rsidRPr="008D00F0" w:rsidRDefault="00293097" w:rsidP="00B831A2">
            <w:pPr>
              <w:rPr>
                <w:rFonts w:ascii="Times New Roman" w:hAnsi="Times New Roman" w:cs="Times New Roman"/>
                <w:b/>
                <w:sz w:val="16"/>
                <w:szCs w:val="16"/>
              </w:rPr>
            </w:pPr>
            <w:r w:rsidRPr="008D00F0">
              <w:rPr>
                <w:rFonts w:ascii="Times New Roman" w:hAnsi="Times New Roman" w:cs="Times New Roman"/>
                <w:b/>
                <w:sz w:val="16"/>
                <w:szCs w:val="16"/>
              </w:rPr>
              <w:t>RECORD items</w:t>
            </w:r>
          </w:p>
        </w:tc>
        <w:tc>
          <w:tcPr>
            <w:tcW w:w="692" w:type="pct"/>
          </w:tcPr>
          <w:p w:rsidR="00293097" w:rsidRPr="008D00F0" w:rsidRDefault="00293097" w:rsidP="00B831A2">
            <w:pPr>
              <w:rPr>
                <w:rFonts w:ascii="Times New Roman" w:hAnsi="Times New Roman" w:cs="Times New Roman"/>
                <w:b/>
                <w:sz w:val="16"/>
                <w:szCs w:val="16"/>
              </w:rPr>
            </w:pPr>
            <w:r w:rsidRPr="008D00F0">
              <w:rPr>
                <w:rFonts w:ascii="Times New Roman" w:hAnsi="Times New Roman" w:cs="Times New Roman"/>
                <w:b/>
                <w:sz w:val="16"/>
                <w:szCs w:val="16"/>
              </w:rPr>
              <w:t>Location in manuscript where items are reported</w:t>
            </w:r>
          </w:p>
        </w:tc>
      </w:tr>
      <w:tr w:rsidR="00293097" w:rsidRPr="008D00F0" w:rsidTr="00B831A2">
        <w:tc>
          <w:tcPr>
            <w:tcW w:w="5000" w:type="pct"/>
            <w:gridSpan w:val="6"/>
            <w:shd w:val="clear" w:color="auto" w:fill="BFBFBF" w:themeFill="background1" w:themeFillShade="BF"/>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b/>
                <w:sz w:val="16"/>
                <w:szCs w:val="16"/>
              </w:rPr>
              <w:t>Title and abstract</w:t>
            </w:r>
            <w:r w:rsidRPr="008D00F0">
              <w:rPr>
                <w:rFonts w:ascii="Times New Roman" w:hAnsi="Times New Roman" w:cs="Times New Roman"/>
                <w:b/>
                <w:sz w:val="16"/>
                <w:szCs w:val="16"/>
              </w:rPr>
              <w:tab/>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w:t>
            </w:r>
          </w:p>
        </w:tc>
        <w:tc>
          <w:tcPr>
            <w:tcW w:w="118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(a) Indicate the study’s design with a commonly used term in the title or the abstract (b) Provide in the abstract an informative and balanced summary of what was done and what was found</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RECORD 1.1: The type of data used should be specified in the title or abstract. When possible, the name of the databases used should be included.</w:t>
            </w: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RECORD 1.2: If applicable, the geographic region and timeframe within which the study took place should be reported in the title or abstract.</w:t>
            </w: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RECORD 1.3: If linkage between databases was conducted for the study, this should be clearly stated in the title or abstract.</w:t>
            </w:r>
          </w:p>
        </w:tc>
        <w:tc>
          <w:tcPr>
            <w:tcW w:w="692"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Abstract</w:t>
            </w: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Geographic region – in title</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Timeframe – in abstract</w:t>
            </w: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Abstract</w:t>
            </w:r>
          </w:p>
        </w:tc>
      </w:tr>
      <w:tr w:rsidR="00293097" w:rsidRPr="008D00F0" w:rsidTr="00B831A2">
        <w:tc>
          <w:tcPr>
            <w:tcW w:w="5000" w:type="pct"/>
            <w:gridSpan w:val="6"/>
            <w:shd w:val="clear" w:color="auto" w:fill="BFBFBF" w:themeFill="background1" w:themeFillShade="BF"/>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b/>
                <w:sz w:val="16"/>
                <w:szCs w:val="16"/>
              </w:rPr>
              <w:t>Introduction</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Background rationale</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2</w:t>
            </w:r>
          </w:p>
        </w:tc>
        <w:tc>
          <w:tcPr>
            <w:tcW w:w="118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Explain the scientific background and rationale for the investigation being reported</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p>
        </w:tc>
        <w:tc>
          <w:tcPr>
            <w:tcW w:w="692"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Introduction: paragraphs 1-2, </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Objectives</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3</w:t>
            </w:r>
          </w:p>
        </w:tc>
        <w:tc>
          <w:tcPr>
            <w:tcW w:w="118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State specific objectives, including any prespecified hypotheses</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p>
        </w:tc>
        <w:tc>
          <w:tcPr>
            <w:tcW w:w="692"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Introduction: paragraph 3-4 </w:t>
            </w:r>
          </w:p>
        </w:tc>
      </w:tr>
      <w:tr w:rsidR="00293097" w:rsidRPr="008D00F0" w:rsidTr="00B831A2">
        <w:tc>
          <w:tcPr>
            <w:tcW w:w="5000" w:type="pct"/>
            <w:gridSpan w:val="6"/>
            <w:shd w:val="clear" w:color="auto" w:fill="BFBFBF" w:themeFill="background1" w:themeFillShade="BF"/>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b/>
                <w:sz w:val="16"/>
                <w:szCs w:val="16"/>
              </w:rPr>
              <w:t>Methods</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Study Design</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4</w:t>
            </w:r>
          </w:p>
        </w:tc>
        <w:tc>
          <w:tcPr>
            <w:tcW w:w="118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Present key elements of study design early in the paper</w:t>
            </w:r>
          </w:p>
        </w:tc>
        <w:tc>
          <w:tcPr>
            <w:tcW w:w="782" w:type="pct"/>
          </w:tcPr>
          <w:p w:rsidR="00293097" w:rsidRPr="008D00F0" w:rsidRDefault="00293097" w:rsidP="00B831A2">
            <w:pPr>
              <w:pStyle w:val="ListParagraph"/>
              <w:ind w:left="342"/>
              <w:rPr>
                <w:rFonts w:ascii="Times New Roman" w:hAnsi="Times New Roman" w:cs="Times New Roman"/>
                <w:sz w:val="16"/>
                <w:szCs w:val="16"/>
              </w:rPr>
            </w:pPr>
          </w:p>
        </w:tc>
        <w:tc>
          <w:tcPr>
            <w:tcW w:w="1401" w:type="pct"/>
          </w:tcPr>
          <w:p w:rsidR="00293097" w:rsidRPr="008D00F0" w:rsidRDefault="00293097" w:rsidP="00B831A2">
            <w:pPr>
              <w:pStyle w:val="ListParagraph"/>
              <w:ind w:left="342"/>
              <w:rPr>
                <w:rFonts w:ascii="Times New Roman" w:hAnsi="Times New Roman" w:cs="Times New Roman"/>
                <w:sz w:val="16"/>
                <w:szCs w:val="16"/>
              </w:rPr>
            </w:pPr>
          </w:p>
        </w:tc>
        <w:tc>
          <w:tcPr>
            <w:tcW w:w="692" w:type="pct"/>
          </w:tcPr>
          <w:p w:rsidR="00293097" w:rsidRPr="008D00F0" w:rsidRDefault="00293097" w:rsidP="00B831A2">
            <w:pPr>
              <w:spacing w:line="276" w:lineRule="auto"/>
              <w:rPr>
                <w:rFonts w:ascii="Times New Roman" w:hAnsi="Times New Roman" w:cs="Times New Roman"/>
                <w:i/>
                <w:sz w:val="16"/>
                <w:szCs w:val="16"/>
              </w:rPr>
            </w:pPr>
            <w:r w:rsidRPr="008D00F0">
              <w:rPr>
                <w:rFonts w:ascii="Times New Roman" w:hAnsi="Times New Roman" w:cs="Times New Roman"/>
                <w:sz w:val="16"/>
                <w:szCs w:val="16"/>
              </w:rPr>
              <w:t xml:space="preserve">Methods: ‘Study population and design’ </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Setting</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5</w:t>
            </w:r>
          </w:p>
        </w:tc>
        <w:tc>
          <w:tcPr>
            <w:tcW w:w="118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Describe the setting, locations, and relevant dates, including periods of recruitment, exposure, follow-up, and data collection</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p>
        </w:tc>
        <w:tc>
          <w:tcPr>
            <w:tcW w:w="692" w:type="pct"/>
          </w:tcPr>
          <w:p w:rsidR="00293097" w:rsidRPr="008D00F0" w:rsidRDefault="00293097" w:rsidP="00B831A2">
            <w:pPr>
              <w:spacing w:line="276" w:lineRule="auto"/>
              <w:rPr>
                <w:rFonts w:ascii="Times New Roman" w:hAnsi="Times New Roman" w:cs="Times New Roman"/>
                <w:i/>
                <w:sz w:val="16"/>
                <w:szCs w:val="16"/>
              </w:rPr>
            </w:pPr>
            <w:r w:rsidRPr="008D00F0">
              <w:rPr>
                <w:rFonts w:ascii="Times New Roman" w:hAnsi="Times New Roman" w:cs="Times New Roman"/>
                <w:sz w:val="16"/>
                <w:szCs w:val="16"/>
              </w:rPr>
              <w:t xml:space="preserve">Methods: ‘Data source’ and ‘Study population and design’ </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Participants</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6</w:t>
            </w:r>
          </w:p>
        </w:tc>
        <w:tc>
          <w:tcPr>
            <w:tcW w:w="1188" w:type="pct"/>
          </w:tcPr>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i/>
                <w:sz w:val="16"/>
                <w:szCs w:val="16"/>
              </w:rPr>
              <w:t>(a) Cohort study</w:t>
            </w:r>
            <w:r w:rsidRPr="008D00F0">
              <w:rPr>
                <w:rFonts w:ascii="Times New Roman" w:hAnsi="Times New Roman" w:cs="Times New Roman"/>
                <w:sz w:val="16"/>
                <w:szCs w:val="16"/>
              </w:rPr>
              <w:t xml:space="preserve"> - Give the eligibility criteria, and the sources and methods of selection of participants. Describe methods of follow-up</w:t>
            </w:r>
          </w:p>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i/>
                <w:sz w:val="16"/>
                <w:szCs w:val="16"/>
              </w:rPr>
              <w:t>Case-control study</w:t>
            </w:r>
            <w:r w:rsidRPr="008D00F0">
              <w:rPr>
                <w:rFonts w:ascii="Times New Roman" w:hAnsi="Times New Roman" w:cs="Times New Roman"/>
                <w:sz w:val="16"/>
                <w:szCs w:val="16"/>
              </w:rPr>
              <w:t xml:space="preserve"> - Give the eligibility criteria, and the sources and methods of case ascertainment and control selection. Give the rationale for the choice of cases and controls</w:t>
            </w:r>
          </w:p>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i/>
                <w:sz w:val="16"/>
                <w:szCs w:val="16"/>
              </w:rPr>
              <w:t>Cross-sectional study</w:t>
            </w:r>
            <w:r w:rsidRPr="008D00F0">
              <w:rPr>
                <w:rFonts w:ascii="Times New Roman" w:hAnsi="Times New Roman" w:cs="Times New Roman"/>
                <w:sz w:val="16"/>
                <w:szCs w:val="16"/>
              </w:rPr>
              <w:t xml:space="preserve"> - Give the eligibility criteria, and the sources and methods of selection of participants</w:t>
            </w:r>
          </w:p>
          <w:p w:rsidR="00293097" w:rsidRPr="008D00F0" w:rsidRDefault="00293097" w:rsidP="00B831A2">
            <w:pPr>
              <w:autoSpaceDE w:val="0"/>
              <w:autoSpaceDN w:val="0"/>
              <w:adjustRightInd w:val="0"/>
              <w:rPr>
                <w:rFonts w:ascii="Times New Roman" w:hAnsi="Times New Roman" w:cs="Times New Roman"/>
                <w:sz w:val="16"/>
                <w:szCs w:val="16"/>
              </w:rPr>
            </w:pPr>
          </w:p>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i/>
                <w:sz w:val="16"/>
                <w:szCs w:val="16"/>
              </w:rPr>
              <w:t>(b) Cohort study</w:t>
            </w:r>
            <w:r w:rsidRPr="008D00F0">
              <w:rPr>
                <w:rFonts w:ascii="Times New Roman" w:hAnsi="Times New Roman" w:cs="Times New Roman"/>
                <w:sz w:val="16"/>
                <w:szCs w:val="16"/>
              </w:rPr>
              <w:t xml:space="preserve"> - For matched studies, give matching criteria and number of exposed and unexposed</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i/>
                <w:sz w:val="16"/>
                <w:szCs w:val="16"/>
              </w:rPr>
              <w:t>Case-control study</w:t>
            </w:r>
            <w:r w:rsidRPr="008D00F0">
              <w:rPr>
                <w:rFonts w:ascii="Times New Roman" w:hAnsi="Times New Roman" w:cs="Times New Roman"/>
                <w:sz w:val="16"/>
                <w:szCs w:val="16"/>
              </w:rPr>
              <w:t xml:space="preserve"> - For matched studies, give matching criteria and the number of controls per case</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RECORD 6.1: The methods of study population selection (such as codes or algorithms used to identify subjects) should be listed in detail. If this is not possible, an explanation should be provided. </w:t>
            </w: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RECORD 6.2: Any validation studies of the codes or algorithms used to select the population should be referenced. If validation was conducted for this study and not published elsewhere, detailed methods and results should be provided.</w:t>
            </w: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RECORD 6.3: If the study involved linkage of databases, consider use of a flow diagram or other graphical display to demonstrate the data linkage process, including the number of individuals with linked data at each stage.</w:t>
            </w:r>
          </w:p>
        </w:tc>
        <w:tc>
          <w:tcPr>
            <w:tcW w:w="692" w:type="pct"/>
          </w:tcPr>
          <w:p w:rsidR="00293097" w:rsidRPr="008D00F0" w:rsidRDefault="00293097" w:rsidP="00B831A2">
            <w:pPr>
              <w:spacing w:line="276" w:lineRule="auto"/>
              <w:rPr>
                <w:rFonts w:ascii="Times New Roman" w:hAnsi="Times New Roman" w:cs="Times New Roman"/>
                <w:sz w:val="16"/>
                <w:szCs w:val="16"/>
              </w:rPr>
            </w:pPr>
            <w:r w:rsidRPr="008D00F0">
              <w:rPr>
                <w:rFonts w:ascii="Times New Roman" w:hAnsi="Times New Roman" w:cs="Times New Roman"/>
                <w:sz w:val="16"/>
                <w:szCs w:val="16"/>
              </w:rPr>
              <w:t>Methods: ‘Study population and design’</w:t>
            </w:r>
          </w:p>
          <w:p w:rsidR="00293097" w:rsidRPr="008D00F0" w:rsidRDefault="00293097" w:rsidP="00B831A2">
            <w:pPr>
              <w:spacing w:line="276" w:lineRule="auto"/>
              <w:rPr>
                <w:rFonts w:ascii="Times New Roman" w:hAnsi="Times New Roman" w:cs="Times New Roman"/>
                <w:sz w:val="16"/>
                <w:szCs w:val="16"/>
              </w:rPr>
            </w:pPr>
          </w:p>
          <w:p w:rsidR="00293097" w:rsidRPr="008D00F0" w:rsidRDefault="00293097" w:rsidP="00B831A2">
            <w:pPr>
              <w:spacing w:line="276" w:lineRule="auto"/>
              <w:rPr>
                <w:rFonts w:ascii="Times New Roman" w:hAnsi="Times New Roman" w:cs="Times New Roman"/>
                <w:sz w:val="16"/>
                <w:szCs w:val="16"/>
              </w:rPr>
            </w:pPr>
          </w:p>
          <w:p w:rsidR="00293097" w:rsidRPr="008D00F0" w:rsidRDefault="00293097" w:rsidP="00B831A2">
            <w:pPr>
              <w:spacing w:line="276" w:lineRule="auto"/>
              <w:rPr>
                <w:rFonts w:ascii="Times New Roman" w:hAnsi="Times New Roman" w:cs="Times New Roman"/>
                <w:sz w:val="16"/>
                <w:szCs w:val="16"/>
              </w:rPr>
            </w:pPr>
          </w:p>
          <w:p w:rsidR="00293097" w:rsidRPr="008D00F0" w:rsidRDefault="00293097" w:rsidP="00B831A2">
            <w:pPr>
              <w:spacing w:line="276" w:lineRule="auto"/>
              <w:rPr>
                <w:rFonts w:ascii="Times New Roman" w:hAnsi="Times New Roman" w:cs="Times New Roman"/>
                <w:sz w:val="16"/>
                <w:szCs w:val="16"/>
              </w:rPr>
            </w:pPr>
          </w:p>
          <w:p w:rsidR="00293097" w:rsidRPr="008D00F0" w:rsidRDefault="00293097" w:rsidP="00B831A2">
            <w:pPr>
              <w:spacing w:line="276" w:lineRule="auto"/>
              <w:rPr>
                <w:rFonts w:ascii="Times New Roman" w:hAnsi="Times New Roman" w:cs="Times New Roman"/>
                <w:sz w:val="16"/>
                <w:szCs w:val="16"/>
              </w:rPr>
            </w:pPr>
          </w:p>
          <w:p w:rsidR="00293097" w:rsidRPr="008D00F0" w:rsidRDefault="00293097" w:rsidP="00B831A2">
            <w:pPr>
              <w:spacing w:line="276" w:lineRule="auto"/>
              <w:rPr>
                <w:rFonts w:ascii="Times New Roman" w:hAnsi="Times New Roman" w:cs="Times New Roman"/>
                <w:sz w:val="16"/>
                <w:szCs w:val="16"/>
              </w:rPr>
            </w:pPr>
          </w:p>
          <w:p w:rsidR="00293097" w:rsidRPr="008D00F0" w:rsidRDefault="00293097" w:rsidP="00B831A2">
            <w:pPr>
              <w:spacing w:line="276" w:lineRule="auto"/>
              <w:rPr>
                <w:rFonts w:ascii="Times New Roman" w:hAnsi="Times New Roman" w:cs="Times New Roman"/>
                <w:sz w:val="16"/>
                <w:szCs w:val="16"/>
              </w:rPr>
            </w:pPr>
          </w:p>
          <w:p w:rsidR="00293097" w:rsidRPr="008D00F0" w:rsidRDefault="00293097" w:rsidP="00B831A2">
            <w:pPr>
              <w:spacing w:line="276" w:lineRule="auto"/>
              <w:rPr>
                <w:rFonts w:ascii="Times New Roman" w:hAnsi="Times New Roman" w:cs="Times New Roman"/>
                <w:sz w:val="16"/>
                <w:szCs w:val="16"/>
              </w:rPr>
            </w:pPr>
            <w:r w:rsidRPr="008D00F0">
              <w:rPr>
                <w:rFonts w:ascii="Times New Roman" w:hAnsi="Times New Roman" w:cs="Times New Roman"/>
                <w:sz w:val="16"/>
                <w:szCs w:val="16"/>
              </w:rPr>
              <w:t>Methods: ‘Study population and design’ ‘Appendix pg2’</w:t>
            </w:r>
          </w:p>
          <w:p w:rsidR="00293097" w:rsidRPr="008D00F0" w:rsidRDefault="00293097" w:rsidP="00B831A2">
            <w:pPr>
              <w:spacing w:line="276" w:lineRule="auto"/>
              <w:rPr>
                <w:rFonts w:ascii="Times New Roman" w:hAnsi="Times New Roman" w:cs="Times New Roman"/>
                <w:sz w:val="16"/>
                <w:szCs w:val="16"/>
              </w:rPr>
            </w:pP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Variables</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7</w:t>
            </w:r>
          </w:p>
        </w:tc>
        <w:tc>
          <w:tcPr>
            <w:tcW w:w="118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Clearly define all outcomes, exposures, predictors, potential confounders, and effect </w:t>
            </w:r>
            <w:r w:rsidRPr="008D00F0">
              <w:rPr>
                <w:rFonts w:ascii="Times New Roman" w:hAnsi="Times New Roman" w:cs="Times New Roman"/>
                <w:sz w:val="16"/>
                <w:szCs w:val="16"/>
              </w:rPr>
              <w:lastRenderedPageBreak/>
              <w:t>modifiers. Give diagnostic criteria, if applicable.</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RECORD 7.1: A complete list of codes and algorithms used to classify exposures, outcomes, confounders, and </w:t>
            </w:r>
            <w:r w:rsidRPr="008D00F0">
              <w:rPr>
                <w:rFonts w:ascii="Times New Roman" w:hAnsi="Times New Roman" w:cs="Times New Roman"/>
                <w:sz w:val="16"/>
                <w:szCs w:val="16"/>
              </w:rPr>
              <w:lastRenderedPageBreak/>
              <w:t>effect modifiers should be provided. If these cannot be reported, an explanation should be provided.</w:t>
            </w:r>
          </w:p>
        </w:tc>
        <w:tc>
          <w:tcPr>
            <w:tcW w:w="692" w:type="pct"/>
          </w:tcPr>
          <w:p w:rsidR="00293097" w:rsidRPr="008D00F0" w:rsidRDefault="00293097" w:rsidP="00B831A2">
            <w:pPr>
              <w:spacing w:line="276" w:lineRule="auto"/>
              <w:rPr>
                <w:rFonts w:ascii="Times New Roman" w:hAnsi="Times New Roman" w:cs="Times New Roman"/>
                <w:i/>
                <w:sz w:val="16"/>
                <w:szCs w:val="16"/>
              </w:rPr>
            </w:pPr>
            <w:r w:rsidRPr="008D00F0">
              <w:rPr>
                <w:rFonts w:ascii="Times New Roman" w:hAnsi="Times New Roman" w:cs="Times New Roman"/>
                <w:sz w:val="16"/>
                <w:szCs w:val="16"/>
              </w:rPr>
              <w:lastRenderedPageBreak/>
              <w:t xml:space="preserve">Methods: ‘Classification of outcomes and covariates’ </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Data sources/ measurement</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8</w:t>
            </w:r>
          </w:p>
        </w:tc>
        <w:tc>
          <w:tcPr>
            <w:tcW w:w="1188" w:type="pct"/>
          </w:tcPr>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sz w:val="16"/>
                <w:szCs w:val="16"/>
              </w:rPr>
              <w:t>For each variable of interest, give sources of data and details of methods of assessment (measurement).</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Describe comparability of assessment methods if there is more than one group</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p>
        </w:tc>
        <w:tc>
          <w:tcPr>
            <w:tcW w:w="692" w:type="pct"/>
          </w:tcPr>
          <w:p w:rsidR="00293097" w:rsidRPr="008D00F0" w:rsidRDefault="00293097" w:rsidP="00B831A2">
            <w:pPr>
              <w:spacing w:line="276" w:lineRule="auto"/>
              <w:rPr>
                <w:rFonts w:ascii="Times New Roman" w:hAnsi="Times New Roman" w:cs="Times New Roman"/>
                <w:i/>
                <w:sz w:val="16"/>
                <w:szCs w:val="16"/>
              </w:rPr>
            </w:pPr>
            <w:r w:rsidRPr="008D00F0">
              <w:rPr>
                <w:rFonts w:ascii="Times New Roman" w:hAnsi="Times New Roman" w:cs="Times New Roman"/>
                <w:sz w:val="16"/>
                <w:szCs w:val="16"/>
              </w:rPr>
              <w:t>Methods: ‘data sources’ and ‘Classification of outcomes and covariates’</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Bias</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9</w:t>
            </w:r>
          </w:p>
        </w:tc>
        <w:tc>
          <w:tcPr>
            <w:tcW w:w="118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Describe any efforts to address potential sources of bias</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p>
        </w:tc>
        <w:tc>
          <w:tcPr>
            <w:tcW w:w="692"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Methods: ‘data analysis’</w:t>
            </w:r>
          </w:p>
          <w:p w:rsidR="00293097" w:rsidRPr="008D00F0" w:rsidRDefault="00293097" w:rsidP="00B831A2">
            <w:pPr>
              <w:rPr>
                <w:rFonts w:ascii="Times New Roman" w:hAnsi="Times New Roman" w:cs="Times New Roman"/>
                <w:sz w:val="16"/>
                <w:szCs w:val="16"/>
              </w:rPr>
            </w:pP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Study size</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10</w:t>
            </w:r>
          </w:p>
        </w:tc>
        <w:tc>
          <w:tcPr>
            <w:tcW w:w="118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Explain how the study size was arrived at</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p>
        </w:tc>
        <w:tc>
          <w:tcPr>
            <w:tcW w:w="692" w:type="pct"/>
          </w:tcPr>
          <w:p w:rsidR="00293097" w:rsidRPr="008D00F0" w:rsidRDefault="00293097" w:rsidP="00B831A2">
            <w:pPr>
              <w:spacing w:line="276" w:lineRule="auto"/>
              <w:rPr>
                <w:rFonts w:ascii="Times New Roman" w:hAnsi="Times New Roman" w:cs="Times New Roman"/>
                <w:i/>
                <w:sz w:val="16"/>
                <w:szCs w:val="16"/>
              </w:rPr>
            </w:pPr>
            <w:r w:rsidRPr="008D00F0">
              <w:rPr>
                <w:rFonts w:ascii="Times New Roman" w:hAnsi="Times New Roman" w:cs="Times New Roman"/>
                <w:sz w:val="16"/>
                <w:szCs w:val="16"/>
              </w:rPr>
              <w:t>Methods: ‘study population’</w:t>
            </w:r>
            <w:r w:rsidRPr="008D00F0">
              <w:rPr>
                <w:rFonts w:ascii="Times New Roman" w:hAnsi="Times New Roman" w:cs="Times New Roman"/>
                <w:i/>
                <w:sz w:val="16"/>
                <w:szCs w:val="16"/>
              </w:rPr>
              <w:t>.</w:t>
            </w:r>
          </w:p>
          <w:p w:rsidR="00293097" w:rsidRPr="008D00F0" w:rsidRDefault="00293097" w:rsidP="00B831A2">
            <w:pPr>
              <w:spacing w:line="276" w:lineRule="auto"/>
              <w:rPr>
                <w:rFonts w:ascii="Times New Roman" w:hAnsi="Times New Roman" w:cs="Times New Roman"/>
                <w:i/>
                <w:sz w:val="16"/>
                <w:szCs w:val="16"/>
              </w:rPr>
            </w:pPr>
            <w:r w:rsidRPr="008D00F0">
              <w:rPr>
                <w:rFonts w:ascii="Times New Roman" w:hAnsi="Times New Roman" w:cs="Times New Roman"/>
                <w:i/>
                <w:sz w:val="16"/>
                <w:szCs w:val="16"/>
              </w:rPr>
              <w:t>Appendix Table S1</w:t>
            </w:r>
          </w:p>
          <w:p w:rsidR="00293097" w:rsidRPr="008D00F0" w:rsidRDefault="00293097" w:rsidP="00B831A2">
            <w:pPr>
              <w:rPr>
                <w:rFonts w:ascii="Times New Roman" w:hAnsi="Times New Roman" w:cs="Times New Roman"/>
                <w:sz w:val="16"/>
                <w:szCs w:val="16"/>
              </w:rPr>
            </w:pP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Quantitative variables</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11</w:t>
            </w:r>
          </w:p>
        </w:tc>
        <w:tc>
          <w:tcPr>
            <w:tcW w:w="118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Explain how quantitative variables were handled in the analyses. If applicable, describe which groupings were chosen, and why</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p>
        </w:tc>
        <w:tc>
          <w:tcPr>
            <w:tcW w:w="692"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Methods: data analysis</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Statistical methods</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12</w:t>
            </w:r>
          </w:p>
        </w:tc>
        <w:tc>
          <w:tcPr>
            <w:tcW w:w="1188" w:type="pct"/>
          </w:tcPr>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sz w:val="16"/>
                <w:szCs w:val="16"/>
              </w:rPr>
              <w:t>(a) Describe all statistical methods, including those used to control for confounding</w:t>
            </w:r>
          </w:p>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sz w:val="16"/>
                <w:szCs w:val="16"/>
              </w:rPr>
              <w:t>(b) Describe any methods used to examine subgroups and interactions</w:t>
            </w:r>
          </w:p>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sz w:val="16"/>
                <w:szCs w:val="16"/>
              </w:rPr>
              <w:t>(c) Explain how missing data were addressed</w:t>
            </w:r>
          </w:p>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sz w:val="16"/>
                <w:szCs w:val="16"/>
              </w:rPr>
              <w:t xml:space="preserve">(d) </w:t>
            </w:r>
            <w:r w:rsidRPr="008D00F0">
              <w:rPr>
                <w:rFonts w:ascii="Times New Roman" w:hAnsi="Times New Roman" w:cs="Times New Roman"/>
                <w:i/>
                <w:sz w:val="16"/>
                <w:szCs w:val="16"/>
              </w:rPr>
              <w:t>Cohort study</w:t>
            </w:r>
            <w:r w:rsidRPr="008D00F0">
              <w:rPr>
                <w:rFonts w:ascii="Times New Roman" w:hAnsi="Times New Roman" w:cs="Times New Roman"/>
                <w:sz w:val="16"/>
                <w:szCs w:val="16"/>
              </w:rPr>
              <w:t xml:space="preserve"> - If applicable, explain how loss to follow-up was addressed</w:t>
            </w:r>
          </w:p>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i/>
                <w:sz w:val="16"/>
                <w:szCs w:val="16"/>
              </w:rPr>
              <w:t>Case-control study</w:t>
            </w:r>
            <w:r w:rsidRPr="008D00F0">
              <w:rPr>
                <w:rFonts w:ascii="Times New Roman" w:hAnsi="Times New Roman" w:cs="Times New Roman"/>
                <w:sz w:val="16"/>
                <w:szCs w:val="16"/>
              </w:rPr>
              <w:t xml:space="preserve"> - If applicable, explain how matching of cases and controls was addressed</w:t>
            </w:r>
          </w:p>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i/>
                <w:sz w:val="16"/>
                <w:szCs w:val="16"/>
              </w:rPr>
              <w:t>Cross-sectional study</w:t>
            </w:r>
            <w:r w:rsidRPr="008D00F0">
              <w:rPr>
                <w:rFonts w:ascii="Times New Roman" w:hAnsi="Times New Roman" w:cs="Times New Roman"/>
                <w:sz w:val="16"/>
                <w:szCs w:val="16"/>
              </w:rPr>
              <w:t xml:space="preserve"> - If applicable, describe analytical methods taking account of sampling strategy</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(e) Describe any sensitivity analyses</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 </w:t>
            </w:r>
          </w:p>
        </w:tc>
        <w:tc>
          <w:tcPr>
            <w:tcW w:w="692"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Methods: Statistical analyses (</w:t>
            </w:r>
            <w:proofErr w:type="spellStart"/>
            <w:r w:rsidRPr="008D00F0">
              <w:rPr>
                <w:rFonts w:ascii="Times New Roman" w:hAnsi="Times New Roman" w:cs="Times New Roman"/>
                <w:sz w:val="16"/>
                <w:szCs w:val="16"/>
              </w:rPr>
              <w:t>a,b</w:t>
            </w:r>
            <w:proofErr w:type="spellEnd"/>
            <w:r w:rsidRPr="008D00F0">
              <w:rPr>
                <w:rFonts w:ascii="Times New Roman" w:hAnsi="Times New Roman" w:cs="Times New Roman"/>
                <w:sz w:val="16"/>
                <w:szCs w:val="16"/>
              </w:rPr>
              <w:t>)</w:t>
            </w: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Classification of outcomes and covariates (c)</w:t>
            </w: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Study population and design(</w:t>
            </w:r>
            <w:proofErr w:type="spellStart"/>
            <w:r w:rsidRPr="008D00F0">
              <w:rPr>
                <w:rFonts w:ascii="Times New Roman" w:hAnsi="Times New Roman" w:cs="Times New Roman"/>
                <w:sz w:val="16"/>
                <w:szCs w:val="16"/>
              </w:rPr>
              <w:t>c,d</w:t>
            </w:r>
            <w:proofErr w:type="spellEnd"/>
            <w:r w:rsidRPr="008D00F0">
              <w:rPr>
                <w:rFonts w:ascii="Times New Roman" w:hAnsi="Times New Roman" w:cs="Times New Roman"/>
                <w:sz w:val="16"/>
                <w:szCs w:val="16"/>
              </w:rPr>
              <w:t>)</w:t>
            </w: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Supplementary material S2 (e) </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Data access and cleaning methods</w:t>
            </w:r>
          </w:p>
        </w:tc>
        <w:tc>
          <w:tcPr>
            <w:tcW w:w="268" w:type="pct"/>
          </w:tcPr>
          <w:p w:rsidR="00293097" w:rsidRPr="008D00F0" w:rsidRDefault="00293097" w:rsidP="00B831A2">
            <w:pPr>
              <w:rPr>
                <w:rFonts w:ascii="Times New Roman" w:hAnsi="Times New Roman" w:cs="Times New Roman"/>
                <w:sz w:val="16"/>
                <w:szCs w:val="16"/>
              </w:rPr>
            </w:pPr>
          </w:p>
        </w:tc>
        <w:tc>
          <w:tcPr>
            <w:tcW w:w="118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RECORD 12.1: Authors should describe the extent to which the investigators had access to the database population used to create the study population.</w:t>
            </w: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RECORD 12.2: Authors should provide information on the data cleaning methods used in the study.</w:t>
            </w:r>
          </w:p>
        </w:tc>
        <w:tc>
          <w:tcPr>
            <w:tcW w:w="692"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Methods: ‘Study population and design’ and ‘Role of funding source’</w:t>
            </w:r>
          </w:p>
          <w:p w:rsidR="00293097" w:rsidRPr="008D00F0" w:rsidRDefault="00293097" w:rsidP="00B831A2">
            <w:pPr>
              <w:rPr>
                <w:rFonts w:ascii="Times New Roman" w:hAnsi="Times New Roman" w:cs="Times New Roman"/>
                <w:sz w:val="16"/>
                <w:szCs w:val="16"/>
              </w:rPr>
            </w:pP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Appendix Table S1</w:t>
            </w:r>
          </w:p>
          <w:p w:rsidR="00293097" w:rsidRPr="008D00F0" w:rsidRDefault="00293097" w:rsidP="00B831A2">
            <w:pPr>
              <w:rPr>
                <w:rFonts w:ascii="Times New Roman" w:hAnsi="Times New Roman" w:cs="Times New Roman"/>
                <w:sz w:val="16"/>
                <w:szCs w:val="16"/>
              </w:rPr>
            </w:pP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Linkage</w:t>
            </w:r>
          </w:p>
        </w:tc>
        <w:tc>
          <w:tcPr>
            <w:tcW w:w="268" w:type="pct"/>
          </w:tcPr>
          <w:p w:rsidR="00293097" w:rsidRPr="008D00F0" w:rsidRDefault="00293097" w:rsidP="00B831A2">
            <w:pPr>
              <w:rPr>
                <w:rFonts w:ascii="Times New Roman" w:hAnsi="Times New Roman" w:cs="Times New Roman"/>
                <w:sz w:val="16"/>
                <w:szCs w:val="16"/>
              </w:rPr>
            </w:pPr>
          </w:p>
        </w:tc>
        <w:tc>
          <w:tcPr>
            <w:tcW w:w="118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RECORD 12.3: State whether the study included person-level, institutional-level, or other data linkage across two or more databases. The methods of linkage and methods of linkage quality evaluation should be provided.</w:t>
            </w:r>
          </w:p>
        </w:tc>
        <w:tc>
          <w:tcPr>
            <w:tcW w:w="692"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Methods: ‘Data source’</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 And ‘Study population and design’</w:t>
            </w:r>
          </w:p>
          <w:p w:rsidR="00293097" w:rsidRPr="008D00F0" w:rsidRDefault="00293097" w:rsidP="00B831A2">
            <w:pPr>
              <w:rPr>
                <w:rFonts w:ascii="Times New Roman" w:hAnsi="Times New Roman" w:cs="Times New Roman"/>
                <w:sz w:val="16"/>
                <w:szCs w:val="16"/>
              </w:rPr>
            </w:pPr>
          </w:p>
        </w:tc>
      </w:tr>
      <w:tr w:rsidR="00293097" w:rsidRPr="008D00F0" w:rsidTr="00B831A2">
        <w:tc>
          <w:tcPr>
            <w:tcW w:w="5000" w:type="pct"/>
            <w:gridSpan w:val="6"/>
            <w:shd w:val="clear" w:color="auto" w:fill="BFBFBF" w:themeFill="background1" w:themeFillShade="BF"/>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b/>
                <w:sz w:val="16"/>
                <w:szCs w:val="16"/>
              </w:rPr>
              <w:t>Results</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Participants</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13</w:t>
            </w:r>
          </w:p>
        </w:tc>
        <w:tc>
          <w:tcPr>
            <w:tcW w:w="118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(a) Report the numbers of individuals at each stage of the study (</w:t>
            </w:r>
            <w:r w:rsidRPr="008D00F0">
              <w:rPr>
                <w:rFonts w:ascii="Times New Roman" w:hAnsi="Times New Roman" w:cs="Times New Roman"/>
                <w:i/>
                <w:sz w:val="16"/>
                <w:szCs w:val="16"/>
              </w:rPr>
              <w:t>e.g.</w:t>
            </w:r>
            <w:r w:rsidRPr="008D00F0">
              <w:rPr>
                <w:rFonts w:ascii="Times New Roman" w:hAnsi="Times New Roman" w:cs="Times New Roman"/>
                <w:sz w:val="16"/>
                <w:szCs w:val="16"/>
              </w:rPr>
              <w:t>, numbers potentially eligible, examined for eligibility, confirmed eligible, included in the study, completing follow-up, and analysed)</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(b) Give reasons for non-participation at each stage.</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(c) Consider use of a flow diagram</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RECORD 13.1: Describe in detail the selection of the persons included in the study (</w:t>
            </w:r>
            <w:r w:rsidRPr="008D00F0">
              <w:rPr>
                <w:rFonts w:ascii="Times New Roman" w:hAnsi="Times New Roman" w:cs="Times New Roman"/>
                <w:i/>
                <w:sz w:val="16"/>
                <w:szCs w:val="16"/>
              </w:rPr>
              <w:t>i.e.,</w:t>
            </w:r>
            <w:r w:rsidRPr="008D00F0">
              <w:rPr>
                <w:rFonts w:ascii="Times New Roman" w:hAnsi="Times New Roman" w:cs="Times New Roman"/>
                <w:sz w:val="16"/>
                <w:szCs w:val="16"/>
              </w:rPr>
              <w:t xml:space="preserve"> study population selection) including filtering based on data quality, data availability and linkage. The selection of included persons can be described in the text and/or by means of the study flow diagram.</w:t>
            </w:r>
          </w:p>
        </w:tc>
        <w:tc>
          <w:tcPr>
            <w:tcW w:w="692"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Methods; ‘Study population and design’, appendix S1 and results paragraph 1.</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lastRenderedPageBreak/>
              <w:t>Descriptive data</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14</w:t>
            </w:r>
          </w:p>
        </w:tc>
        <w:tc>
          <w:tcPr>
            <w:tcW w:w="118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(a) Give characteristics of study participants (</w:t>
            </w:r>
            <w:r w:rsidRPr="008D00F0">
              <w:rPr>
                <w:rFonts w:ascii="Times New Roman" w:hAnsi="Times New Roman" w:cs="Times New Roman"/>
                <w:i/>
                <w:sz w:val="16"/>
                <w:szCs w:val="16"/>
              </w:rPr>
              <w:t>e.g.</w:t>
            </w:r>
            <w:r w:rsidRPr="008D00F0">
              <w:rPr>
                <w:rFonts w:ascii="Times New Roman" w:hAnsi="Times New Roman" w:cs="Times New Roman"/>
                <w:sz w:val="16"/>
                <w:szCs w:val="16"/>
              </w:rPr>
              <w:t>, demographic, clinical, social) and information on exposures and potential confounders</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(b) Indicate the number of participants with missing data for each variable of interest</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 xml:space="preserve">(c) </w:t>
            </w:r>
            <w:r w:rsidRPr="008D00F0">
              <w:rPr>
                <w:rFonts w:ascii="Times New Roman" w:hAnsi="Times New Roman" w:cs="Times New Roman"/>
                <w:i/>
                <w:sz w:val="16"/>
                <w:szCs w:val="16"/>
              </w:rPr>
              <w:t>Cohort study</w:t>
            </w:r>
            <w:r w:rsidRPr="008D00F0">
              <w:rPr>
                <w:rFonts w:ascii="Times New Roman" w:hAnsi="Times New Roman" w:cs="Times New Roman"/>
                <w:sz w:val="16"/>
                <w:szCs w:val="16"/>
              </w:rPr>
              <w:t xml:space="preserve"> - summarise follow-up time (</w:t>
            </w:r>
            <w:r w:rsidRPr="008D00F0">
              <w:rPr>
                <w:rFonts w:ascii="Times New Roman" w:hAnsi="Times New Roman" w:cs="Times New Roman"/>
                <w:i/>
                <w:sz w:val="16"/>
                <w:szCs w:val="16"/>
              </w:rPr>
              <w:t>e.g.</w:t>
            </w:r>
            <w:r w:rsidRPr="008D00F0">
              <w:rPr>
                <w:rFonts w:ascii="Times New Roman" w:hAnsi="Times New Roman" w:cs="Times New Roman"/>
                <w:sz w:val="16"/>
                <w:szCs w:val="16"/>
              </w:rPr>
              <w:t>, average and total amount)</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p>
        </w:tc>
        <w:tc>
          <w:tcPr>
            <w:tcW w:w="692"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Results, table 1, table 3</w:t>
            </w:r>
          </w:p>
          <w:p w:rsidR="00293097" w:rsidRPr="008D00F0" w:rsidRDefault="00293097" w:rsidP="00B831A2">
            <w:pPr>
              <w:rPr>
                <w:rFonts w:ascii="Times New Roman" w:hAnsi="Times New Roman" w:cs="Times New Roman"/>
                <w:sz w:val="16"/>
                <w:szCs w:val="16"/>
              </w:rPr>
            </w:pP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Outcome data</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15</w:t>
            </w:r>
          </w:p>
        </w:tc>
        <w:tc>
          <w:tcPr>
            <w:tcW w:w="1188" w:type="pct"/>
          </w:tcPr>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i/>
                <w:sz w:val="16"/>
                <w:szCs w:val="16"/>
              </w:rPr>
              <w:t>Cohort study</w:t>
            </w:r>
            <w:r w:rsidRPr="008D00F0">
              <w:rPr>
                <w:rFonts w:ascii="Times New Roman" w:hAnsi="Times New Roman" w:cs="Times New Roman"/>
                <w:sz w:val="16"/>
                <w:szCs w:val="16"/>
              </w:rPr>
              <w:t xml:space="preserve"> - Report numbers of outcome events or summary measures over time</w:t>
            </w:r>
          </w:p>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i/>
                <w:sz w:val="16"/>
                <w:szCs w:val="16"/>
              </w:rPr>
              <w:t>Case-control study</w:t>
            </w:r>
            <w:r w:rsidRPr="008D00F0">
              <w:rPr>
                <w:rFonts w:ascii="Times New Roman" w:hAnsi="Times New Roman" w:cs="Times New Roman"/>
                <w:sz w:val="16"/>
                <w:szCs w:val="16"/>
              </w:rPr>
              <w:t xml:space="preserve"> - Report numbers in each exposure category, or summary measures of exposure</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i/>
                <w:sz w:val="16"/>
                <w:szCs w:val="16"/>
              </w:rPr>
              <w:t>Cross-sectional study</w:t>
            </w:r>
            <w:r w:rsidRPr="008D00F0">
              <w:rPr>
                <w:rFonts w:ascii="Times New Roman" w:hAnsi="Times New Roman" w:cs="Times New Roman"/>
                <w:sz w:val="16"/>
                <w:szCs w:val="16"/>
              </w:rPr>
              <w:t xml:space="preserve"> - Report numbers of outcome events or summary measures</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p>
        </w:tc>
        <w:tc>
          <w:tcPr>
            <w:tcW w:w="692" w:type="pct"/>
          </w:tcPr>
          <w:p w:rsidR="00293097" w:rsidRPr="008D00F0" w:rsidRDefault="00293097" w:rsidP="00B831A2">
            <w:pPr>
              <w:spacing w:line="276" w:lineRule="auto"/>
              <w:rPr>
                <w:rFonts w:ascii="Times New Roman" w:hAnsi="Times New Roman" w:cs="Times New Roman"/>
                <w:i/>
                <w:sz w:val="16"/>
                <w:szCs w:val="16"/>
              </w:rPr>
            </w:pPr>
            <w:r w:rsidRPr="008D00F0">
              <w:rPr>
                <w:rFonts w:ascii="Times New Roman" w:hAnsi="Times New Roman" w:cs="Times New Roman"/>
                <w:sz w:val="16"/>
                <w:szCs w:val="16"/>
              </w:rPr>
              <w:t>Results, paragraph 2 and Table 2.</w:t>
            </w:r>
          </w:p>
          <w:p w:rsidR="00293097" w:rsidRPr="008D00F0" w:rsidRDefault="00293097" w:rsidP="00B831A2">
            <w:pPr>
              <w:rPr>
                <w:rFonts w:ascii="Times New Roman" w:hAnsi="Times New Roman" w:cs="Times New Roman"/>
                <w:sz w:val="16"/>
                <w:szCs w:val="16"/>
              </w:rPr>
            </w:pP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Main results</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16</w:t>
            </w:r>
          </w:p>
        </w:tc>
        <w:tc>
          <w:tcPr>
            <w:tcW w:w="1188" w:type="pct"/>
          </w:tcPr>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sz w:val="16"/>
                <w:szCs w:val="16"/>
              </w:rPr>
              <w:t>(a) Give unadjusted estimates and, if applicable, confounder-adjusted estimates and their precision (e.g., 95% confidence interval). Make clear which confounders were adjusted for and why they were included</w:t>
            </w:r>
          </w:p>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sz w:val="16"/>
                <w:szCs w:val="16"/>
              </w:rPr>
              <w:t>(b) Report category boundaries when continuous variables were categorized</w:t>
            </w:r>
          </w:p>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(c) If relevant, consider translating estimates of relative risk into absolute risk for a meaningful time period</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p>
        </w:tc>
        <w:tc>
          <w:tcPr>
            <w:tcW w:w="692"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Results, paragraph 2-4, table 2, figure 1</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Other analyses</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17</w:t>
            </w:r>
          </w:p>
        </w:tc>
        <w:tc>
          <w:tcPr>
            <w:tcW w:w="118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Report other analyses done—e.g., analyses of subgroups and interactions, and sensitivity analyses</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p>
        </w:tc>
        <w:tc>
          <w:tcPr>
            <w:tcW w:w="692"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Results, paragraph 5-6.  Table 3, figure 2&amp;3.  Appendix Table S4</w:t>
            </w:r>
          </w:p>
        </w:tc>
      </w:tr>
      <w:tr w:rsidR="00293097" w:rsidRPr="008D00F0" w:rsidTr="00B831A2">
        <w:tc>
          <w:tcPr>
            <w:tcW w:w="5000" w:type="pct"/>
            <w:gridSpan w:val="6"/>
            <w:shd w:val="clear" w:color="auto" w:fill="BFBFBF" w:themeFill="background1" w:themeFillShade="BF"/>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b/>
                <w:sz w:val="16"/>
                <w:szCs w:val="16"/>
              </w:rPr>
              <w:t>Discussion</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Key results</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18</w:t>
            </w:r>
          </w:p>
        </w:tc>
        <w:tc>
          <w:tcPr>
            <w:tcW w:w="118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Summarise key results with reference to study objectives</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p>
        </w:tc>
        <w:tc>
          <w:tcPr>
            <w:tcW w:w="692"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Discussion, paragraph 1</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Limitations</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19</w:t>
            </w:r>
          </w:p>
        </w:tc>
        <w:tc>
          <w:tcPr>
            <w:tcW w:w="1188" w:type="pct"/>
          </w:tcPr>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sz w:val="16"/>
                <w:szCs w:val="16"/>
              </w:rPr>
              <w:t>Discuss limitations of the study, taking into account sources of potential bias or imprecision. Discuss both direction and magnitude of any potential bias</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p w:rsidR="00293097" w:rsidRPr="008D00F0" w:rsidRDefault="00293097" w:rsidP="00B831A2">
            <w:pPr>
              <w:rPr>
                <w:rFonts w:ascii="Times New Roman" w:hAnsi="Times New Roman" w:cs="Times New Roman"/>
                <w:sz w:val="16"/>
                <w:szCs w:val="16"/>
              </w:rPr>
            </w:pPr>
          </w:p>
        </w:tc>
        <w:tc>
          <w:tcPr>
            <w:tcW w:w="692" w:type="pct"/>
          </w:tcPr>
          <w:p w:rsidR="00293097" w:rsidRPr="008D00F0" w:rsidRDefault="007C7DD0" w:rsidP="00B831A2">
            <w:pPr>
              <w:rPr>
                <w:rFonts w:ascii="Times New Roman" w:hAnsi="Times New Roman" w:cs="Times New Roman"/>
                <w:sz w:val="16"/>
                <w:szCs w:val="16"/>
              </w:rPr>
            </w:pPr>
            <w:r>
              <w:rPr>
                <w:rFonts w:ascii="Times New Roman" w:hAnsi="Times New Roman" w:cs="Times New Roman"/>
                <w:sz w:val="16"/>
                <w:szCs w:val="16"/>
              </w:rPr>
              <w:t>Discussion, paragraph 7</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Interpretation</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20</w:t>
            </w:r>
          </w:p>
        </w:tc>
        <w:tc>
          <w:tcPr>
            <w:tcW w:w="1188" w:type="pct"/>
          </w:tcPr>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sz w:val="16"/>
                <w:szCs w:val="16"/>
              </w:rPr>
              <w:t>Give a cautious overall interpretation of results considering objectives, limitations, multiplicity of analyses, results from similar studies, and other relevant evidence</w:t>
            </w: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p>
        </w:tc>
        <w:tc>
          <w:tcPr>
            <w:tcW w:w="692" w:type="pct"/>
          </w:tcPr>
          <w:p w:rsidR="00293097" w:rsidRPr="008D00F0" w:rsidRDefault="007C7DD0" w:rsidP="00B831A2">
            <w:pPr>
              <w:rPr>
                <w:rFonts w:ascii="Times New Roman" w:hAnsi="Times New Roman" w:cs="Times New Roman"/>
                <w:sz w:val="16"/>
                <w:szCs w:val="16"/>
              </w:rPr>
            </w:pPr>
            <w:r>
              <w:rPr>
                <w:rFonts w:ascii="Times New Roman" w:hAnsi="Times New Roman" w:cs="Times New Roman"/>
                <w:sz w:val="16"/>
                <w:szCs w:val="16"/>
              </w:rPr>
              <w:t>Discussion: paragraphs 2-5</w:t>
            </w:r>
            <w:r w:rsidR="00293097" w:rsidRPr="008D00F0">
              <w:rPr>
                <w:rFonts w:ascii="Times New Roman" w:hAnsi="Times New Roman" w:cs="Times New Roman"/>
                <w:sz w:val="16"/>
                <w:szCs w:val="16"/>
              </w:rPr>
              <w:t xml:space="preserve"> </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Generalisability</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21</w:t>
            </w:r>
          </w:p>
        </w:tc>
        <w:tc>
          <w:tcPr>
            <w:tcW w:w="1188" w:type="pct"/>
          </w:tcPr>
          <w:p w:rsidR="00293097" w:rsidRPr="008D00F0" w:rsidRDefault="00293097" w:rsidP="00B831A2">
            <w:pPr>
              <w:autoSpaceDE w:val="0"/>
              <w:autoSpaceDN w:val="0"/>
              <w:adjustRightInd w:val="0"/>
              <w:rPr>
                <w:rFonts w:ascii="Times New Roman" w:hAnsi="Times New Roman" w:cs="Times New Roman"/>
                <w:sz w:val="16"/>
                <w:szCs w:val="16"/>
              </w:rPr>
            </w:pPr>
            <w:r w:rsidRPr="008D00F0">
              <w:rPr>
                <w:rFonts w:ascii="Times New Roman" w:hAnsi="Times New Roman" w:cs="Times New Roman"/>
                <w:sz w:val="16"/>
                <w:szCs w:val="16"/>
              </w:rPr>
              <w:t>Discuss the generalisability (external validity) of the study results</w:t>
            </w:r>
          </w:p>
          <w:p w:rsidR="00293097" w:rsidRPr="008D00F0" w:rsidRDefault="00293097" w:rsidP="00B831A2">
            <w:pPr>
              <w:autoSpaceDE w:val="0"/>
              <w:autoSpaceDN w:val="0"/>
              <w:adjustRightInd w:val="0"/>
              <w:rPr>
                <w:rFonts w:ascii="Times New Roman" w:hAnsi="Times New Roman" w:cs="Times New Roman"/>
                <w:sz w:val="16"/>
                <w:szCs w:val="16"/>
              </w:rPr>
            </w:pPr>
          </w:p>
        </w:tc>
        <w:tc>
          <w:tcPr>
            <w:tcW w:w="782" w:type="pct"/>
          </w:tcPr>
          <w:p w:rsidR="00293097" w:rsidRPr="008D00F0" w:rsidRDefault="00293097" w:rsidP="00B831A2">
            <w:pPr>
              <w:rPr>
                <w:rFonts w:ascii="Times New Roman" w:hAnsi="Times New Roman" w:cs="Times New Roman"/>
                <w:sz w:val="16"/>
                <w:szCs w:val="16"/>
              </w:rPr>
            </w:pPr>
          </w:p>
        </w:tc>
        <w:tc>
          <w:tcPr>
            <w:tcW w:w="1401" w:type="pct"/>
          </w:tcPr>
          <w:p w:rsidR="00293097" w:rsidRPr="008D00F0" w:rsidRDefault="00293097" w:rsidP="00B831A2">
            <w:pPr>
              <w:rPr>
                <w:rFonts w:ascii="Times New Roman" w:hAnsi="Times New Roman" w:cs="Times New Roman"/>
                <w:sz w:val="16"/>
                <w:szCs w:val="16"/>
              </w:rPr>
            </w:pPr>
          </w:p>
        </w:tc>
        <w:tc>
          <w:tcPr>
            <w:tcW w:w="692" w:type="pct"/>
          </w:tcPr>
          <w:p w:rsidR="00293097" w:rsidRPr="008D00F0" w:rsidRDefault="007C7DD0" w:rsidP="00B831A2">
            <w:pPr>
              <w:rPr>
                <w:rFonts w:ascii="Times New Roman" w:hAnsi="Times New Roman" w:cs="Times New Roman"/>
                <w:sz w:val="16"/>
                <w:szCs w:val="16"/>
              </w:rPr>
            </w:pPr>
            <w:r>
              <w:rPr>
                <w:rFonts w:ascii="Times New Roman" w:hAnsi="Times New Roman" w:cs="Times New Roman"/>
                <w:sz w:val="16"/>
                <w:szCs w:val="16"/>
              </w:rPr>
              <w:t>Discussion paragraph 6</w:t>
            </w:r>
          </w:p>
        </w:tc>
      </w:tr>
      <w:tr w:rsidR="00293097" w:rsidRPr="008D00F0" w:rsidTr="00B831A2">
        <w:tc>
          <w:tcPr>
            <w:tcW w:w="5000" w:type="pct"/>
            <w:gridSpan w:val="6"/>
            <w:shd w:val="clear" w:color="auto" w:fill="BFBFBF" w:themeFill="background1" w:themeFillShade="BF"/>
          </w:tcPr>
          <w:p w:rsidR="00293097" w:rsidRPr="008D00F0" w:rsidRDefault="00293097" w:rsidP="00B831A2">
            <w:pPr>
              <w:rPr>
                <w:rFonts w:ascii="Times New Roman" w:hAnsi="Times New Roman" w:cs="Times New Roman"/>
                <w:bCs/>
                <w:sz w:val="16"/>
                <w:szCs w:val="16"/>
              </w:rPr>
            </w:pPr>
            <w:r w:rsidRPr="008D00F0">
              <w:rPr>
                <w:rFonts w:ascii="Times New Roman" w:hAnsi="Times New Roman" w:cs="Times New Roman"/>
                <w:b/>
                <w:sz w:val="16"/>
                <w:szCs w:val="16"/>
              </w:rPr>
              <w:t>Other Information</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Funding</w:t>
            </w:r>
          </w:p>
        </w:tc>
        <w:tc>
          <w:tcPr>
            <w:tcW w:w="268"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t>22</w:t>
            </w:r>
          </w:p>
        </w:tc>
        <w:tc>
          <w:tcPr>
            <w:tcW w:w="1188" w:type="pct"/>
          </w:tcPr>
          <w:p w:rsidR="00293097" w:rsidRPr="008D00F0" w:rsidRDefault="00293097" w:rsidP="00B831A2">
            <w:pPr>
              <w:autoSpaceDE w:val="0"/>
              <w:autoSpaceDN w:val="0"/>
              <w:adjustRightInd w:val="0"/>
              <w:rPr>
                <w:rFonts w:ascii="Times New Roman" w:hAnsi="Times New Roman" w:cs="Times New Roman"/>
                <w:bCs/>
                <w:sz w:val="16"/>
                <w:szCs w:val="16"/>
              </w:rPr>
            </w:pPr>
            <w:r w:rsidRPr="008D00F0">
              <w:rPr>
                <w:rFonts w:ascii="Times New Roman" w:hAnsi="Times New Roman" w:cs="Times New Roman"/>
                <w:sz w:val="16"/>
                <w:szCs w:val="16"/>
              </w:rPr>
              <w:t>Give the source of funding and the role of the funders for the present study and, if applicable, for the original study on which the present article is based</w:t>
            </w:r>
          </w:p>
        </w:tc>
        <w:tc>
          <w:tcPr>
            <w:tcW w:w="782" w:type="pct"/>
          </w:tcPr>
          <w:p w:rsidR="00293097" w:rsidRPr="008D00F0" w:rsidRDefault="00293097" w:rsidP="00B831A2">
            <w:pPr>
              <w:rPr>
                <w:rFonts w:ascii="Times New Roman" w:hAnsi="Times New Roman" w:cs="Times New Roman"/>
                <w:bCs/>
                <w:sz w:val="16"/>
                <w:szCs w:val="16"/>
              </w:rPr>
            </w:pPr>
          </w:p>
        </w:tc>
        <w:tc>
          <w:tcPr>
            <w:tcW w:w="1401" w:type="pct"/>
          </w:tcPr>
          <w:p w:rsidR="00293097" w:rsidRPr="008D00F0" w:rsidRDefault="00293097" w:rsidP="00B831A2">
            <w:pPr>
              <w:rPr>
                <w:rFonts w:ascii="Times New Roman" w:hAnsi="Times New Roman" w:cs="Times New Roman"/>
                <w:bCs/>
                <w:sz w:val="16"/>
                <w:szCs w:val="16"/>
              </w:rPr>
            </w:pPr>
          </w:p>
        </w:tc>
        <w:tc>
          <w:tcPr>
            <w:tcW w:w="692" w:type="pct"/>
          </w:tcPr>
          <w:p w:rsidR="00293097" w:rsidRPr="008D00F0" w:rsidRDefault="00293097" w:rsidP="00B831A2">
            <w:pPr>
              <w:rPr>
                <w:rFonts w:ascii="Times New Roman" w:hAnsi="Times New Roman" w:cs="Times New Roman"/>
                <w:bCs/>
                <w:sz w:val="16"/>
                <w:szCs w:val="16"/>
              </w:rPr>
            </w:pPr>
            <w:r w:rsidRPr="008D00F0">
              <w:rPr>
                <w:rFonts w:ascii="Times New Roman" w:hAnsi="Times New Roman" w:cs="Times New Roman"/>
                <w:bCs/>
                <w:sz w:val="16"/>
                <w:szCs w:val="16"/>
              </w:rPr>
              <w:t>Methods, ‘Role of funding source’, ‘Acknowledgements’</w:t>
            </w:r>
          </w:p>
        </w:tc>
      </w:tr>
      <w:tr w:rsidR="00293097" w:rsidRPr="008D00F0" w:rsidTr="00B831A2">
        <w:tc>
          <w:tcPr>
            <w:tcW w:w="669"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sz w:val="16"/>
                <w:szCs w:val="16"/>
              </w:rPr>
              <w:lastRenderedPageBreak/>
              <w:t>Accessibility of protocol, raw data, and programming code</w:t>
            </w:r>
          </w:p>
        </w:tc>
        <w:tc>
          <w:tcPr>
            <w:tcW w:w="268" w:type="pct"/>
          </w:tcPr>
          <w:p w:rsidR="00293097" w:rsidRPr="008D00F0" w:rsidRDefault="00293097" w:rsidP="00B831A2">
            <w:pPr>
              <w:rPr>
                <w:rFonts w:ascii="Times New Roman" w:hAnsi="Times New Roman" w:cs="Times New Roman"/>
                <w:sz w:val="16"/>
                <w:szCs w:val="16"/>
              </w:rPr>
            </w:pPr>
          </w:p>
        </w:tc>
        <w:tc>
          <w:tcPr>
            <w:tcW w:w="1188" w:type="pct"/>
          </w:tcPr>
          <w:p w:rsidR="00293097" w:rsidRPr="008D00F0" w:rsidRDefault="00293097" w:rsidP="00B831A2">
            <w:pPr>
              <w:rPr>
                <w:rFonts w:ascii="Times New Roman" w:hAnsi="Times New Roman" w:cs="Times New Roman"/>
                <w:bCs/>
                <w:sz w:val="16"/>
                <w:szCs w:val="16"/>
              </w:rPr>
            </w:pPr>
            <w:r w:rsidRPr="008D00F0">
              <w:rPr>
                <w:rFonts w:ascii="Times New Roman" w:hAnsi="Times New Roman" w:cs="Times New Roman"/>
                <w:bCs/>
                <w:sz w:val="16"/>
                <w:szCs w:val="16"/>
              </w:rPr>
              <w:t>..</w:t>
            </w:r>
          </w:p>
        </w:tc>
        <w:tc>
          <w:tcPr>
            <w:tcW w:w="782" w:type="pct"/>
          </w:tcPr>
          <w:p w:rsidR="00293097" w:rsidRPr="008D00F0" w:rsidRDefault="00293097" w:rsidP="00B831A2">
            <w:pPr>
              <w:rPr>
                <w:rFonts w:ascii="Times New Roman" w:hAnsi="Times New Roman" w:cs="Times New Roman"/>
                <w:bCs/>
                <w:sz w:val="16"/>
                <w:szCs w:val="16"/>
              </w:rPr>
            </w:pPr>
          </w:p>
        </w:tc>
        <w:tc>
          <w:tcPr>
            <w:tcW w:w="1401" w:type="pct"/>
          </w:tcPr>
          <w:p w:rsidR="00293097" w:rsidRPr="008D00F0" w:rsidRDefault="00293097" w:rsidP="00B831A2">
            <w:pPr>
              <w:rPr>
                <w:rFonts w:ascii="Times New Roman" w:hAnsi="Times New Roman" w:cs="Times New Roman"/>
                <w:sz w:val="16"/>
                <w:szCs w:val="16"/>
              </w:rPr>
            </w:pPr>
            <w:r w:rsidRPr="008D00F0">
              <w:rPr>
                <w:rFonts w:ascii="Times New Roman" w:hAnsi="Times New Roman" w:cs="Times New Roman"/>
                <w:bCs/>
                <w:sz w:val="16"/>
                <w:szCs w:val="16"/>
              </w:rPr>
              <w:t>RECORD 22.1: Authors should provide information on how to access any supplemental information such as the study protocol, raw data, or programming code.</w:t>
            </w:r>
          </w:p>
        </w:tc>
        <w:tc>
          <w:tcPr>
            <w:tcW w:w="692" w:type="pct"/>
          </w:tcPr>
          <w:p w:rsidR="00293097" w:rsidRPr="008D00F0" w:rsidRDefault="00293097" w:rsidP="00B831A2">
            <w:pPr>
              <w:rPr>
                <w:rFonts w:ascii="Times New Roman" w:hAnsi="Times New Roman" w:cs="Times New Roman"/>
                <w:bCs/>
                <w:sz w:val="16"/>
                <w:szCs w:val="16"/>
              </w:rPr>
            </w:pPr>
            <w:r w:rsidRPr="008D00F0">
              <w:rPr>
                <w:rFonts w:ascii="Times New Roman" w:hAnsi="Times New Roman" w:cs="Times New Roman"/>
                <w:bCs/>
                <w:sz w:val="16"/>
                <w:szCs w:val="16"/>
              </w:rPr>
              <w:t xml:space="preserve">Data sharing, </w:t>
            </w:r>
          </w:p>
        </w:tc>
      </w:tr>
    </w:tbl>
    <w:p w:rsidR="00293097" w:rsidRPr="008D00F0" w:rsidRDefault="00293097" w:rsidP="00B831A2">
      <w:pPr>
        <w:rPr>
          <w:rFonts w:ascii="Times New Roman" w:hAnsi="Times New Roman" w:cs="Times New Roman"/>
          <w:sz w:val="20"/>
          <w:szCs w:val="20"/>
        </w:rPr>
      </w:pPr>
    </w:p>
    <w:p w:rsidR="00293097" w:rsidRPr="008D00F0" w:rsidRDefault="00293097" w:rsidP="00B831A2">
      <w:pPr>
        <w:rPr>
          <w:rFonts w:ascii="Times New Roman" w:hAnsi="Times New Roman" w:cs="Times New Roman"/>
          <w:sz w:val="20"/>
          <w:szCs w:val="20"/>
        </w:rPr>
      </w:pPr>
      <w:r w:rsidRPr="008D00F0">
        <w:rPr>
          <w:rFonts w:ascii="Times New Roman" w:hAnsi="Times New Roman" w:cs="Times New Roman"/>
          <w:sz w:val="20"/>
          <w:szCs w:val="20"/>
        </w:rPr>
        <w:t>*Checklist is protected under Creative Commons Attribution (</w:t>
      </w:r>
      <w:hyperlink r:id="rId17" w:history="1">
        <w:r w:rsidRPr="008D00F0">
          <w:rPr>
            <w:rStyle w:val="Hyperlink"/>
            <w:rFonts w:ascii="Times New Roman" w:hAnsi="Times New Roman" w:cs="Times New Roman"/>
            <w:sz w:val="20"/>
            <w:szCs w:val="20"/>
          </w:rPr>
          <w:t>CC BY</w:t>
        </w:r>
      </w:hyperlink>
      <w:r w:rsidRPr="008D00F0">
        <w:rPr>
          <w:rFonts w:ascii="Times New Roman" w:hAnsi="Times New Roman" w:cs="Times New Roman"/>
          <w:sz w:val="20"/>
          <w:szCs w:val="20"/>
        </w:rPr>
        <w:t>) license.</w:t>
      </w:r>
    </w:p>
    <w:p w:rsidR="00293097" w:rsidRPr="008D00F0" w:rsidRDefault="00293097" w:rsidP="00B831A2">
      <w:pPr>
        <w:rPr>
          <w:rFonts w:ascii="Times New Roman" w:hAnsi="Times New Roman" w:cs="Times New Roman"/>
          <w:sz w:val="20"/>
          <w:szCs w:val="20"/>
        </w:rPr>
      </w:pPr>
      <w:r w:rsidRPr="008D00F0">
        <w:t xml:space="preserve">Reference: </w:t>
      </w:r>
      <w:proofErr w:type="spellStart"/>
      <w:r w:rsidRPr="008D00F0">
        <w:t>Benchimol</w:t>
      </w:r>
      <w:proofErr w:type="spellEnd"/>
      <w:r w:rsidRPr="008D00F0">
        <w:t xml:space="preserve"> EI, Smeeth L, Guttmann A, et al. The </w:t>
      </w:r>
      <w:proofErr w:type="spellStart"/>
      <w:r w:rsidRPr="008D00F0">
        <w:t>REporting</w:t>
      </w:r>
      <w:proofErr w:type="spellEnd"/>
      <w:r w:rsidRPr="008D00F0">
        <w:t xml:space="preserve"> of studies Conducted using Observational Routinely-collected health Data (RECORD) Statement. </w:t>
      </w:r>
      <w:r w:rsidRPr="008D00F0">
        <w:rPr>
          <w:i/>
        </w:rPr>
        <w:t>PLOS Medicine</w:t>
      </w:r>
      <w:r w:rsidRPr="008D00F0">
        <w:t xml:space="preserve"> 2015; </w:t>
      </w:r>
      <w:r w:rsidRPr="008D00F0">
        <w:rPr>
          <w:b/>
        </w:rPr>
        <w:t>12</w:t>
      </w:r>
      <w:r w:rsidRPr="008D00F0">
        <w:t>(10): e1001885.</w:t>
      </w:r>
    </w:p>
    <w:p w:rsidR="00293097" w:rsidRPr="008D00F0" w:rsidRDefault="00293097">
      <w:pPr>
        <w:rPr>
          <w:rFonts w:ascii="Times New Roman" w:hAnsi="Times New Roman" w:cs="Times New Roman"/>
        </w:rPr>
      </w:pPr>
      <w:r w:rsidRPr="008D00F0">
        <w:rPr>
          <w:rFonts w:ascii="Times New Roman" w:hAnsi="Times New Roman" w:cs="Times New Roman"/>
        </w:rPr>
        <w:br w:type="page"/>
      </w:r>
    </w:p>
    <w:p w:rsidR="00293097" w:rsidRPr="008D00F0" w:rsidRDefault="00293097" w:rsidP="00B831A2">
      <w:pPr>
        <w:tabs>
          <w:tab w:val="left" w:pos="2693"/>
          <w:tab w:val="left" w:pos="9360"/>
          <w:tab w:val="left" w:pos="10493"/>
          <w:tab w:val="left" w:pos="11340"/>
        </w:tabs>
        <w:spacing w:after="0" w:line="240" w:lineRule="auto"/>
        <w:ind w:left="-142"/>
        <w:rPr>
          <w:rFonts w:ascii="Times New Roman" w:eastAsia="Times New Roman" w:hAnsi="Times New Roman" w:cs="Times New Roman"/>
          <w:b/>
          <w:color w:val="000000"/>
          <w:sz w:val="20"/>
          <w:szCs w:val="20"/>
          <w:lang w:eastAsia="en-GB"/>
        </w:rPr>
      </w:pPr>
      <w:r w:rsidRPr="008D00F0">
        <w:rPr>
          <w:rFonts w:ascii="Times New Roman" w:eastAsia="Times New Roman" w:hAnsi="Times New Roman" w:cs="Times New Roman"/>
          <w:b/>
          <w:color w:val="000000"/>
          <w:sz w:val="20"/>
          <w:szCs w:val="20"/>
          <w:lang w:eastAsia="en-GB"/>
        </w:rPr>
        <w:lastRenderedPageBreak/>
        <w:t>Table S3 - Cumulative incidence by cause of death in discharged and matched comparison older adult cohorts at 1-year post-discharge from inpatient care, by age group and gender -</w:t>
      </w:r>
      <w:r w:rsidRPr="008D00F0">
        <w:rPr>
          <w:rFonts w:ascii="Times New Roman" w:eastAsia="Times New Roman" w:hAnsi="Times New Roman" w:cs="Times New Roman"/>
          <w:b/>
          <w:color w:val="595959" w:themeColor="text1" w:themeTint="A6"/>
          <w:sz w:val="20"/>
          <w:szCs w:val="20"/>
          <w:lang w:eastAsia="en-GB"/>
        </w:rPr>
        <w:t xml:space="preserve"> </w:t>
      </w:r>
      <w:r w:rsidRPr="008D00F0">
        <w:rPr>
          <w:rFonts w:ascii="Times New Roman" w:eastAsia="Times New Roman" w:hAnsi="Times New Roman" w:cs="Times New Roman"/>
          <w:b/>
          <w:color w:val="000000"/>
          <w:sz w:val="20"/>
          <w:szCs w:val="20"/>
          <w:lang w:eastAsia="en-GB"/>
        </w:rPr>
        <w:t>excluding Primary diagnosis of Dementia</w:t>
      </w:r>
    </w:p>
    <w:p w:rsidR="00293097" w:rsidRPr="008D00F0" w:rsidRDefault="00293097" w:rsidP="00B831A2">
      <w:pPr>
        <w:tabs>
          <w:tab w:val="left" w:pos="2693"/>
          <w:tab w:val="left" w:pos="9360"/>
          <w:tab w:val="left" w:pos="10493"/>
          <w:tab w:val="left" w:pos="11340"/>
        </w:tabs>
        <w:spacing w:after="0" w:line="240" w:lineRule="auto"/>
        <w:ind w:left="-142"/>
        <w:rPr>
          <w:rFonts w:ascii="Times New Roman" w:eastAsia="Times New Roman" w:hAnsi="Times New Roman" w:cs="Times New Roman"/>
          <w:b/>
          <w:sz w:val="20"/>
          <w:szCs w:val="20"/>
          <w:lang w:eastAsia="en-GB"/>
        </w:rPr>
      </w:pPr>
      <w:r w:rsidRPr="008D00F0">
        <w:rPr>
          <w:rFonts w:ascii="Times New Roman" w:eastAsia="Times New Roman" w:hAnsi="Times New Roman" w:cs="Times New Roman"/>
          <w:b/>
          <w:sz w:val="20"/>
          <w:szCs w:val="20"/>
          <w:lang w:eastAsia="en-GB"/>
        </w:rPr>
        <w:tab/>
      </w:r>
      <w:r w:rsidRPr="008D00F0">
        <w:rPr>
          <w:rFonts w:ascii="Times New Roman" w:eastAsia="Times New Roman" w:hAnsi="Times New Roman" w:cs="Times New Roman"/>
          <w:b/>
          <w:color w:val="000000"/>
          <w:sz w:val="20"/>
          <w:szCs w:val="20"/>
          <w:lang w:eastAsia="en-GB"/>
        </w:rPr>
        <w:tab/>
      </w:r>
      <w:r w:rsidRPr="008D00F0">
        <w:rPr>
          <w:rFonts w:ascii="Times New Roman" w:eastAsia="Times New Roman" w:hAnsi="Times New Roman" w:cs="Times New Roman"/>
          <w:b/>
          <w:color w:val="000000"/>
          <w:sz w:val="20"/>
          <w:szCs w:val="20"/>
          <w:lang w:eastAsia="en-GB"/>
        </w:rPr>
        <w:tab/>
      </w:r>
      <w:r w:rsidRPr="008D00F0">
        <w:rPr>
          <w:rFonts w:ascii="Times New Roman" w:eastAsia="Times New Roman" w:hAnsi="Times New Roman" w:cs="Times New Roman"/>
          <w:b/>
          <w:sz w:val="20"/>
          <w:szCs w:val="20"/>
          <w:lang w:eastAsia="en-GB"/>
        </w:rPr>
        <w:tab/>
      </w:r>
    </w:p>
    <w:tbl>
      <w:tblPr>
        <w:tblW w:w="4570" w:type="pct"/>
        <w:tblInd w:w="-142" w:type="dxa"/>
        <w:tblCellMar>
          <w:left w:w="0" w:type="dxa"/>
          <w:right w:w="0" w:type="dxa"/>
        </w:tblCellMar>
        <w:tblLook w:val="04A0" w:firstRow="1" w:lastRow="0" w:firstColumn="1" w:lastColumn="0" w:noHBand="0" w:noVBand="1"/>
      </w:tblPr>
      <w:tblGrid>
        <w:gridCol w:w="2834"/>
        <w:gridCol w:w="1275"/>
        <w:gridCol w:w="712"/>
        <w:gridCol w:w="1416"/>
        <w:gridCol w:w="1135"/>
        <w:gridCol w:w="709"/>
        <w:gridCol w:w="1418"/>
        <w:gridCol w:w="1132"/>
        <w:gridCol w:w="847"/>
        <w:gridCol w:w="1275"/>
      </w:tblGrid>
      <w:tr w:rsidR="00293097" w:rsidRPr="008D00F0" w:rsidTr="00B831A2">
        <w:trPr>
          <w:trHeight w:val="342"/>
        </w:trPr>
        <w:tc>
          <w:tcPr>
            <w:tcW w:w="1111"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sz w:val="16"/>
                <w:szCs w:val="16"/>
                <w:lang w:eastAsia="en-GB"/>
              </w:rPr>
            </w:pPr>
          </w:p>
        </w:tc>
        <w:tc>
          <w:tcPr>
            <w:tcW w:w="500" w:type="pct"/>
            <w:tcBorders>
              <w:top w:val="single" w:sz="4" w:space="0" w:color="auto"/>
              <w:left w:val="single" w:sz="4" w:space="0" w:color="auto"/>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6"/>
                <w:szCs w:val="16"/>
                <w:lang w:eastAsia="en-GB"/>
              </w:rPr>
            </w:pPr>
            <w:r w:rsidRPr="008D00F0">
              <w:rPr>
                <w:rFonts w:eastAsia="Times New Roman" w:cstheme="minorHAnsi"/>
                <w:color w:val="000000"/>
                <w:sz w:val="16"/>
                <w:szCs w:val="16"/>
                <w:lang w:eastAsia="en-GB"/>
              </w:rPr>
              <w:t>Total</w:t>
            </w:r>
          </w:p>
        </w:tc>
        <w:tc>
          <w:tcPr>
            <w:tcW w:w="279" w:type="pct"/>
            <w:tcBorders>
              <w:top w:val="single" w:sz="4" w:space="0" w:color="auto"/>
              <w:left w:val="single" w:sz="4" w:space="0" w:color="auto"/>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6"/>
                <w:szCs w:val="16"/>
                <w:lang w:eastAsia="en-GB"/>
              </w:rPr>
            </w:pPr>
            <w:r w:rsidRPr="008D00F0">
              <w:rPr>
                <w:rFonts w:eastAsia="Times New Roman" w:cstheme="minorHAnsi"/>
                <w:color w:val="000000"/>
                <w:sz w:val="16"/>
                <w:szCs w:val="16"/>
                <w:lang w:eastAsia="en-GB"/>
              </w:rPr>
              <w:t> </w:t>
            </w:r>
          </w:p>
        </w:tc>
        <w:tc>
          <w:tcPr>
            <w:tcW w:w="555" w:type="pct"/>
            <w:tcBorders>
              <w:top w:val="single" w:sz="4" w:space="0" w:color="auto"/>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6"/>
                <w:szCs w:val="16"/>
                <w:lang w:eastAsia="en-GB"/>
              </w:rPr>
            </w:pPr>
            <w:r w:rsidRPr="008D00F0">
              <w:rPr>
                <w:rFonts w:eastAsia="Times New Roman" w:cstheme="minorHAnsi"/>
                <w:color w:val="000000"/>
                <w:sz w:val="16"/>
                <w:szCs w:val="16"/>
                <w:lang w:eastAsia="en-GB"/>
              </w:rPr>
              <w:t> </w:t>
            </w:r>
          </w:p>
        </w:tc>
        <w:tc>
          <w:tcPr>
            <w:tcW w:w="445" w:type="pct"/>
            <w:tcBorders>
              <w:top w:val="single" w:sz="4" w:space="0" w:color="auto"/>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6"/>
                <w:szCs w:val="16"/>
                <w:lang w:eastAsia="en-GB"/>
              </w:rPr>
            </w:pPr>
            <w:r w:rsidRPr="008D00F0">
              <w:rPr>
                <w:rFonts w:eastAsia="Times New Roman" w:cstheme="minorHAnsi"/>
                <w:color w:val="000000"/>
                <w:sz w:val="16"/>
                <w:szCs w:val="16"/>
                <w:lang w:eastAsia="en-GB"/>
              </w:rPr>
              <w:t>Female</w:t>
            </w:r>
          </w:p>
        </w:tc>
        <w:tc>
          <w:tcPr>
            <w:tcW w:w="278" w:type="pct"/>
            <w:tcBorders>
              <w:top w:val="single" w:sz="4" w:space="0" w:color="auto"/>
              <w:left w:val="single" w:sz="4" w:space="0" w:color="auto"/>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6"/>
                <w:szCs w:val="16"/>
                <w:lang w:eastAsia="en-GB"/>
              </w:rPr>
            </w:pPr>
            <w:r w:rsidRPr="008D00F0">
              <w:rPr>
                <w:rFonts w:eastAsia="Times New Roman" w:cstheme="minorHAnsi"/>
                <w:color w:val="000000"/>
                <w:sz w:val="16"/>
                <w:szCs w:val="16"/>
                <w:lang w:eastAsia="en-GB"/>
              </w:rPr>
              <w:t> </w:t>
            </w:r>
          </w:p>
        </w:tc>
        <w:tc>
          <w:tcPr>
            <w:tcW w:w="556" w:type="pct"/>
            <w:tcBorders>
              <w:top w:val="single" w:sz="4" w:space="0" w:color="auto"/>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6"/>
                <w:szCs w:val="16"/>
                <w:lang w:eastAsia="en-GB"/>
              </w:rPr>
            </w:pPr>
            <w:r w:rsidRPr="008D00F0">
              <w:rPr>
                <w:rFonts w:eastAsia="Times New Roman" w:cstheme="minorHAnsi"/>
                <w:color w:val="000000"/>
                <w:sz w:val="16"/>
                <w:szCs w:val="16"/>
                <w:lang w:eastAsia="en-GB"/>
              </w:rPr>
              <w:t> </w:t>
            </w:r>
          </w:p>
        </w:tc>
        <w:tc>
          <w:tcPr>
            <w:tcW w:w="444" w:type="pct"/>
            <w:tcBorders>
              <w:top w:val="single" w:sz="4" w:space="0" w:color="auto"/>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6"/>
                <w:szCs w:val="16"/>
                <w:lang w:eastAsia="en-GB"/>
              </w:rPr>
            </w:pPr>
            <w:r w:rsidRPr="008D00F0">
              <w:rPr>
                <w:rFonts w:eastAsia="Times New Roman" w:cstheme="minorHAnsi"/>
                <w:color w:val="000000"/>
                <w:sz w:val="16"/>
                <w:szCs w:val="16"/>
                <w:lang w:eastAsia="en-GB"/>
              </w:rPr>
              <w:t>Male</w:t>
            </w:r>
          </w:p>
        </w:tc>
        <w:tc>
          <w:tcPr>
            <w:tcW w:w="332" w:type="pct"/>
            <w:tcBorders>
              <w:top w:val="single" w:sz="4" w:space="0" w:color="auto"/>
              <w:left w:val="single" w:sz="4" w:space="0" w:color="auto"/>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6"/>
                <w:szCs w:val="16"/>
                <w:lang w:eastAsia="en-GB"/>
              </w:rPr>
            </w:pPr>
            <w:r w:rsidRPr="008D00F0">
              <w:rPr>
                <w:rFonts w:eastAsia="Times New Roman" w:cstheme="minorHAnsi"/>
                <w:color w:val="000000"/>
                <w:sz w:val="16"/>
                <w:szCs w:val="16"/>
                <w:lang w:eastAsia="en-GB"/>
              </w:rPr>
              <w:t> </w:t>
            </w:r>
          </w:p>
        </w:tc>
        <w:tc>
          <w:tcPr>
            <w:tcW w:w="500" w:type="pct"/>
            <w:tcBorders>
              <w:top w:val="single" w:sz="4" w:space="0" w:color="auto"/>
              <w:left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6"/>
                <w:szCs w:val="16"/>
                <w:lang w:eastAsia="en-GB"/>
              </w:rPr>
            </w:pPr>
            <w:r w:rsidRPr="008D00F0">
              <w:rPr>
                <w:rFonts w:eastAsia="Times New Roman" w:cstheme="minorHAnsi"/>
                <w:color w:val="000000"/>
                <w:sz w:val="16"/>
                <w:szCs w:val="16"/>
                <w:lang w:eastAsia="en-GB"/>
              </w:rPr>
              <w:t> </w:t>
            </w:r>
          </w:p>
        </w:tc>
      </w:tr>
      <w:tr w:rsidR="00293097" w:rsidRPr="008D00F0" w:rsidTr="00B831A2">
        <w:trPr>
          <w:trHeight w:val="342"/>
        </w:trPr>
        <w:tc>
          <w:tcPr>
            <w:tcW w:w="1111"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6"/>
                <w:szCs w:val="16"/>
                <w:lang w:eastAsia="en-GB"/>
              </w:rPr>
            </w:pPr>
          </w:p>
        </w:tc>
        <w:tc>
          <w:tcPr>
            <w:tcW w:w="500" w:type="pct"/>
            <w:tcBorders>
              <w:top w:val="nil"/>
              <w:left w:val="single" w:sz="4" w:space="0" w:color="auto"/>
              <w:bottom w:val="nil"/>
              <w:right w:val="single" w:sz="4" w:space="0" w:color="auto"/>
            </w:tcBorders>
            <w:shd w:val="clear" w:color="auto" w:fill="auto"/>
            <w:vAlign w:val="bottom"/>
            <w:hideMark/>
          </w:tcPr>
          <w:p w:rsidR="00293097" w:rsidRPr="008D00F0" w:rsidRDefault="00293097" w:rsidP="00B831A2">
            <w:pPr>
              <w:spacing w:after="0" w:line="240" w:lineRule="auto"/>
              <w:rPr>
                <w:rFonts w:eastAsia="Times New Roman" w:cstheme="minorHAnsi"/>
                <w:color w:val="000000"/>
                <w:sz w:val="16"/>
                <w:szCs w:val="16"/>
                <w:lang w:eastAsia="en-GB"/>
              </w:rPr>
            </w:pPr>
            <w:r w:rsidRPr="008D00F0">
              <w:rPr>
                <w:rFonts w:eastAsia="Times New Roman" w:cstheme="minorHAnsi"/>
                <w:color w:val="000000"/>
                <w:sz w:val="16"/>
                <w:szCs w:val="16"/>
                <w:lang w:eastAsia="en-GB"/>
              </w:rPr>
              <w:t>n</w:t>
            </w:r>
          </w:p>
        </w:tc>
        <w:tc>
          <w:tcPr>
            <w:tcW w:w="834" w:type="pct"/>
            <w:gridSpan w:val="2"/>
            <w:tcBorders>
              <w:top w:val="nil"/>
              <w:left w:val="single" w:sz="4" w:space="0" w:color="auto"/>
              <w:bottom w:val="nil"/>
              <w:right w:val="single" w:sz="4" w:space="0" w:color="000000"/>
            </w:tcBorders>
            <w:shd w:val="clear" w:color="auto" w:fill="auto"/>
            <w:vAlign w:val="bottom"/>
            <w:hideMark/>
          </w:tcPr>
          <w:p w:rsidR="00293097" w:rsidRPr="008D00F0" w:rsidRDefault="00293097" w:rsidP="00B831A2">
            <w:pPr>
              <w:spacing w:after="0" w:line="240" w:lineRule="auto"/>
              <w:rPr>
                <w:rFonts w:eastAsia="Times New Roman" w:cstheme="minorHAnsi"/>
                <w:color w:val="000000"/>
                <w:sz w:val="16"/>
                <w:szCs w:val="16"/>
                <w:lang w:eastAsia="en-GB"/>
              </w:rPr>
            </w:pPr>
            <w:r w:rsidRPr="008D00F0">
              <w:rPr>
                <w:rFonts w:eastAsia="Times New Roman" w:cstheme="minorHAnsi"/>
                <w:color w:val="000000"/>
                <w:sz w:val="16"/>
                <w:szCs w:val="16"/>
                <w:lang w:eastAsia="en-GB"/>
              </w:rPr>
              <w:t>Cumulative incidence, per 100,000 (95%CI)</w:t>
            </w:r>
          </w:p>
        </w:tc>
        <w:tc>
          <w:tcPr>
            <w:tcW w:w="445" w:type="pct"/>
            <w:tcBorders>
              <w:top w:val="nil"/>
              <w:left w:val="nil"/>
              <w:bottom w:val="nil"/>
              <w:right w:val="single" w:sz="4" w:space="0" w:color="auto"/>
            </w:tcBorders>
            <w:shd w:val="clear" w:color="auto" w:fill="auto"/>
            <w:vAlign w:val="bottom"/>
            <w:hideMark/>
          </w:tcPr>
          <w:p w:rsidR="00293097" w:rsidRPr="008D00F0" w:rsidRDefault="00293097" w:rsidP="00B831A2">
            <w:pPr>
              <w:spacing w:after="0" w:line="240" w:lineRule="auto"/>
              <w:rPr>
                <w:rFonts w:eastAsia="Times New Roman" w:cstheme="minorHAnsi"/>
                <w:color w:val="000000"/>
                <w:sz w:val="16"/>
                <w:szCs w:val="16"/>
                <w:lang w:eastAsia="en-GB"/>
              </w:rPr>
            </w:pPr>
            <w:r w:rsidRPr="008D00F0">
              <w:rPr>
                <w:rFonts w:eastAsia="Times New Roman" w:cstheme="minorHAnsi"/>
                <w:color w:val="000000"/>
                <w:sz w:val="16"/>
                <w:szCs w:val="16"/>
                <w:lang w:eastAsia="en-GB"/>
              </w:rPr>
              <w:t>n</w:t>
            </w:r>
          </w:p>
        </w:tc>
        <w:tc>
          <w:tcPr>
            <w:tcW w:w="834" w:type="pct"/>
            <w:gridSpan w:val="2"/>
            <w:tcBorders>
              <w:top w:val="nil"/>
              <w:left w:val="single" w:sz="4" w:space="0" w:color="auto"/>
              <w:bottom w:val="nil"/>
              <w:right w:val="single" w:sz="4" w:space="0" w:color="000000"/>
            </w:tcBorders>
            <w:shd w:val="clear" w:color="auto" w:fill="auto"/>
            <w:vAlign w:val="bottom"/>
            <w:hideMark/>
          </w:tcPr>
          <w:p w:rsidR="00293097" w:rsidRPr="008D00F0" w:rsidRDefault="00293097" w:rsidP="00B831A2">
            <w:pPr>
              <w:spacing w:after="0" w:line="240" w:lineRule="auto"/>
              <w:rPr>
                <w:rFonts w:eastAsia="Times New Roman" w:cstheme="minorHAnsi"/>
                <w:color w:val="000000"/>
                <w:sz w:val="16"/>
                <w:szCs w:val="16"/>
                <w:lang w:eastAsia="en-GB"/>
              </w:rPr>
            </w:pPr>
            <w:r w:rsidRPr="008D00F0">
              <w:rPr>
                <w:rFonts w:eastAsia="Times New Roman" w:cstheme="minorHAnsi"/>
                <w:color w:val="000000"/>
                <w:sz w:val="16"/>
                <w:szCs w:val="16"/>
                <w:lang w:eastAsia="en-GB"/>
              </w:rPr>
              <w:t>Cumulative incidence, per 100,000 (95%CI)</w:t>
            </w:r>
          </w:p>
        </w:tc>
        <w:tc>
          <w:tcPr>
            <w:tcW w:w="444" w:type="pct"/>
            <w:tcBorders>
              <w:top w:val="nil"/>
              <w:left w:val="nil"/>
              <w:bottom w:val="nil"/>
              <w:right w:val="single" w:sz="4" w:space="0" w:color="auto"/>
            </w:tcBorders>
            <w:shd w:val="clear" w:color="auto" w:fill="auto"/>
            <w:vAlign w:val="bottom"/>
            <w:hideMark/>
          </w:tcPr>
          <w:p w:rsidR="00293097" w:rsidRPr="008D00F0" w:rsidRDefault="00293097" w:rsidP="00B831A2">
            <w:pPr>
              <w:spacing w:after="0" w:line="240" w:lineRule="auto"/>
              <w:rPr>
                <w:rFonts w:eastAsia="Times New Roman" w:cstheme="minorHAnsi"/>
                <w:color w:val="000000"/>
                <w:sz w:val="16"/>
                <w:szCs w:val="16"/>
                <w:lang w:eastAsia="en-GB"/>
              </w:rPr>
            </w:pPr>
            <w:r w:rsidRPr="008D00F0">
              <w:rPr>
                <w:rFonts w:eastAsia="Times New Roman" w:cstheme="minorHAnsi"/>
                <w:color w:val="000000"/>
                <w:sz w:val="16"/>
                <w:szCs w:val="16"/>
                <w:lang w:eastAsia="en-GB"/>
              </w:rPr>
              <w:t>n</w:t>
            </w:r>
          </w:p>
        </w:tc>
        <w:tc>
          <w:tcPr>
            <w:tcW w:w="832" w:type="pct"/>
            <w:gridSpan w:val="2"/>
            <w:tcBorders>
              <w:top w:val="nil"/>
              <w:left w:val="single" w:sz="4" w:space="0" w:color="auto"/>
              <w:bottom w:val="nil"/>
              <w:right w:val="single" w:sz="4" w:space="0" w:color="auto"/>
            </w:tcBorders>
            <w:shd w:val="clear" w:color="auto" w:fill="auto"/>
            <w:vAlign w:val="bottom"/>
            <w:hideMark/>
          </w:tcPr>
          <w:p w:rsidR="00293097" w:rsidRPr="008D00F0" w:rsidRDefault="00293097" w:rsidP="00B831A2">
            <w:pPr>
              <w:spacing w:after="0" w:line="240" w:lineRule="auto"/>
              <w:rPr>
                <w:rFonts w:eastAsia="Times New Roman" w:cstheme="minorHAnsi"/>
                <w:color w:val="000000"/>
                <w:sz w:val="16"/>
                <w:szCs w:val="16"/>
                <w:lang w:eastAsia="en-GB"/>
              </w:rPr>
            </w:pPr>
            <w:r w:rsidRPr="008D00F0">
              <w:rPr>
                <w:rFonts w:eastAsia="Times New Roman" w:cstheme="minorHAnsi"/>
                <w:color w:val="000000"/>
                <w:sz w:val="16"/>
                <w:szCs w:val="16"/>
                <w:lang w:eastAsia="en-GB"/>
              </w:rPr>
              <w:t>Cumulative incidence, per 100,000 (95%CI)</w:t>
            </w:r>
          </w:p>
        </w:tc>
      </w:tr>
      <w:tr w:rsidR="00293097" w:rsidRPr="008D00F0" w:rsidTr="00B831A2">
        <w:trPr>
          <w:trHeight w:val="342"/>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097" w:rsidRPr="008D00F0" w:rsidRDefault="00293097" w:rsidP="00B831A2">
            <w:pPr>
              <w:spacing w:after="0" w:line="240" w:lineRule="auto"/>
              <w:ind w:firstLineChars="100" w:firstLine="180"/>
              <w:rPr>
                <w:rFonts w:eastAsia="Times New Roman" w:cstheme="minorHAnsi"/>
                <w:b/>
                <w:bCs/>
                <w:color w:val="000000"/>
                <w:sz w:val="18"/>
                <w:szCs w:val="18"/>
                <w:lang w:eastAsia="en-GB"/>
              </w:rPr>
            </w:pPr>
            <w:r w:rsidRPr="008D00F0">
              <w:rPr>
                <w:rFonts w:eastAsia="Times New Roman" w:cstheme="minorHAnsi"/>
                <w:b/>
                <w:bCs/>
                <w:color w:val="000000"/>
                <w:sz w:val="18"/>
                <w:szCs w:val="18"/>
                <w:lang w:eastAsia="en-GB"/>
              </w:rPr>
              <w:t>Discharge Cohort</w:t>
            </w:r>
          </w:p>
        </w:tc>
        <w:tc>
          <w:tcPr>
            <w:tcW w:w="1334" w:type="pct"/>
            <w:gridSpan w:val="3"/>
            <w:tcBorders>
              <w:top w:val="single" w:sz="4" w:space="0" w:color="auto"/>
              <w:left w:val="nil"/>
              <w:bottom w:val="single" w:sz="4" w:space="0" w:color="auto"/>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b/>
                <w:color w:val="000000"/>
                <w:sz w:val="18"/>
                <w:szCs w:val="18"/>
                <w:lang w:eastAsia="en-GB"/>
              </w:rPr>
            </w:pPr>
            <w:r w:rsidRPr="008D00F0">
              <w:rPr>
                <w:rFonts w:eastAsia="Times New Roman" w:cstheme="minorHAnsi"/>
                <w:b/>
                <w:color w:val="000000"/>
                <w:sz w:val="18"/>
                <w:szCs w:val="18"/>
                <w:lang w:eastAsia="en-GB"/>
              </w:rPr>
              <w:t xml:space="preserve"> N=21,653 </w:t>
            </w:r>
          </w:p>
        </w:tc>
        <w:tc>
          <w:tcPr>
            <w:tcW w:w="723" w:type="pct"/>
            <w:gridSpan w:val="2"/>
            <w:tcBorders>
              <w:top w:val="single" w:sz="4" w:space="0" w:color="auto"/>
              <w:left w:val="single" w:sz="4" w:space="0" w:color="auto"/>
              <w:bottom w:val="single" w:sz="4" w:space="0" w:color="auto"/>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color w:val="000000"/>
                <w:sz w:val="18"/>
                <w:szCs w:val="18"/>
                <w:lang w:eastAsia="en-GB"/>
              </w:rPr>
            </w:pPr>
            <w:r w:rsidRPr="008D00F0">
              <w:rPr>
                <w:rFonts w:eastAsia="Times New Roman" w:cstheme="minorHAnsi"/>
                <w:b/>
                <w:color w:val="000000"/>
                <w:sz w:val="18"/>
                <w:szCs w:val="18"/>
                <w:lang w:eastAsia="en-GB"/>
              </w:rPr>
              <w:t>N=13,359</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b/>
                <w:color w:val="000000"/>
                <w:sz w:val="18"/>
                <w:szCs w:val="18"/>
                <w:lang w:eastAsia="en-GB"/>
              </w:rPr>
            </w:pPr>
            <w:r w:rsidRPr="008D00F0">
              <w:rPr>
                <w:rFonts w:ascii="Calibri" w:hAnsi="Calibri" w:cs="Calibri"/>
                <w:color w:val="000000"/>
              </w:rPr>
              <w:t> </w:t>
            </w:r>
          </w:p>
        </w:tc>
        <w:tc>
          <w:tcPr>
            <w:tcW w:w="1276" w:type="pct"/>
            <w:gridSpan w:val="3"/>
            <w:tcBorders>
              <w:top w:val="single" w:sz="4" w:space="0" w:color="auto"/>
              <w:left w:val="nil"/>
              <w:bottom w:val="single" w:sz="4" w:space="0" w:color="auto"/>
              <w:right w:val="single" w:sz="4" w:space="0" w:color="auto"/>
            </w:tcBorders>
            <w:shd w:val="clear" w:color="auto" w:fill="auto"/>
            <w:noWrap/>
            <w:vAlign w:val="bottom"/>
          </w:tcPr>
          <w:p w:rsidR="00293097" w:rsidRPr="008D00F0" w:rsidRDefault="00293097" w:rsidP="00B831A2">
            <w:pPr>
              <w:spacing w:after="0" w:line="240" w:lineRule="auto"/>
              <w:rPr>
                <w:rFonts w:eastAsia="Times New Roman" w:cstheme="minorHAnsi"/>
                <w:b/>
                <w:color w:val="000000"/>
                <w:sz w:val="18"/>
                <w:szCs w:val="18"/>
                <w:lang w:eastAsia="en-GB"/>
              </w:rPr>
            </w:pPr>
            <w:r w:rsidRPr="008D00F0">
              <w:rPr>
                <w:rFonts w:eastAsia="Times New Roman" w:cstheme="minorHAnsi"/>
                <w:b/>
                <w:color w:val="000000"/>
                <w:sz w:val="18"/>
                <w:szCs w:val="18"/>
                <w:lang w:eastAsia="en-GB"/>
              </w:rPr>
              <w:t>N=8,294</w:t>
            </w:r>
          </w:p>
        </w:tc>
      </w:tr>
      <w:tr w:rsidR="00293097" w:rsidRPr="008D00F0" w:rsidTr="00B831A2">
        <w:trPr>
          <w:trHeight w:val="342"/>
        </w:trPr>
        <w:tc>
          <w:tcPr>
            <w:tcW w:w="1111" w:type="pct"/>
            <w:tcBorders>
              <w:top w:val="single" w:sz="4" w:space="0" w:color="auto"/>
              <w:left w:val="single" w:sz="4" w:space="0" w:color="auto"/>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eastAsia="Times New Roman" w:cstheme="minorHAnsi"/>
                <w:color w:val="000000"/>
                <w:sz w:val="18"/>
                <w:szCs w:val="18"/>
                <w:lang w:eastAsia="en-GB"/>
              </w:rPr>
              <w:t>All-cause Mortality</w:t>
            </w:r>
          </w:p>
        </w:tc>
        <w:tc>
          <w:tcPr>
            <w:tcW w:w="500" w:type="pct"/>
            <w:tcBorders>
              <w:top w:val="nil"/>
              <w:left w:val="single" w:sz="4" w:space="0" w:color="auto"/>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2,010 </w:t>
            </w:r>
          </w:p>
        </w:tc>
        <w:tc>
          <w:tcPr>
            <w:tcW w:w="279"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11.1%</w:t>
            </w:r>
          </w:p>
        </w:tc>
        <w:tc>
          <w:tcPr>
            <w:tcW w:w="555"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(10.6-11.5) </w:t>
            </w:r>
          </w:p>
        </w:tc>
        <w:tc>
          <w:tcPr>
            <w:tcW w:w="445"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1,032 </w:t>
            </w:r>
          </w:p>
        </w:tc>
        <w:tc>
          <w:tcPr>
            <w:tcW w:w="278"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9.2%</w:t>
            </w:r>
          </w:p>
        </w:tc>
        <w:tc>
          <w:tcPr>
            <w:tcW w:w="556"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(8.6-9.7) </w:t>
            </w:r>
          </w:p>
        </w:tc>
        <w:tc>
          <w:tcPr>
            <w:tcW w:w="444"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978 </w:t>
            </w:r>
          </w:p>
        </w:tc>
        <w:tc>
          <w:tcPr>
            <w:tcW w:w="332"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14.2%</w:t>
            </w:r>
          </w:p>
        </w:tc>
        <w:tc>
          <w:tcPr>
            <w:tcW w:w="500"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(13.4-15) </w:t>
            </w:r>
          </w:p>
        </w:tc>
      </w:tr>
      <w:tr w:rsidR="00293097" w:rsidRPr="008D00F0" w:rsidTr="00B831A2">
        <w:trPr>
          <w:trHeight w:val="342"/>
        </w:trPr>
        <w:tc>
          <w:tcPr>
            <w:tcW w:w="1111" w:type="pct"/>
            <w:tcBorders>
              <w:top w:val="nil"/>
              <w:left w:val="single" w:sz="4" w:space="0" w:color="auto"/>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eastAsia="Times New Roman" w:cstheme="minorHAnsi"/>
                <w:color w:val="000000"/>
                <w:sz w:val="18"/>
                <w:szCs w:val="18"/>
                <w:lang w:eastAsia="en-GB"/>
              </w:rPr>
              <w:t>Natural Causes</w:t>
            </w:r>
          </w:p>
        </w:tc>
        <w:tc>
          <w:tcPr>
            <w:tcW w:w="500" w:type="pct"/>
            <w:tcBorders>
              <w:top w:val="nil"/>
              <w:left w:val="single" w:sz="4" w:space="0" w:color="auto"/>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1,885 </w:t>
            </w:r>
          </w:p>
        </w:tc>
        <w:tc>
          <w:tcPr>
            <w:tcW w:w="279"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10.2%</w:t>
            </w:r>
          </w:p>
        </w:tc>
        <w:tc>
          <w:tcPr>
            <w:tcW w:w="555"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(9.8-10.7) </w:t>
            </w:r>
          </w:p>
        </w:tc>
        <w:tc>
          <w:tcPr>
            <w:tcW w:w="445"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961 </w:t>
            </w:r>
          </w:p>
        </w:tc>
        <w:tc>
          <w:tcPr>
            <w:tcW w:w="278"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8.5%</w:t>
            </w:r>
          </w:p>
        </w:tc>
        <w:tc>
          <w:tcPr>
            <w:tcW w:w="556"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(8-9.1) </w:t>
            </w:r>
          </w:p>
        </w:tc>
        <w:tc>
          <w:tcPr>
            <w:tcW w:w="444"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894 </w:t>
            </w:r>
          </w:p>
        </w:tc>
        <w:tc>
          <w:tcPr>
            <w:tcW w:w="332"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13.0%</w:t>
            </w:r>
          </w:p>
        </w:tc>
        <w:tc>
          <w:tcPr>
            <w:tcW w:w="500"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(12.2-13.8) </w:t>
            </w:r>
          </w:p>
        </w:tc>
      </w:tr>
      <w:tr w:rsidR="00293097" w:rsidRPr="008D00F0" w:rsidTr="00B831A2">
        <w:trPr>
          <w:trHeight w:val="342"/>
        </w:trPr>
        <w:tc>
          <w:tcPr>
            <w:tcW w:w="1111" w:type="pct"/>
            <w:tcBorders>
              <w:top w:val="nil"/>
              <w:left w:val="single" w:sz="4" w:space="0" w:color="auto"/>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eastAsia="Times New Roman" w:cstheme="minorHAnsi"/>
                <w:color w:val="000000"/>
                <w:sz w:val="18"/>
                <w:szCs w:val="18"/>
                <w:lang w:eastAsia="en-GB"/>
              </w:rPr>
              <w:t>External</w:t>
            </w:r>
          </w:p>
        </w:tc>
        <w:tc>
          <w:tcPr>
            <w:tcW w:w="500" w:type="pct"/>
            <w:tcBorders>
              <w:top w:val="nil"/>
              <w:left w:val="single" w:sz="4" w:space="0" w:color="auto"/>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155 </w:t>
            </w:r>
          </w:p>
        </w:tc>
        <w:tc>
          <w:tcPr>
            <w:tcW w:w="279"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0.8%</w:t>
            </w:r>
          </w:p>
        </w:tc>
        <w:tc>
          <w:tcPr>
            <w:tcW w:w="555"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(0.7-1) </w:t>
            </w:r>
          </w:p>
        </w:tc>
        <w:tc>
          <w:tcPr>
            <w:tcW w:w="445"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71 </w:t>
            </w:r>
          </w:p>
        </w:tc>
        <w:tc>
          <w:tcPr>
            <w:tcW w:w="278"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0.6%</w:t>
            </w:r>
          </w:p>
        </w:tc>
        <w:tc>
          <w:tcPr>
            <w:tcW w:w="556"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(0.5-0.8) </w:t>
            </w:r>
          </w:p>
        </w:tc>
        <w:tc>
          <w:tcPr>
            <w:tcW w:w="444"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84 </w:t>
            </w:r>
          </w:p>
        </w:tc>
        <w:tc>
          <w:tcPr>
            <w:tcW w:w="332"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1.2%</w:t>
            </w:r>
          </w:p>
        </w:tc>
        <w:tc>
          <w:tcPr>
            <w:tcW w:w="500"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(1-1.5) </w:t>
            </w:r>
          </w:p>
        </w:tc>
      </w:tr>
      <w:tr w:rsidR="00293097" w:rsidRPr="008D00F0" w:rsidTr="00B831A2">
        <w:trPr>
          <w:trHeight w:val="342"/>
        </w:trPr>
        <w:tc>
          <w:tcPr>
            <w:tcW w:w="1111" w:type="pct"/>
            <w:tcBorders>
              <w:top w:val="nil"/>
              <w:left w:val="single" w:sz="4" w:space="0" w:color="auto"/>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eastAsia="Times New Roman" w:cstheme="minorHAnsi"/>
                <w:color w:val="000000"/>
                <w:sz w:val="18"/>
                <w:szCs w:val="18"/>
                <w:lang w:eastAsia="en-GB"/>
              </w:rPr>
              <w:t>Suicide</w:t>
            </w:r>
          </w:p>
        </w:tc>
        <w:tc>
          <w:tcPr>
            <w:tcW w:w="500" w:type="pct"/>
            <w:tcBorders>
              <w:top w:val="nil"/>
              <w:left w:val="single" w:sz="4" w:space="0" w:color="auto"/>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95 </w:t>
            </w:r>
          </w:p>
        </w:tc>
        <w:tc>
          <w:tcPr>
            <w:tcW w:w="279"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0.5%</w:t>
            </w:r>
          </w:p>
        </w:tc>
        <w:tc>
          <w:tcPr>
            <w:tcW w:w="555"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(0.4-0.6) </w:t>
            </w:r>
          </w:p>
        </w:tc>
        <w:tc>
          <w:tcPr>
            <w:tcW w:w="445"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37 </w:t>
            </w:r>
          </w:p>
        </w:tc>
        <w:tc>
          <w:tcPr>
            <w:tcW w:w="278"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0.3%</w:t>
            </w:r>
          </w:p>
        </w:tc>
        <w:tc>
          <w:tcPr>
            <w:tcW w:w="556"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(0.2-0.4) </w:t>
            </w:r>
          </w:p>
        </w:tc>
        <w:tc>
          <w:tcPr>
            <w:tcW w:w="444"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58 </w:t>
            </w:r>
          </w:p>
        </w:tc>
        <w:tc>
          <w:tcPr>
            <w:tcW w:w="332"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0.8%</w:t>
            </w:r>
          </w:p>
        </w:tc>
        <w:tc>
          <w:tcPr>
            <w:tcW w:w="500"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(0.6-1.1) </w:t>
            </w:r>
          </w:p>
        </w:tc>
      </w:tr>
      <w:tr w:rsidR="00293097" w:rsidRPr="008D00F0" w:rsidTr="00B831A2">
        <w:trPr>
          <w:trHeight w:val="342"/>
        </w:trPr>
        <w:tc>
          <w:tcPr>
            <w:tcW w:w="1111" w:type="pct"/>
            <w:tcBorders>
              <w:top w:val="nil"/>
              <w:left w:val="single" w:sz="4" w:space="0" w:color="auto"/>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eastAsia="Times New Roman" w:cstheme="minorHAnsi"/>
                <w:color w:val="000000"/>
                <w:sz w:val="18"/>
                <w:szCs w:val="18"/>
                <w:lang w:eastAsia="en-GB"/>
              </w:rPr>
              <w:t>Accidents</w:t>
            </w:r>
          </w:p>
        </w:tc>
        <w:tc>
          <w:tcPr>
            <w:tcW w:w="500" w:type="pct"/>
            <w:tcBorders>
              <w:top w:val="nil"/>
              <w:left w:val="single" w:sz="4" w:space="0" w:color="auto"/>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59 </w:t>
            </w:r>
          </w:p>
        </w:tc>
        <w:tc>
          <w:tcPr>
            <w:tcW w:w="279"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0.3%</w:t>
            </w:r>
          </w:p>
        </w:tc>
        <w:tc>
          <w:tcPr>
            <w:tcW w:w="555"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(0.3-0.4) </w:t>
            </w:r>
          </w:p>
        </w:tc>
        <w:tc>
          <w:tcPr>
            <w:tcW w:w="445"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34 </w:t>
            </w:r>
          </w:p>
        </w:tc>
        <w:tc>
          <w:tcPr>
            <w:tcW w:w="278"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0.3%</w:t>
            </w:r>
          </w:p>
        </w:tc>
        <w:tc>
          <w:tcPr>
            <w:tcW w:w="556"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(0.2-0.4) </w:t>
            </w:r>
          </w:p>
        </w:tc>
        <w:tc>
          <w:tcPr>
            <w:tcW w:w="444"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25 </w:t>
            </w:r>
          </w:p>
        </w:tc>
        <w:tc>
          <w:tcPr>
            <w:tcW w:w="332"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0.4%</w:t>
            </w:r>
          </w:p>
        </w:tc>
        <w:tc>
          <w:tcPr>
            <w:tcW w:w="500"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(0.2-0.5) </w:t>
            </w:r>
          </w:p>
        </w:tc>
      </w:tr>
      <w:tr w:rsidR="00293097" w:rsidRPr="008D00F0" w:rsidTr="00B831A2">
        <w:trPr>
          <w:trHeight w:val="342"/>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097" w:rsidRPr="008D00F0" w:rsidRDefault="00293097" w:rsidP="00B831A2">
            <w:pPr>
              <w:spacing w:after="0" w:line="240" w:lineRule="auto"/>
              <w:ind w:firstLineChars="100" w:firstLine="180"/>
              <w:rPr>
                <w:rFonts w:eastAsia="Times New Roman" w:cstheme="minorHAnsi"/>
                <w:b/>
                <w:bCs/>
                <w:color w:val="000000"/>
                <w:sz w:val="18"/>
                <w:szCs w:val="18"/>
                <w:lang w:eastAsia="en-GB"/>
              </w:rPr>
            </w:pPr>
            <w:r w:rsidRPr="008D00F0">
              <w:rPr>
                <w:rFonts w:eastAsia="Times New Roman" w:cstheme="minorHAnsi"/>
                <w:b/>
                <w:bCs/>
                <w:color w:val="000000"/>
                <w:sz w:val="18"/>
                <w:szCs w:val="18"/>
                <w:lang w:eastAsia="en-GB"/>
              </w:rPr>
              <w:t>Matched Comparison Cohort</w:t>
            </w:r>
          </w:p>
        </w:tc>
        <w:tc>
          <w:tcPr>
            <w:tcW w:w="779" w:type="pct"/>
            <w:gridSpan w:val="2"/>
            <w:tcBorders>
              <w:top w:val="single" w:sz="4" w:space="0" w:color="auto"/>
              <w:left w:val="single" w:sz="4" w:space="0" w:color="auto"/>
              <w:bottom w:val="single" w:sz="4" w:space="0" w:color="auto"/>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color w:val="000000"/>
                <w:sz w:val="18"/>
                <w:szCs w:val="18"/>
                <w:lang w:eastAsia="en-GB"/>
              </w:rPr>
            </w:pPr>
            <w:r w:rsidRPr="008D00F0">
              <w:rPr>
                <w:rFonts w:eastAsia="Times New Roman" w:cstheme="minorHAnsi"/>
                <w:b/>
                <w:color w:val="000000"/>
                <w:sz w:val="18"/>
                <w:szCs w:val="18"/>
                <w:lang w:eastAsia="en-GB"/>
              </w:rPr>
              <w:t xml:space="preserve"> N=379,994 </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b/>
                <w:color w:val="000000"/>
                <w:sz w:val="18"/>
                <w:szCs w:val="18"/>
                <w:lang w:eastAsia="en-GB"/>
              </w:rPr>
            </w:pPr>
            <w:r w:rsidRPr="008D00F0">
              <w:rPr>
                <w:rFonts w:eastAsia="Times New Roman" w:cstheme="minorHAnsi"/>
                <w:b/>
                <w:color w:val="000000"/>
                <w:sz w:val="18"/>
                <w:szCs w:val="18"/>
                <w:lang w:eastAsia="en-GB"/>
              </w:rPr>
              <w:t> </w:t>
            </w:r>
          </w:p>
        </w:tc>
        <w:tc>
          <w:tcPr>
            <w:tcW w:w="723" w:type="pct"/>
            <w:gridSpan w:val="2"/>
            <w:tcBorders>
              <w:top w:val="single" w:sz="4" w:space="0" w:color="auto"/>
              <w:left w:val="single" w:sz="4" w:space="0" w:color="auto"/>
              <w:bottom w:val="single" w:sz="4" w:space="0" w:color="auto"/>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color w:val="000000"/>
                <w:sz w:val="18"/>
                <w:szCs w:val="18"/>
                <w:lang w:eastAsia="en-GB"/>
              </w:rPr>
            </w:pPr>
            <w:r w:rsidRPr="008D00F0">
              <w:rPr>
                <w:rFonts w:eastAsia="Times New Roman" w:cstheme="minorHAnsi"/>
                <w:b/>
                <w:color w:val="000000"/>
                <w:sz w:val="18"/>
                <w:szCs w:val="18"/>
                <w:lang w:eastAsia="en-GB"/>
              </w:rPr>
              <w:t xml:space="preserve"> N=239,263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b/>
                <w:color w:val="000000"/>
                <w:sz w:val="18"/>
                <w:szCs w:val="18"/>
                <w:lang w:eastAsia="en-GB"/>
              </w:rPr>
            </w:pPr>
            <w:r w:rsidRPr="008D00F0">
              <w:rPr>
                <w:rFonts w:eastAsia="Times New Roman" w:cstheme="minorHAnsi"/>
                <w:b/>
                <w:color w:val="000000"/>
                <w:sz w:val="18"/>
                <w:szCs w:val="18"/>
                <w:lang w:eastAsia="en-GB"/>
              </w:rPr>
              <w:t> </w:t>
            </w:r>
          </w:p>
        </w:tc>
        <w:tc>
          <w:tcPr>
            <w:tcW w:w="127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b/>
                <w:color w:val="000000"/>
                <w:sz w:val="18"/>
                <w:szCs w:val="18"/>
                <w:lang w:eastAsia="en-GB"/>
              </w:rPr>
            </w:pPr>
            <w:r w:rsidRPr="008D00F0">
              <w:rPr>
                <w:rFonts w:eastAsia="Times New Roman" w:cstheme="minorHAnsi"/>
                <w:b/>
                <w:color w:val="000000"/>
                <w:sz w:val="18"/>
                <w:szCs w:val="18"/>
                <w:lang w:eastAsia="en-GB"/>
              </w:rPr>
              <w:t xml:space="preserve"> N=140,731 </w:t>
            </w:r>
          </w:p>
        </w:tc>
      </w:tr>
      <w:tr w:rsidR="00293097" w:rsidRPr="008D00F0" w:rsidTr="00B831A2">
        <w:trPr>
          <w:trHeight w:val="342"/>
        </w:trPr>
        <w:tc>
          <w:tcPr>
            <w:tcW w:w="1111" w:type="pct"/>
            <w:tcBorders>
              <w:top w:val="single" w:sz="4" w:space="0" w:color="auto"/>
              <w:left w:val="single" w:sz="4" w:space="0" w:color="auto"/>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eastAsia="Times New Roman" w:cstheme="minorHAnsi"/>
                <w:color w:val="000000"/>
                <w:sz w:val="18"/>
                <w:szCs w:val="18"/>
                <w:lang w:eastAsia="en-GB"/>
              </w:rPr>
              <w:t>All-cause Mortality</w:t>
            </w:r>
          </w:p>
        </w:tc>
        <w:tc>
          <w:tcPr>
            <w:tcW w:w="500" w:type="pct"/>
            <w:tcBorders>
              <w:top w:val="nil"/>
              <w:left w:val="single" w:sz="4" w:space="0" w:color="auto"/>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15,498 </w:t>
            </w:r>
          </w:p>
        </w:tc>
        <w:tc>
          <w:tcPr>
            <w:tcW w:w="279"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4.1%</w:t>
            </w:r>
          </w:p>
        </w:tc>
        <w:tc>
          <w:tcPr>
            <w:tcW w:w="555"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(4.1-4.2) </w:t>
            </w:r>
          </w:p>
        </w:tc>
        <w:tc>
          <w:tcPr>
            <w:tcW w:w="445"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9,296 </w:t>
            </w:r>
          </w:p>
        </w:tc>
        <w:tc>
          <w:tcPr>
            <w:tcW w:w="278"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4.0%</w:t>
            </w:r>
          </w:p>
        </w:tc>
        <w:tc>
          <w:tcPr>
            <w:tcW w:w="556"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(3.9-4) </w:t>
            </w:r>
          </w:p>
        </w:tc>
        <w:tc>
          <w:tcPr>
            <w:tcW w:w="444"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6,202 </w:t>
            </w:r>
          </w:p>
        </w:tc>
        <w:tc>
          <w:tcPr>
            <w:tcW w:w="332"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4.5%</w:t>
            </w:r>
          </w:p>
        </w:tc>
        <w:tc>
          <w:tcPr>
            <w:tcW w:w="500"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(4.4-4.6) </w:t>
            </w:r>
          </w:p>
        </w:tc>
      </w:tr>
      <w:tr w:rsidR="00293097" w:rsidRPr="008D00F0" w:rsidTr="00B831A2">
        <w:trPr>
          <w:trHeight w:val="342"/>
        </w:trPr>
        <w:tc>
          <w:tcPr>
            <w:tcW w:w="1111" w:type="pct"/>
            <w:tcBorders>
              <w:top w:val="nil"/>
              <w:left w:val="single" w:sz="4" w:space="0" w:color="auto"/>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eastAsia="Times New Roman" w:cstheme="minorHAnsi"/>
                <w:color w:val="000000"/>
                <w:sz w:val="18"/>
                <w:szCs w:val="18"/>
                <w:lang w:eastAsia="en-GB"/>
              </w:rPr>
              <w:t>Natural Causes</w:t>
            </w:r>
          </w:p>
        </w:tc>
        <w:tc>
          <w:tcPr>
            <w:tcW w:w="500" w:type="pct"/>
            <w:tcBorders>
              <w:top w:val="nil"/>
              <w:left w:val="single" w:sz="4" w:space="0" w:color="auto"/>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15,226 </w:t>
            </w:r>
          </w:p>
        </w:tc>
        <w:tc>
          <w:tcPr>
            <w:tcW w:w="279"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4.1%</w:t>
            </w:r>
          </w:p>
        </w:tc>
        <w:tc>
          <w:tcPr>
            <w:tcW w:w="555"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(4-4.1) </w:t>
            </w:r>
          </w:p>
        </w:tc>
        <w:tc>
          <w:tcPr>
            <w:tcW w:w="445"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color w:val="000000"/>
                <w:sz w:val="18"/>
                <w:szCs w:val="18"/>
                <w:lang w:eastAsia="en-GB"/>
              </w:rPr>
            </w:pPr>
            <w:r w:rsidRPr="008D00F0">
              <w:rPr>
                <w:rFonts w:ascii="Calibri" w:hAnsi="Calibri" w:cs="Calibri"/>
                <w:color w:val="000000"/>
                <w:sz w:val="18"/>
                <w:szCs w:val="18"/>
              </w:rPr>
              <w:t xml:space="preserve">        9,132 </w:t>
            </w:r>
          </w:p>
        </w:tc>
        <w:tc>
          <w:tcPr>
            <w:tcW w:w="278"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3.9%</w:t>
            </w:r>
          </w:p>
        </w:tc>
        <w:tc>
          <w:tcPr>
            <w:tcW w:w="556"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(3.8-4) </w:t>
            </w:r>
          </w:p>
        </w:tc>
        <w:tc>
          <w:tcPr>
            <w:tcW w:w="444"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6,094 </w:t>
            </w:r>
          </w:p>
        </w:tc>
        <w:tc>
          <w:tcPr>
            <w:tcW w:w="332"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4.4%</w:t>
            </w:r>
          </w:p>
        </w:tc>
        <w:tc>
          <w:tcPr>
            <w:tcW w:w="500"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(4.3-4.5) </w:t>
            </w:r>
          </w:p>
        </w:tc>
      </w:tr>
      <w:tr w:rsidR="00293097" w:rsidRPr="008D00F0" w:rsidTr="00B831A2">
        <w:trPr>
          <w:trHeight w:val="342"/>
        </w:trPr>
        <w:tc>
          <w:tcPr>
            <w:tcW w:w="1111" w:type="pct"/>
            <w:tcBorders>
              <w:top w:val="nil"/>
              <w:left w:val="single" w:sz="4" w:space="0" w:color="auto"/>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eastAsia="Times New Roman" w:cstheme="minorHAnsi"/>
                <w:color w:val="000000"/>
                <w:sz w:val="18"/>
                <w:szCs w:val="18"/>
                <w:lang w:eastAsia="en-GB"/>
              </w:rPr>
              <w:t>External</w:t>
            </w:r>
          </w:p>
        </w:tc>
        <w:tc>
          <w:tcPr>
            <w:tcW w:w="500" w:type="pct"/>
            <w:tcBorders>
              <w:top w:val="nil"/>
              <w:left w:val="single" w:sz="4" w:space="0" w:color="auto"/>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272 </w:t>
            </w:r>
          </w:p>
        </w:tc>
        <w:tc>
          <w:tcPr>
            <w:tcW w:w="279"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0.1%</w:t>
            </w:r>
          </w:p>
        </w:tc>
        <w:tc>
          <w:tcPr>
            <w:tcW w:w="555"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(0.1-0.1) </w:t>
            </w:r>
          </w:p>
        </w:tc>
        <w:tc>
          <w:tcPr>
            <w:tcW w:w="445"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164 </w:t>
            </w:r>
          </w:p>
        </w:tc>
        <w:tc>
          <w:tcPr>
            <w:tcW w:w="278"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0.1%</w:t>
            </w:r>
          </w:p>
        </w:tc>
        <w:tc>
          <w:tcPr>
            <w:tcW w:w="556"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(0.1-0.1) </w:t>
            </w:r>
          </w:p>
        </w:tc>
        <w:tc>
          <w:tcPr>
            <w:tcW w:w="444"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108 </w:t>
            </w:r>
          </w:p>
        </w:tc>
        <w:tc>
          <w:tcPr>
            <w:tcW w:w="332"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0.1%</w:t>
            </w:r>
          </w:p>
        </w:tc>
        <w:tc>
          <w:tcPr>
            <w:tcW w:w="500"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(0.1-0.1) </w:t>
            </w:r>
          </w:p>
        </w:tc>
      </w:tr>
      <w:tr w:rsidR="00293097" w:rsidRPr="008D00F0" w:rsidTr="00B831A2">
        <w:trPr>
          <w:trHeight w:val="342"/>
        </w:trPr>
        <w:tc>
          <w:tcPr>
            <w:tcW w:w="1111" w:type="pct"/>
            <w:tcBorders>
              <w:top w:val="nil"/>
              <w:left w:val="single" w:sz="4" w:space="0" w:color="auto"/>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eastAsia="Times New Roman" w:cstheme="minorHAnsi"/>
                <w:color w:val="000000"/>
                <w:sz w:val="18"/>
                <w:szCs w:val="18"/>
                <w:lang w:eastAsia="en-GB"/>
              </w:rPr>
              <w:t>Suicide</w:t>
            </w:r>
          </w:p>
        </w:tc>
        <w:tc>
          <w:tcPr>
            <w:tcW w:w="500" w:type="pct"/>
            <w:tcBorders>
              <w:top w:val="nil"/>
              <w:left w:val="single" w:sz="4" w:space="0" w:color="auto"/>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26 </w:t>
            </w:r>
          </w:p>
        </w:tc>
        <w:tc>
          <w:tcPr>
            <w:tcW w:w="279"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0.01%</w:t>
            </w:r>
          </w:p>
        </w:tc>
        <w:tc>
          <w:tcPr>
            <w:tcW w:w="555"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(0.01-0.01) </w:t>
            </w:r>
          </w:p>
        </w:tc>
        <w:tc>
          <w:tcPr>
            <w:tcW w:w="445"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13 </w:t>
            </w:r>
          </w:p>
        </w:tc>
        <w:tc>
          <w:tcPr>
            <w:tcW w:w="278"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0.01%</w:t>
            </w:r>
          </w:p>
        </w:tc>
        <w:tc>
          <w:tcPr>
            <w:tcW w:w="556"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(0.003-0.01) </w:t>
            </w:r>
          </w:p>
        </w:tc>
        <w:tc>
          <w:tcPr>
            <w:tcW w:w="444"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13 </w:t>
            </w:r>
          </w:p>
        </w:tc>
        <w:tc>
          <w:tcPr>
            <w:tcW w:w="332" w:type="pct"/>
            <w:tcBorders>
              <w:top w:val="nil"/>
              <w:left w:val="nil"/>
              <w:bottom w:val="nil"/>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0.0%</w:t>
            </w:r>
          </w:p>
        </w:tc>
        <w:tc>
          <w:tcPr>
            <w:tcW w:w="500" w:type="pct"/>
            <w:tcBorders>
              <w:top w:val="nil"/>
              <w:left w:val="nil"/>
              <w:bottom w:val="nil"/>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(0.01-0.02) </w:t>
            </w:r>
          </w:p>
        </w:tc>
      </w:tr>
      <w:tr w:rsidR="00293097" w:rsidRPr="008D00F0" w:rsidTr="00B831A2">
        <w:trPr>
          <w:trHeight w:val="342"/>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eastAsia="Times New Roman" w:cstheme="minorHAnsi"/>
                <w:color w:val="000000"/>
                <w:sz w:val="18"/>
                <w:szCs w:val="18"/>
                <w:lang w:eastAsia="en-GB"/>
              </w:rPr>
              <w:t>Accidents</w:t>
            </w:r>
          </w:p>
        </w:tc>
        <w:tc>
          <w:tcPr>
            <w:tcW w:w="500" w:type="pct"/>
            <w:tcBorders>
              <w:top w:val="nil"/>
              <w:left w:val="single" w:sz="4" w:space="0" w:color="auto"/>
              <w:bottom w:val="single" w:sz="4" w:space="0" w:color="auto"/>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235 </w:t>
            </w:r>
          </w:p>
        </w:tc>
        <w:tc>
          <w:tcPr>
            <w:tcW w:w="279" w:type="pct"/>
            <w:tcBorders>
              <w:top w:val="nil"/>
              <w:left w:val="nil"/>
              <w:bottom w:val="single" w:sz="4" w:space="0" w:color="auto"/>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0.1%</w:t>
            </w:r>
          </w:p>
        </w:tc>
        <w:tc>
          <w:tcPr>
            <w:tcW w:w="555" w:type="pct"/>
            <w:tcBorders>
              <w:top w:val="nil"/>
              <w:left w:val="nil"/>
              <w:bottom w:val="single" w:sz="4" w:space="0" w:color="auto"/>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(0.1-0.1) </w:t>
            </w:r>
          </w:p>
        </w:tc>
        <w:tc>
          <w:tcPr>
            <w:tcW w:w="445" w:type="pct"/>
            <w:tcBorders>
              <w:top w:val="nil"/>
              <w:left w:val="nil"/>
              <w:bottom w:val="single" w:sz="4" w:space="0" w:color="auto"/>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146 </w:t>
            </w:r>
          </w:p>
        </w:tc>
        <w:tc>
          <w:tcPr>
            <w:tcW w:w="278" w:type="pct"/>
            <w:tcBorders>
              <w:top w:val="nil"/>
              <w:left w:val="nil"/>
              <w:bottom w:val="single" w:sz="4" w:space="0" w:color="auto"/>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0.1%</w:t>
            </w:r>
          </w:p>
        </w:tc>
        <w:tc>
          <w:tcPr>
            <w:tcW w:w="556" w:type="pct"/>
            <w:tcBorders>
              <w:top w:val="nil"/>
              <w:left w:val="nil"/>
              <w:bottom w:val="single" w:sz="4" w:space="0" w:color="auto"/>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(0.1-0.1) </w:t>
            </w:r>
          </w:p>
        </w:tc>
        <w:tc>
          <w:tcPr>
            <w:tcW w:w="444" w:type="pct"/>
            <w:tcBorders>
              <w:top w:val="nil"/>
              <w:left w:val="nil"/>
              <w:bottom w:val="single" w:sz="4" w:space="0" w:color="auto"/>
              <w:right w:val="nil"/>
            </w:tcBorders>
            <w:shd w:val="clear" w:color="auto" w:fill="auto"/>
            <w:noWrap/>
            <w:vAlign w:val="bottom"/>
            <w:hideMark/>
          </w:tcPr>
          <w:p w:rsidR="00293097" w:rsidRPr="008D00F0" w:rsidRDefault="00293097" w:rsidP="00B831A2">
            <w:pPr>
              <w:spacing w:after="0" w:line="240" w:lineRule="auto"/>
              <w:rPr>
                <w:rFonts w:eastAsia="Times New Roman" w:cstheme="minorHAnsi"/>
                <w:b/>
                <w:bCs/>
                <w:color w:val="000000"/>
                <w:sz w:val="18"/>
                <w:szCs w:val="18"/>
                <w:lang w:eastAsia="en-GB"/>
              </w:rPr>
            </w:pPr>
            <w:r w:rsidRPr="008D00F0">
              <w:rPr>
                <w:rFonts w:ascii="Calibri" w:hAnsi="Calibri" w:cs="Calibri"/>
                <w:b/>
                <w:bCs/>
                <w:color w:val="000000"/>
                <w:sz w:val="18"/>
                <w:szCs w:val="18"/>
              </w:rPr>
              <w:t xml:space="preserve">              89 </w:t>
            </w:r>
          </w:p>
        </w:tc>
        <w:tc>
          <w:tcPr>
            <w:tcW w:w="332" w:type="pct"/>
            <w:tcBorders>
              <w:top w:val="nil"/>
              <w:left w:val="nil"/>
              <w:bottom w:val="single" w:sz="4" w:space="0" w:color="auto"/>
              <w:right w:val="nil"/>
            </w:tcBorders>
            <w:shd w:val="clear" w:color="auto" w:fill="auto"/>
            <w:noWrap/>
            <w:vAlign w:val="bottom"/>
            <w:hideMark/>
          </w:tcPr>
          <w:p w:rsidR="00293097" w:rsidRPr="008D00F0" w:rsidRDefault="00293097" w:rsidP="00B831A2">
            <w:pPr>
              <w:spacing w:after="0" w:line="240" w:lineRule="auto"/>
              <w:jc w:val="right"/>
              <w:rPr>
                <w:rFonts w:eastAsia="Times New Roman" w:cstheme="minorHAnsi"/>
                <w:color w:val="000000"/>
                <w:sz w:val="18"/>
                <w:szCs w:val="18"/>
                <w:lang w:eastAsia="en-GB"/>
              </w:rPr>
            </w:pPr>
            <w:r w:rsidRPr="008D00F0">
              <w:rPr>
                <w:rFonts w:ascii="Calibri" w:hAnsi="Calibri" w:cs="Calibri"/>
                <w:color w:val="000000"/>
                <w:sz w:val="18"/>
                <w:szCs w:val="18"/>
              </w:rPr>
              <w:t>0.1%</w:t>
            </w:r>
          </w:p>
        </w:tc>
        <w:tc>
          <w:tcPr>
            <w:tcW w:w="500" w:type="pct"/>
            <w:tcBorders>
              <w:top w:val="nil"/>
              <w:left w:val="nil"/>
              <w:bottom w:val="single" w:sz="4" w:space="0" w:color="auto"/>
              <w:right w:val="single" w:sz="4" w:space="0" w:color="auto"/>
            </w:tcBorders>
            <w:shd w:val="clear" w:color="auto" w:fill="auto"/>
            <w:noWrap/>
            <w:vAlign w:val="bottom"/>
            <w:hideMark/>
          </w:tcPr>
          <w:p w:rsidR="00293097" w:rsidRPr="008D00F0" w:rsidRDefault="00293097" w:rsidP="00B831A2">
            <w:pPr>
              <w:spacing w:after="0" w:line="240" w:lineRule="auto"/>
              <w:rPr>
                <w:rFonts w:eastAsia="Times New Roman" w:cstheme="minorHAnsi"/>
                <w:color w:val="000000"/>
                <w:sz w:val="18"/>
                <w:szCs w:val="18"/>
                <w:lang w:eastAsia="en-GB"/>
              </w:rPr>
            </w:pPr>
            <w:r w:rsidRPr="008D00F0">
              <w:rPr>
                <w:rFonts w:ascii="Calibri" w:hAnsi="Calibri" w:cs="Calibri"/>
                <w:color w:val="000000"/>
                <w:sz w:val="18"/>
                <w:szCs w:val="18"/>
              </w:rPr>
              <w:t xml:space="preserve"> (0.05-0.08) </w:t>
            </w:r>
          </w:p>
        </w:tc>
      </w:tr>
    </w:tbl>
    <w:p w:rsidR="00293097" w:rsidRPr="008D00F0" w:rsidRDefault="00293097" w:rsidP="00B831A2">
      <w:pPr>
        <w:autoSpaceDE w:val="0"/>
        <w:autoSpaceDN w:val="0"/>
        <w:adjustRightInd w:val="0"/>
        <w:rPr>
          <w:rFonts w:ascii="Times New Roman" w:hAnsi="Times New Roman" w:cs="Times New Roman"/>
          <w:b/>
          <w:sz w:val="20"/>
          <w:szCs w:val="20"/>
        </w:rPr>
      </w:pPr>
    </w:p>
    <w:p w:rsidR="00293097" w:rsidRPr="008D00F0" w:rsidRDefault="00293097" w:rsidP="00B831A2">
      <w:pPr>
        <w:rPr>
          <w:rFonts w:ascii="Times New Roman" w:hAnsi="Times New Roman" w:cs="Times New Roman"/>
          <w:b/>
          <w:sz w:val="20"/>
          <w:szCs w:val="20"/>
        </w:rPr>
      </w:pPr>
      <w:r w:rsidRPr="008D00F0">
        <w:rPr>
          <w:rFonts w:ascii="Times New Roman" w:hAnsi="Times New Roman" w:cs="Times New Roman"/>
          <w:b/>
          <w:sz w:val="20"/>
          <w:szCs w:val="20"/>
        </w:rPr>
        <w:br w:type="page"/>
      </w:r>
      <w:bookmarkStart w:id="0" w:name="_GoBack"/>
      <w:bookmarkEnd w:id="0"/>
    </w:p>
    <w:p w:rsidR="00293097" w:rsidRPr="008D00F0" w:rsidRDefault="00293097" w:rsidP="00B831A2">
      <w:pPr>
        <w:tabs>
          <w:tab w:val="left" w:pos="2408"/>
          <w:tab w:val="left" w:pos="5211"/>
          <w:tab w:val="left" w:pos="7763"/>
          <w:tab w:val="left" w:pos="10428"/>
          <w:tab w:val="left" w:pos="12441"/>
          <w:tab w:val="left" w:pos="13575"/>
        </w:tabs>
        <w:spacing w:after="0" w:line="240" w:lineRule="auto"/>
        <w:ind w:left="108"/>
        <w:rPr>
          <w:rFonts w:ascii="Times New Roman" w:eastAsia="Times New Roman" w:hAnsi="Times New Roman" w:cs="Times New Roman"/>
          <w:b/>
          <w:sz w:val="20"/>
          <w:szCs w:val="20"/>
          <w:lang w:eastAsia="en-GB"/>
        </w:rPr>
      </w:pPr>
    </w:p>
    <w:p w:rsidR="00293097" w:rsidRPr="008D00F0" w:rsidRDefault="00293097" w:rsidP="00B831A2">
      <w:pPr>
        <w:rPr>
          <w:rFonts w:ascii="Times New Roman" w:hAnsi="Times New Roman" w:cs="Times New Roman"/>
          <w:b/>
          <w:sz w:val="20"/>
          <w:szCs w:val="20"/>
        </w:rPr>
      </w:pPr>
      <w:r w:rsidRPr="008D00F0">
        <w:rPr>
          <w:rFonts w:ascii="Times New Roman" w:hAnsi="Times New Roman" w:cs="Times New Roman"/>
          <w:b/>
          <w:sz w:val="20"/>
          <w:szCs w:val="20"/>
        </w:rPr>
        <w:t>Figure S1 - Relative risk estimates comparing discharged older adults with their general population counterparts; breakdown by dementia diagnosis</w:t>
      </w:r>
    </w:p>
    <w:p w:rsidR="00293097" w:rsidRPr="008D00F0" w:rsidRDefault="00293097" w:rsidP="00B831A2">
      <w:pPr>
        <w:ind w:left="-142"/>
        <w:rPr>
          <w:rFonts w:eastAsia="Times New Roman"/>
        </w:rPr>
      </w:pPr>
      <w:r w:rsidRPr="008D00F0">
        <w:rPr>
          <w:noProof/>
          <w:lang w:eastAsia="en-GB"/>
        </w:rPr>
        <w:drawing>
          <wp:inline distT="0" distB="0" distL="0" distR="0" wp14:anchorId="6B6B24F0" wp14:editId="02F1EAA9">
            <wp:extent cx="4046220" cy="287845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8D00F0">
        <w:rPr>
          <w:noProof/>
          <w:lang w:eastAsia="en-GB"/>
        </w:rPr>
        <w:t xml:space="preserve"> </w:t>
      </w:r>
      <w:r w:rsidRPr="008D00F0">
        <w:rPr>
          <w:noProof/>
          <w:lang w:eastAsia="en-GB"/>
        </w:rPr>
        <w:drawing>
          <wp:inline distT="0" distB="0" distL="0" distR="0" wp14:anchorId="7DB10024" wp14:editId="2A68CA8C">
            <wp:extent cx="4257675" cy="2898926"/>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93097" w:rsidRPr="008D00F0" w:rsidRDefault="00293097" w:rsidP="00B831A2">
      <w:pPr>
        <w:ind w:left="-142"/>
        <w:rPr>
          <w:noProof/>
          <w:lang w:eastAsia="en-GB"/>
        </w:rPr>
      </w:pPr>
      <w:r w:rsidRPr="008D00F0">
        <w:rPr>
          <w:noProof/>
          <w:lang w:eastAsia="en-GB"/>
        </w:rPr>
        <w:drawing>
          <wp:inline distT="0" distB="0" distL="0" distR="0" wp14:anchorId="02276353" wp14:editId="6C3E5ED2">
            <wp:extent cx="4046220" cy="2524760"/>
            <wp:effectExtent l="0" t="0" r="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8D00F0">
        <w:rPr>
          <w:noProof/>
          <w:lang w:eastAsia="en-GB"/>
        </w:rPr>
        <w:t xml:space="preserve"> </w:t>
      </w:r>
      <w:r w:rsidRPr="008D00F0">
        <w:rPr>
          <w:noProof/>
          <w:lang w:eastAsia="en-GB"/>
        </w:rPr>
        <w:drawing>
          <wp:inline distT="0" distB="0" distL="0" distR="0" wp14:anchorId="1922D952" wp14:editId="1AB57820">
            <wp:extent cx="4257675" cy="25177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3097" w:rsidRPr="008D00F0" w:rsidRDefault="00293097" w:rsidP="00B831A2">
      <w:pPr>
        <w:tabs>
          <w:tab w:val="left" w:pos="2408"/>
          <w:tab w:val="left" w:pos="5211"/>
          <w:tab w:val="left" w:pos="7763"/>
          <w:tab w:val="left" w:pos="10428"/>
          <w:tab w:val="left" w:pos="12441"/>
          <w:tab w:val="left" w:pos="13575"/>
        </w:tabs>
        <w:spacing w:after="0" w:line="240" w:lineRule="auto"/>
        <w:ind w:left="108"/>
        <w:rPr>
          <w:rFonts w:ascii="Times New Roman" w:eastAsia="Times New Roman" w:hAnsi="Times New Roman" w:cs="Times New Roman"/>
          <w:sz w:val="20"/>
          <w:szCs w:val="20"/>
          <w:lang w:eastAsia="en-GB"/>
        </w:rPr>
      </w:pPr>
      <w:r w:rsidRPr="008D00F0">
        <w:rPr>
          <w:rFonts w:ascii="Times New Roman" w:eastAsia="Times New Roman" w:hAnsi="Times New Roman" w:cs="Times New Roman"/>
          <w:b/>
          <w:sz w:val="20"/>
          <w:szCs w:val="20"/>
          <w:lang w:eastAsia="en-GB"/>
        </w:rPr>
        <w:lastRenderedPageBreak/>
        <w:t>Table S4</w:t>
      </w:r>
      <w:r w:rsidRPr="008D00F0">
        <w:rPr>
          <w:rFonts w:ascii="Times New Roman" w:eastAsia="Times New Roman" w:hAnsi="Times New Roman" w:cs="Times New Roman"/>
          <w:sz w:val="20"/>
          <w:szCs w:val="20"/>
          <w:lang w:eastAsia="en-GB"/>
        </w:rPr>
        <w:t xml:space="preserve"> </w:t>
      </w:r>
      <w:r w:rsidRPr="008D00F0">
        <w:rPr>
          <w:rFonts w:ascii="Times New Roman" w:eastAsia="Times New Roman" w:hAnsi="Times New Roman" w:cs="Times New Roman"/>
          <w:b/>
          <w:sz w:val="20"/>
          <w:szCs w:val="20"/>
          <w:lang w:eastAsia="en-GB"/>
        </w:rPr>
        <w:t>Hazard ratios between discharged working age and older adults and their respective comparison cohorts, with testing for effect modification by gender, at one year after discharge</w:t>
      </w:r>
    </w:p>
    <w:p w:rsidR="00293097" w:rsidRPr="008D00F0" w:rsidRDefault="00293097" w:rsidP="00B831A2">
      <w:pPr>
        <w:tabs>
          <w:tab w:val="left" w:pos="2408"/>
          <w:tab w:val="left" w:pos="5211"/>
          <w:tab w:val="left" w:pos="7763"/>
          <w:tab w:val="left" w:pos="10428"/>
          <w:tab w:val="left" w:pos="12441"/>
          <w:tab w:val="left" w:pos="13575"/>
        </w:tabs>
        <w:spacing w:after="0" w:line="240" w:lineRule="auto"/>
        <w:ind w:left="108"/>
        <w:rPr>
          <w:rFonts w:ascii="Times New Roman" w:eastAsia="Times New Roman" w:hAnsi="Times New Roman" w:cs="Times New Roman"/>
          <w:sz w:val="20"/>
          <w:szCs w:val="20"/>
          <w:lang w:eastAsia="en-GB"/>
        </w:rPr>
      </w:pPr>
      <w:r w:rsidRPr="008D00F0">
        <w:rPr>
          <w:rFonts w:ascii="Times New Roman" w:eastAsia="Times New Roman" w:hAnsi="Times New Roman" w:cs="Times New Roman"/>
          <w:sz w:val="20"/>
          <w:szCs w:val="20"/>
          <w:lang w:eastAsia="en-GB"/>
        </w:rPr>
        <w:tab/>
      </w:r>
      <w:r w:rsidRPr="008D00F0">
        <w:rPr>
          <w:rFonts w:ascii="Times New Roman" w:eastAsia="Times New Roman" w:hAnsi="Times New Roman" w:cs="Times New Roman"/>
          <w:color w:val="000000"/>
          <w:sz w:val="20"/>
          <w:szCs w:val="20"/>
          <w:lang w:eastAsia="en-GB"/>
        </w:rPr>
        <w:tab/>
      </w:r>
      <w:r w:rsidRPr="008D00F0">
        <w:rPr>
          <w:rFonts w:ascii="Times New Roman" w:eastAsia="Times New Roman" w:hAnsi="Times New Roman" w:cs="Times New Roman"/>
          <w:color w:val="000000"/>
          <w:sz w:val="20"/>
          <w:szCs w:val="20"/>
          <w:lang w:eastAsia="en-GB"/>
        </w:rPr>
        <w:tab/>
      </w:r>
      <w:r w:rsidRPr="008D00F0">
        <w:rPr>
          <w:rFonts w:ascii="Times New Roman" w:eastAsia="Times New Roman" w:hAnsi="Times New Roman" w:cs="Times New Roman"/>
          <w:color w:val="000000"/>
          <w:sz w:val="20"/>
          <w:szCs w:val="20"/>
          <w:lang w:eastAsia="en-GB"/>
        </w:rPr>
        <w:tab/>
      </w:r>
      <w:r w:rsidRPr="008D00F0">
        <w:rPr>
          <w:rFonts w:ascii="Times New Roman" w:eastAsia="Times New Roman" w:hAnsi="Times New Roman" w:cs="Times New Roman"/>
          <w:color w:val="000000"/>
          <w:sz w:val="20"/>
          <w:szCs w:val="20"/>
          <w:lang w:eastAsia="en-GB"/>
        </w:rPr>
        <w:tab/>
      </w:r>
      <w:r w:rsidRPr="008D00F0">
        <w:rPr>
          <w:rFonts w:ascii="Times New Roman" w:eastAsia="Times New Roman" w:hAnsi="Times New Roman" w:cs="Times New Roman"/>
          <w:sz w:val="20"/>
          <w:szCs w:val="20"/>
          <w:lang w:eastAsia="en-GB"/>
        </w:rPr>
        <w:tab/>
      </w:r>
    </w:p>
    <w:tbl>
      <w:tblPr>
        <w:tblW w:w="14633" w:type="dxa"/>
        <w:tblLook w:val="04A0" w:firstRow="1" w:lastRow="0" w:firstColumn="1" w:lastColumn="0" w:noHBand="0" w:noVBand="1"/>
      </w:tblPr>
      <w:tblGrid>
        <w:gridCol w:w="2300"/>
        <w:gridCol w:w="1420"/>
        <w:gridCol w:w="1383"/>
        <w:gridCol w:w="1117"/>
        <w:gridCol w:w="1577"/>
        <w:gridCol w:w="1143"/>
        <w:gridCol w:w="1380"/>
        <w:gridCol w:w="2013"/>
        <w:gridCol w:w="1134"/>
        <w:gridCol w:w="1166"/>
      </w:tblGrid>
      <w:tr w:rsidR="00293097" w:rsidRPr="008D00F0" w:rsidTr="00B831A2">
        <w:trPr>
          <w:trHeight w:val="300"/>
        </w:trPr>
        <w:tc>
          <w:tcPr>
            <w:tcW w:w="2300" w:type="dxa"/>
            <w:tcBorders>
              <w:top w:val="nil"/>
              <w:left w:val="nil"/>
              <w:bottom w:val="nil"/>
              <w:right w:val="single" w:sz="4" w:space="0" w:color="5B9BD5" w:themeColor="accent1"/>
            </w:tcBorders>
            <w:shd w:val="clear" w:color="auto" w:fill="auto"/>
            <w:vAlign w:val="bottom"/>
            <w:hideMark/>
          </w:tcPr>
          <w:p w:rsidR="00293097" w:rsidRPr="008D00F0" w:rsidRDefault="00293097" w:rsidP="00B831A2">
            <w:pPr>
              <w:spacing w:after="0" w:line="240" w:lineRule="auto"/>
              <w:rPr>
                <w:rFonts w:ascii="Times New Roman" w:eastAsia="Times New Roman" w:hAnsi="Times New Roman" w:cs="Times New Roman"/>
                <w:sz w:val="16"/>
                <w:szCs w:val="16"/>
                <w:lang w:eastAsia="en-GB"/>
              </w:rPr>
            </w:pPr>
          </w:p>
        </w:tc>
        <w:tc>
          <w:tcPr>
            <w:tcW w:w="280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Working-age men</w:t>
            </w:r>
          </w:p>
        </w:tc>
        <w:tc>
          <w:tcPr>
            <w:tcW w:w="269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Working-age women</w:t>
            </w:r>
          </w:p>
        </w:tc>
        <w:tc>
          <w:tcPr>
            <w:tcW w:w="252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Total</w:t>
            </w:r>
          </w:p>
        </w:tc>
        <w:tc>
          <w:tcPr>
            <w:tcW w:w="2013" w:type="dxa"/>
            <w:tcBorders>
              <w:top w:val="single" w:sz="4" w:space="0" w:color="5B9BD5" w:themeColor="accent1"/>
              <w:left w:val="single" w:sz="4" w:space="0" w:color="5B9BD5" w:themeColor="accent1"/>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b/>
                <w:color w:val="000000"/>
                <w:sz w:val="16"/>
                <w:szCs w:val="16"/>
                <w:lang w:eastAsia="en-GB"/>
              </w:rPr>
            </w:pPr>
          </w:p>
        </w:tc>
        <w:tc>
          <w:tcPr>
            <w:tcW w:w="1134" w:type="dxa"/>
            <w:tcBorders>
              <w:top w:val="single" w:sz="4" w:space="0" w:color="5B9BD5" w:themeColor="accent1"/>
              <w:left w:val="nil"/>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b/>
                <w:sz w:val="16"/>
                <w:szCs w:val="16"/>
                <w:lang w:eastAsia="en-GB"/>
              </w:rPr>
            </w:pPr>
          </w:p>
        </w:tc>
        <w:tc>
          <w:tcPr>
            <w:tcW w:w="1166" w:type="dxa"/>
            <w:tcBorders>
              <w:top w:val="single" w:sz="4" w:space="0" w:color="5B9BD5" w:themeColor="accent1"/>
              <w:left w:val="nil"/>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sz w:val="16"/>
                <w:szCs w:val="16"/>
                <w:lang w:eastAsia="en-GB"/>
              </w:rPr>
            </w:pPr>
          </w:p>
        </w:tc>
      </w:tr>
      <w:tr w:rsidR="00293097" w:rsidRPr="008D00F0" w:rsidTr="00B831A2">
        <w:trPr>
          <w:trHeight w:val="656"/>
        </w:trPr>
        <w:tc>
          <w:tcPr>
            <w:tcW w:w="2300" w:type="dxa"/>
            <w:tcBorders>
              <w:top w:val="nil"/>
              <w:left w:val="nil"/>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sz w:val="16"/>
                <w:szCs w:val="16"/>
                <w:lang w:eastAsia="en-GB"/>
              </w:rPr>
            </w:pPr>
          </w:p>
        </w:tc>
        <w:tc>
          <w:tcPr>
            <w:tcW w:w="1420" w:type="dxa"/>
            <w:tcBorders>
              <w:top w:val="single" w:sz="4" w:space="0" w:color="5B9BD5" w:themeColor="accent1"/>
              <w:left w:val="single" w:sz="4" w:space="0" w:color="5B9BD5" w:themeColor="accent1"/>
              <w:bottom w:val="single" w:sz="4" w:space="0" w:color="5B9BD5" w:themeColor="accent1"/>
              <w:right w:val="nil"/>
            </w:tcBorders>
            <w:shd w:val="clear" w:color="auto" w:fill="auto"/>
            <w:vAlign w:val="bottom"/>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Hazard Ratio*</w:t>
            </w:r>
          </w:p>
        </w:tc>
        <w:tc>
          <w:tcPr>
            <w:tcW w:w="1383" w:type="dxa"/>
            <w:tcBorders>
              <w:top w:val="single" w:sz="4" w:space="0" w:color="5B9BD5" w:themeColor="accent1"/>
              <w:left w:val="nil"/>
              <w:bottom w:val="single" w:sz="4" w:space="0" w:color="5B9BD5" w:themeColor="accent1"/>
              <w:right w:val="single" w:sz="4" w:space="0" w:color="5B9BD5" w:themeColor="accent1"/>
            </w:tcBorders>
            <w:shd w:val="clear" w:color="auto" w:fill="auto"/>
            <w:vAlign w:val="bottom"/>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(95% CI)</w:t>
            </w:r>
          </w:p>
        </w:tc>
        <w:tc>
          <w:tcPr>
            <w:tcW w:w="1117" w:type="dxa"/>
            <w:tcBorders>
              <w:top w:val="single" w:sz="4" w:space="0" w:color="5B9BD5" w:themeColor="accent1"/>
              <w:left w:val="single" w:sz="4" w:space="0" w:color="5B9BD5" w:themeColor="accent1"/>
              <w:bottom w:val="single" w:sz="4" w:space="0" w:color="5B9BD5" w:themeColor="accent1"/>
              <w:right w:val="nil"/>
            </w:tcBorders>
            <w:shd w:val="clear" w:color="auto" w:fill="auto"/>
            <w:vAlign w:val="bottom"/>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Hazard Ratio*</w:t>
            </w:r>
          </w:p>
        </w:tc>
        <w:tc>
          <w:tcPr>
            <w:tcW w:w="1577" w:type="dxa"/>
            <w:tcBorders>
              <w:top w:val="single" w:sz="4" w:space="0" w:color="5B9BD5" w:themeColor="accent1"/>
              <w:left w:val="nil"/>
              <w:bottom w:val="single" w:sz="4" w:space="0" w:color="5B9BD5" w:themeColor="accent1"/>
              <w:right w:val="single" w:sz="4" w:space="0" w:color="5B9BD5" w:themeColor="accent1"/>
            </w:tcBorders>
            <w:shd w:val="clear" w:color="auto" w:fill="auto"/>
            <w:vAlign w:val="bottom"/>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(95% CI)</w:t>
            </w:r>
          </w:p>
        </w:tc>
        <w:tc>
          <w:tcPr>
            <w:tcW w:w="1143" w:type="dxa"/>
            <w:tcBorders>
              <w:top w:val="single" w:sz="4" w:space="0" w:color="5B9BD5" w:themeColor="accent1"/>
              <w:left w:val="single" w:sz="4" w:space="0" w:color="5B9BD5" w:themeColor="accent1"/>
              <w:bottom w:val="single" w:sz="4" w:space="0" w:color="5B9BD5" w:themeColor="accent1"/>
              <w:right w:val="nil"/>
            </w:tcBorders>
            <w:shd w:val="clear" w:color="auto" w:fill="auto"/>
            <w:vAlign w:val="bottom"/>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Hazard Ratio*</w:t>
            </w:r>
          </w:p>
        </w:tc>
        <w:tc>
          <w:tcPr>
            <w:tcW w:w="1380" w:type="dxa"/>
            <w:tcBorders>
              <w:top w:val="single" w:sz="4" w:space="0" w:color="5B9BD5" w:themeColor="accent1"/>
              <w:left w:val="nil"/>
              <w:bottom w:val="single" w:sz="4" w:space="0" w:color="5B9BD5" w:themeColor="accent1"/>
              <w:right w:val="single" w:sz="4" w:space="0" w:color="5B9BD5" w:themeColor="accent1"/>
            </w:tcBorders>
            <w:shd w:val="clear" w:color="auto" w:fill="auto"/>
            <w:vAlign w:val="bottom"/>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(95% CI)</w:t>
            </w:r>
          </w:p>
        </w:tc>
        <w:tc>
          <w:tcPr>
            <w:tcW w:w="2013" w:type="dxa"/>
            <w:tcBorders>
              <w:top w:val="single" w:sz="4" w:space="0" w:color="5B9BD5" w:themeColor="accent1"/>
              <w:left w:val="single" w:sz="4" w:space="0" w:color="5B9BD5" w:themeColor="accent1"/>
              <w:bottom w:val="single" w:sz="4" w:space="0" w:color="5B9BD5" w:themeColor="accent1"/>
              <w:right w:val="nil"/>
            </w:tcBorders>
            <w:shd w:val="clear" w:color="auto" w:fill="auto"/>
            <w:vAlign w:val="bottom"/>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 xml:space="preserve">Interaction term </w:t>
            </w:r>
            <w:r w:rsidRPr="008D00F0">
              <w:rPr>
                <w:rFonts w:ascii="Times New Roman" w:eastAsia="Times New Roman" w:hAnsi="Times New Roman" w:cs="Times New Roman"/>
                <w:b/>
                <w:color w:val="000000"/>
                <w:sz w:val="16"/>
                <w:szCs w:val="16"/>
                <w:lang w:eastAsia="en-GB"/>
              </w:rPr>
              <w:br/>
              <w:t>HR (women compared to men)</w:t>
            </w:r>
          </w:p>
        </w:tc>
        <w:tc>
          <w:tcPr>
            <w:tcW w:w="1134" w:type="dxa"/>
            <w:tcBorders>
              <w:top w:val="single" w:sz="4" w:space="0" w:color="5B9BD5" w:themeColor="accent1"/>
              <w:left w:val="nil"/>
              <w:bottom w:val="single" w:sz="4" w:space="0" w:color="5B9BD5" w:themeColor="accent1"/>
              <w:right w:val="nil"/>
            </w:tcBorders>
            <w:shd w:val="clear" w:color="auto" w:fill="auto"/>
            <w:vAlign w:val="bottom"/>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(95% CI)</w:t>
            </w:r>
          </w:p>
        </w:tc>
        <w:tc>
          <w:tcPr>
            <w:tcW w:w="1166" w:type="dxa"/>
            <w:tcBorders>
              <w:top w:val="single" w:sz="4" w:space="0" w:color="5B9BD5" w:themeColor="accent1"/>
              <w:left w:val="nil"/>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p>
        </w:tc>
      </w:tr>
      <w:tr w:rsidR="00293097" w:rsidRPr="008D00F0" w:rsidTr="00B831A2">
        <w:trPr>
          <w:trHeight w:val="300"/>
        </w:trPr>
        <w:tc>
          <w:tcPr>
            <w:tcW w:w="2300" w:type="dxa"/>
            <w:tcBorders>
              <w:top w:val="nil"/>
              <w:left w:val="single" w:sz="4" w:space="0" w:color="5B9BD5" w:themeColor="accent1"/>
              <w:bottom w:val="nil"/>
              <w:right w:val="single" w:sz="4" w:space="0" w:color="5B9BD5" w:themeColor="accent1"/>
            </w:tcBorders>
            <w:shd w:val="clear" w:color="auto" w:fill="auto"/>
            <w:noWrap/>
            <w:vAlign w:val="center"/>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All causes</w:t>
            </w:r>
          </w:p>
        </w:tc>
        <w:tc>
          <w:tcPr>
            <w:tcW w:w="1420"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11.3</w:t>
            </w:r>
          </w:p>
        </w:tc>
        <w:tc>
          <w:tcPr>
            <w:tcW w:w="1383"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(10.4-12.3)</w:t>
            </w:r>
          </w:p>
        </w:tc>
        <w:tc>
          <w:tcPr>
            <w:tcW w:w="1117"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8.9</w:t>
            </w:r>
          </w:p>
        </w:tc>
        <w:tc>
          <w:tcPr>
            <w:tcW w:w="1577"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(7.9-10.0)</w:t>
            </w:r>
          </w:p>
        </w:tc>
        <w:tc>
          <w:tcPr>
            <w:tcW w:w="114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10.4</w:t>
            </w:r>
          </w:p>
        </w:tc>
        <w:tc>
          <w:tcPr>
            <w:tcW w:w="1380"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(9.7-11.1)</w:t>
            </w:r>
          </w:p>
        </w:tc>
        <w:tc>
          <w:tcPr>
            <w:tcW w:w="201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bCs/>
                <w:color w:val="000000"/>
                <w:sz w:val="16"/>
                <w:szCs w:val="16"/>
                <w:lang w:eastAsia="en-GB"/>
              </w:rPr>
            </w:pPr>
            <w:r w:rsidRPr="008D00F0">
              <w:rPr>
                <w:rFonts w:ascii="Times New Roman" w:eastAsia="Times New Roman" w:hAnsi="Times New Roman" w:cs="Times New Roman"/>
                <w:bCs/>
                <w:color w:val="000000"/>
                <w:sz w:val="16"/>
                <w:szCs w:val="16"/>
                <w:lang w:eastAsia="en-GB"/>
              </w:rPr>
              <w:t>0.8</w:t>
            </w:r>
          </w:p>
        </w:tc>
        <w:tc>
          <w:tcPr>
            <w:tcW w:w="1134" w:type="dxa"/>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bCs/>
                <w:color w:val="000000"/>
                <w:sz w:val="16"/>
                <w:szCs w:val="16"/>
                <w:lang w:eastAsia="en-GB"/>
              </w:rPr>
            </w:pPr>
            <w:r w:rsidRPr="008D00F0">
              <w:rPr>
                <w:rFonts w:ascii="Times New Roman" w:eastAsia="Times New Roman" w:hAnsi="Times New Roman" w:cs="Times New Roman"/>
                <w:bCs/>
                <w:color w:val="000000"/>
                <w:sz w:val="16"/>
                <w:szCs w:val="16"/>
                <w:lang w:eastAsia="en-GB"/>
              </w:rPr>
              <w:t>(0.7-0.9)</w:t>
            </w:r>
          </w:p>
        </w:tc>
        <w:tc>
          <w:tcPr>
            <w:tcW w:w="1166"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p=0.001</w:t>
            </w:r>
          </w:p>
        </w:tc>
      </w:tr>
      <w:tr w:rsidR="00293097" w:rsidRPr="008D00F0" w:rsidTr="00B831A2">
        <w:trPr>
          <w:trHeight w:val="300"/>
        </w:trPr>
        <w:tc>
          <w:tcPr>
            <w:tcW w:w="2300" w:type="dxa"/>
            <w:tcBorders>
              <w:top w:val="nil"/>
              <w:left w:val="single" w:sz="4" w:space="0" w:color="5B9BD5" w:themeColor="accent1"/>
              <w:bottom w:val="nil"/>
              <w:right w:val="single" w:sz="4" w:space="0" w:color="5B9BD5" w:themeColor="accent1"/>
            </w:tcBorders>
            <w:shd w:val="clear" w:color="auto" w:fill="auto"/>
            <w:noWrap/>
            <w:vAlign w:val="center"/>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Natural causes</w:t>
            </w:r>
          </w:p>
        </w:tc>
        <w:tc>
          <w:tcPr>
            <w:tcW w:w="1420"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6.0</w:t>
            </w:r>
          </w:p>
        </w:tc>
        <w:tc>
          <w:tcPr>
            <w:tcW w:w="1383"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(5.4-6.7)</w:t>
            </w:r>
          </w:p>
        </w:tc>
        <w:tc>
          <w:tcPr>
            <w:tcW w:w="1117"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4.8</w:t>
            </w:r>
          </w:p>
        </w:tc>
        <w:tc>
          <w:tcPr>
            <w:tcW w:w="1577"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(4.1-5.5)</w:t>
            </w:r>
          </w:p>
        </w:tc>
        <w:tc>
          <w:tcPr>
            <w:tcW w:w="114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5.5</w:t>
            </w:r>
          </w:p>
        </w:tc>
        <w:tc>
          <w:tcPr>
            <w:tcW w:w="1380"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(5.0-6.0)</w:t>
            </w:r>
          </w:p>
        </w:tc>
        <w:tc>
          <w:tcPr>
            <w:tcW w:w="201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0.8</w:t>
            </w:r>
          </w:p>
        </w:tc>
        <w:tc>
          <w:tcPr>
            <w:tcW w:w="1134" w:type="dxa"/>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(0.7-1.0)</w:t>
            </w:r>
          </w:p>
        </w:tc>
        <w:tc>
          <w:tcPr>
            <w:tcW w:w="1166"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p=0.014</w:t>
            </w:r>
          </w:p>
        </w:tc>
      </w:tr>
      <w:tr w:rsidR="00293097" w:rsidRPr="008D00F0" w:rsidTr="00B831A2">
        <w:trPr>
          <w:trHeight w:val="300"/>
        </w:trPr>
        <w:tc>
          <w:tcPr>
            <w:tcW w:w="2300" w:type="dxa"/>
            <w:tcBorders>
              <w:top w:val="nil"/>
              <w:left w:val="single" w:sz="4" w:space="0" w:color="5B9BD5" w:themeColor="accent1"/>
              <w:bottom w:val="nil"/>
              <w:right w:val="single" w:sz="4" w:space="0" w:color="5B9BD5" w:themeColor="accent1"/>
            </w:tcBorders>
            <w:shd w:val="clear" w:color="auto" w:fill="auto"/>
            <w:noWrap/>
            <w:vAlign w:val="center"/>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External causes</w:t>
            </w:r>
          </w:p>
        </w:tc>
        <w:tc>
          <w:tcPr>
            <w:tcW w:w="1420"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45.7</w:t>
            </w:r>
          </w:p>
        </w:tc>
        <w:tc>
          <w:tcPr>
            <w:tcW w:w="1383"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(38.5-54.2)</w:t>
            </w:r>
          </w:p>
        </w:tc>
        <w:tc>
          <w:tcPr>
            <w:tcW w:w="1117"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89.3</w:t>
            </w:r>
          </w:p>
        </w:tc>
        <w:tc>
          <w:tcPr>
            <w:tcW w:w="1577"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(64.1-124.5)</w:t>
            </w:r>
          </w:p>
        </w:tc>
        <w:tc>
          <w:tcPr>
            <w:tcW w:w="114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53.8</w:t>
            </w:r>
          </w:p>
        </w:tc>
        <w:tc>
          <w:tcPr>
            <w:tcW w:w="1380"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(46.3-62.5)</w:t>
            </w:r>
          </w:p>
        </w:tc>
        <w:tc>
          <w:tcPr>
            <w:tcW w:w="201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bCs/>
                <w:color w:val="000000"/>
                <w:sz w:val="16"/>
                <w:szCs w:val="16"/>
                <w:lang w:eastAsia="en-GB"/>
              </w:rPr>
            </w:pPr>
            <w:r w:rsidRPr="008D00F0">
              <w:rPr>
                <w:rFonts w:ascii="Times New Roman" w:eastAsia="Times New Roman" w:hAnsi="Times New Roman" w:cs="Times New Roman"/>
                <w:bCs/>
                <w:color w:val="000000"/>
                <w:sz w:val="16"/>
                <w:szCs w:val="16"/>
                <w:lang w:eastAsia="en-GB"/>
              </w:rPr>
              <w:t>1.8</w:t>
            </w:r>
          </w:p>
        </w:tc>
        <w:tc>
          <w:tcPr>
            <w:tcW w:w="1134" w:type="dxa"/>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bCs/>
                <w:color w:val="000000"/>
                <w:sz w:val="16"/>
                <w:szCs w:val="16"/>
                <w:lang w:eastAsia="en-GB"/>
              </w:rPr>
            </w:pPr>
            <w:r w:rsidRPr="008D00F0">
              <w:rPr>
                <w:rFonts w:ascii="Times New Roman" w:eastAsia="Times New Roman" w:hAnsi="Times New Roman" w:cs="Times New Roman"/>
                <w:bCs/>
                <w:color w:val="000000"/>
                <w:sz w:val="16"/>
                <w:szCs w:val="16"/>
                <w:lang w:eastAsia="en-GB"/>
              </w:rPr>
              <w:t>(1.3-2.6)</w:t>
            </w:r>
          </w:p>
        </w:tc>
        <w:tc>
          <w:tcPr>
            <w:tcW w:w="1166"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p=0.001</w:t>
            </w:r>
          </w:p>
        </w:tc>
      </w:tr>
      <w:tr w:rsidR="00293097" w:rsidRPr="008D00F0" w:rsidTr="00B831A2">
        <w:trPr>
          <w:trHeight w:val="300"/>
        </w:trPr>
        <w:tc>
          <w:tcPr>
            <w:tcW w:w="2300" w:type="dxa"/>
            <w:tcBorders>
              <w:top w:val="nil"/>
              <w:left w:val="single" w:sz="4" w:space="0" w:color="5B9BD5" w:themeColor="accent1"/>
              <w:bottom w:val="nil"/>
              <w:right w:val="single" w:sz="4" w:space="0" w:color="5B9BD5" w:themeColor="accent1"/>
            </w:tcBorders>
            <w:shd w:val="clear" w:color="auto" w:fill="auto"/>
            <w:noWrap/>
            <w:vAlign w:val="center"/>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Suicide</w:t>
            </w:r>
          </w:p>
        </w:tc>
        <w:tc>
          <w:tcPr>
            <w:tcW w:w="1420"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74.5</w:t>
            </w:r>
          </w:p>
        </w:tc>
        <w:tc>
          <w:tcPr>
            <w:tcW w:w="1383"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(59.0-94.2)</w:t>
            </w:r>
          </w:p>
        </w:tc>
        <w:tc>
          <w:tcPr>
            <w:tcW w:w="1117"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163.9</w:t>
            </w:r>
          </w:p>
        </w:tc>
        <w:tc>
          <w:tcPr>
            <w:tcW w:w="1577"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(100.3-267.7)</w:t>
            </w:r>
          </w:p>
        </w:tc>
        <w:tc>
          <w:tcPr>
            <w:tcW w:w="114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89.5</w:t>
            </w:r>
          </w:p>
        </w:tc>
        <w:tc>
          <w:tcPr>
            <w:tcW w:w="1380"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(72.6-110.2)</w:t>
            </w:r>
          </w:p>
        </w:tc>
        <w:tc>
          <w:tcPr>
            <w:tcW w:w="201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bCs/>
                <w:color w:val="000000"/>
                <w:sz w:val="16"/>
                <w:szCs w:val="16"/>
                <w:lang w:eastAsia="en-GB"/>
              </w:rPr>
            </w:pPr>
            <w:r w:rsidRPr="008D00F0">
              <w:rPr>
                <w:rFonts w:ascii="Times New Roman" w:eastAsia="Times New Roman" w:hAnsi="Times New Roman" w:cs="Times New Roman"/>
                <w:bCs/>
                <w:color w:val="000000"/>
                <w:sz w:val="16"/>
                <w:szCs w:val="16"/>
                <w:lang w:eastAsia="en-GB"/>
              </w:rPr>
              <w:t>2.2</w:t>
            </w:r>
          </w:p>
        </w:tc>
        <w:tc>
          <w:tcPr>
            <w:tcW w:w="1134" w:type="dxa"/>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bCs/>
                <w:color w:val="000000"/>
                <w:sz w:val="16"/>
                <w:szCs w:val="16"/>
                <w:lang w:eastAsia="en-GB"/>
              </w:rPr>
            </w:pPr>
            <w:r w:rsidRPr="008D00F0">
              <w:rPr>
                <w:rFonts w:ascii="Times New Roman" w:eastAsia="Times New Roman" w:hAnsi="Times New Roman" w:cs="Times New Roman"/>
                <w:bCs/>
                <w:color w:val="000000"/>
                <w:sz w:val="16"/>
                <w:szCs w:val="16"/>
                <w:lang w:eastAsia="en-GB"/>
              </w:rPr>
              <w:t>(1.3-3.8)</w:t>
            </w:r>
          </w:p>
        </w:tc>
        <w:tc>
          <w:tcPr>
            <w:tcW w:w="1166"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p=0.003</w:t>
            </w:r>
          </w:p>
        </w:tc>
      </w:tr>
      <w:tr w:rsidR="00293097" w:rsidRPr="008D00F0" w:rsidTr="00B831A2">
        <w:trPr>
          <w:trHeight w:val="300"/>
        </w:trPr>
        <w:tc>
          <w:tcPr>
            <w:tcW w:w="2300" w:type="dxa"/>
            <w:tcBorders>
              <w:top w:val="nil"/>
              <w:left w:val="single" w:sz="4" w:space="0" w:color="5B9BD5" w:themeColor="accent1"/>
              <w:bottom w:val="nil"/>
              <w:right w:val="single" w:sz="4" w:space="0" w:color="5B9BD5" w:themeColor="accent1"/>
            </w:tcBorders>
            <w:shd w:val="clear" w:color="auto" w:fill="auto"/>
            <w:noWrap/>
            <w:vAlign w:val="center"/>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Accidental death</w:t>
            </w:r>
          </w:p>
        </w:tc>
        <w:tc>
          <w:tcPr>
            <w:tcW w:w="1420"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21.0</w:t>
            </w:r>
          </w:p>
        </w:tc>
        <w:tc>
          <w:tcPr>
            <w:tcW w:w="1383"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(15.7-28.1)</w:t>
            </w:r>
          </w:p>
        </w:tc>
        <w:tc>
          <w:tcPr>
            <w:tcW w:w="1117"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41.3</w:t>
            </w:r>
          </w:p>
        </w:tc>
        <w:tc>
          <w:tcPr>
            <w:tcW w:w="1577"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(24.9-68.5)</w:t>
            </w:r>
          </w:p>
        </w:tc>
        <w:tc>
          <w:tcPr>
            <w:tcW w:w="114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25.1</w:t>
            </w:r>
          </w:p>
        </w:tc>
        <w:tc>
          <w:tcPr>
            <w:tcW w:w="1380"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(19.6-32.1)</w:t>
            </w:r>
          </w:p>
        </w:tc>
        <w:tc>
          <w:tcPr>
            <w:tcW w:w="201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bCs/>
                <w:color w:val="000000"/>
                <w:sz w:val="16"/>
                <w:szCs w:val="16"/>
                <w:lang w:eastAsia="en-GB"/>
              </w:rPr>
            </w:pPr>
            <w:r w:rsidRPr="008D00F0">
              <w:rPr>
                <w:rFonts w:ascii="Times New Roman" w:eastAsia="Times New Roman" w:hAnsi="Times New Roman" w:cs="Times New Roman"/>
                <w:bCs/>
                <w:color w:val="000000"/>
                <w:sz w:val="16"/>
                <w:szCs w:val="16"/>
                <w:lang w:eastAsia="en-GB"/>
              </w:rPr>
              <w:t>1.7</w:t>
            </w:r>
          </w:p>
        </w:tc>
        <w:tc>
          <w:tcPr>
            <w:tcW w:w="1134" w:type="dxa"/>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bCs/>
                <w:color w:val="000000"/>
                <w:sz w:val="16"/>
                <w:szCs w:val="16"/>
                <w:lang w:eastAsia="en-GB"/>
              </w:rPr>
            </w:pPr>
            <w:r w:rsidRPr="008D00F0">
              <w:rPr>
                <w:rFonts w:ascii="Times New Roman" w:eastAsia="Times New Roman" w:hAnsi="Times New Roman" w:cs="Times New Roman"/>
                <w:bCs/>
                <w:color w:val="000000"/>
                <w:sz w:val="16"/>
                <w:szCs w:val="16"/>
                <w:lang w:eastAsia="en-GB"/>
              </w:rPr>
              <w:t>(1.0-3.0)</w:t>
            </w:r>
          </w:p>
        </w:tc>
        <w:tc>
          <w:tcPr>
            <w:tcW w:w="1166"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p=0.044</w:t>
            </w:r>
          </w:p>
        </w:tc>
      </w:tr>
      <w:tr w:rsidR="00293097" w:rsidRPr="008D00F0" w:rsidTr="00B831A2">
        <w:trPr>
          <w:trHeight w:val="300"/>
        </w:trPr>
        <w:tc>
          <w:tcPr>
            <w:tcW w:w="2300" w:type="dxa"/>
            <w:tcBorders>
              <w:top w:val="nil"/>
              <w:left w:val="single" w:sz="4" w:space="0" w:color="5B9BD5" w:themeColor="accent1"/>
              <w:bottom w:val="nil"/>
              <w:right w:val="single" w:sz="4" w:space="0" w:color="5B9BD5" w:themeColor="accent1"/>
            </w:tcBorders>
            <w:shd w:val="clear" w:color="auto" w:fill="auto"/>
            <w:noWrap/>
            <w:vAlign w:val="center"/>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Alcohol-specific death</w:t>
            </w:r>
          </w:p>
        </w:tc>
        <w:tc>
          <w:tcPr>
            <w:tcW w:w="1420"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20.3</w:t>
            </w:r>
          </w:p>
        </w:tc>
        <w:tc>
          <w:tcPr>
            <w:tcW w:w="1383"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(14.7-28.0)</w:t>
            </w:r>
          </w:p>
        </w:tc>
        <w:tc>
          <w:tcPr>
            <w:tcW w:w="1117"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31.1</w:t>
            </w:r>
          </w:p>
        </w:tc>
        <w:tc>
          <w:tcPr>
            <w:tcW w:w="1577"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(20.1-48.1)</w:t>
            </w:r>
          </w:p>
        </w:tc>
        <w:tc>
          <w:tcPr>
            <w:tcW w:w="114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23.5</w:t>
            </w:r>
          </w:p>
        </w:tc>
        <w:tc>
          <w:tcPr>
            <w:tcW w:w="1380"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(18.2-30.4)</w:t>
            </w:r>
          </w:p>
        </w:tc>
        <w:tc>
          <w:tcPr>
            <w:tcW w:w="201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1.5</w:t>
            </w:r>
          </w:p>
        </w:tc>
        <w:tc>
          <w:tcPr>
            <w:tcW w:w="1134" w:type="dxa"/>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(0.9-2.6)</w:t>
            </w:r>
          </w:p>
        </w:tc>
        <w:tc>
          <w:tcPr>
            <w:tcW w:w="1166"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p=0.13</w:t>
            </w:r>
          </w:p>
        </w:tc>
      </w:tr>
      <w:tr w:rsidR="00293097" w:rsidRPr="008D00F0" w:rsidTr="00B831A2">
        <w:trPr>
          <w:trHeight w:val="300"/>
        </w:trPr>
        <w:tc>
          <w:tcPr>
            <w:tcW w:w="2300" w:type="dxa"/>
            <w:tcBorders>
              <w:top w:val="nil"/>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Drug-related death</w:t>
            </w:r>
          </w:p>
        </w:tc>
        <w:tc>
          <w:tcPr>
            <w:tcW w:w="1420" w:type="dxa"/>
            <w:tcBorders>
              <w:top w:val="nil"/>
              <w:left w:val="single" w:sz="4" w:space="0" w:color="5B9BD5" w:themeColor="accent1"/>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46.8</w:t>
            </w:r>
          </w:p>
        </w:tc>
        <w:tc>
          <w:tcPr>
            <w:tcW w:w="1383" w:type="dxa"/>
            <w:tcBorders>
              <w:top w:val="nil"/>
              <w:left w:val="nil"/>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(33.3-65.7)</w:t>
            </w:r>
          </w:p>
        </w:tc>
        <w:tc>
          <w:tcPr>
            <w:tcW w:w="1117" w:type="dxa"/>
            <w:tcBorders>
              <w:top w:val="nil"/>
              <w:left w:val="single" w:sz="4" w:space="0" w:color="5B9BD5" w:themeColor="accent1"/>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89.2</w:t>
            </w:r>
          </w:p>
        </w:tc>
        <w:tc>
          <w:tcPr>
            <w:tcW w:w="1577" w:type="dxa"/>
            <w:tcBorders>
              <w:top w:val="nil"/>
              <w:left w:val="nil"/>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(48.0-165.8)</w:t>
            </w:r>
          </w:p>
        </w:tc>
        <w:tc>
          <w:tcPr>
            <w:tcW w:w="1143" w:type="dxa"/>
            <w:tcBorders>
              <w:top w:val="nil"/>
              <w:left w:val="single" w:sz="4" w:space="0" w:color="5B9BD5" w:themeColor="accent1"/>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55.6</w:t>
            </w:r>
          </w:p>
        </w:tc>
        <w:tc>
          <w:tcPr>
            <w:tcW w:w="1380" w:type="dxa"/>
            <w:tcBorders>
              <w:top w:val="nil"/>
              <w:left w:val="nil"/>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(41.6-74.4)</w:t>
            </w:r>
          </w:p>
        </w:tc>
        <w:tc>
          <w:tcPr>
            <w:tcW w:w="2013" w:type="dxa"/>
            <w:tcBorders>
              <w:top w:val="nil"/>
              <w:left w:val="single" w:sz="4" w:space="0" w:color="5B9BD5" w:themeColor="accent1"/>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1.7</w:t>
            </w:r>
          </w:p>
        </w:tc>
        <w:tc>
          <w:tcPr>
            <w:tcW w:w="1134" w:type="dxa"/>
            <w:tcBorders>
              <w:top w:val="nil"/>
              <w:left w:val="nil"/>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(0.9-3.3)</w:t>
            </w:r>
          </w:p>
        </w:tc>
        <w:tc>
          <w:tcPr>
            <w:tcW w:w="1166" w:type="dxa"/>
            <w:tcBorders>
              <w:top w:val="nil"/>
              <w:left w:val="nil"/>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p=0.11</w:t>
            </w:r>
          </w:p>
        </w:tc>
      </w:tr>
      <w:tr w:rsidR="00293097" w:rsidRPr="008D00F0" w:rsidTr="00B831A2">
        <w:trPr>
          <w:trHeight w:val="300"/>
        </w:trPr>
        <w:tc>
          <w:tcPr>
            <w:tcW w:w="2300" w:type="dxa"/>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b/>
                <w:sz w:val="16"/>
                <w:szCs w:val="16"/>
                <w:lang w:eastAsia="en-GB"/>
              </w:rPr>
            </w:pPr>
          </w:p>
        </w:tc>
        <w:tc>
          <w:tcPr>
            <w:tcW w:w="1420" w:type="dxa"/>
            <w:tcBorders>
              <w:top w:val="nil"/>
              <w:left w:val="nil"/>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sz w:val="16"/>
                <w:szCs w:val="16"/>
                <w:lang w:eastAsia="en-GB"/>
              </w:rPr>
            </w:pPr>
          </w:p>
        </w:tc>
        <w:tc>
          <w:tcPr>
            <w:tcW w:w="1383" w:type="dxa"/>
            <w:tcBorders>
              <w:top w:val="nil"/>
              <w:left w:val="nil"/>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sz w:val="16"/>
                <w:szCs w:val="16"/>
                <w:lang w:eastAsia="en-GB"/>
              </w:rPr>
            </w:pPr>
          </w:p>
        </w:tc>
        <w:tc>
          <w:tcPr>
            <w:tcW w:w="1117" w:type="dxa"/>
            <w:tcBorders>
              <w:top w:val="nil"/>
              <w:left w:val="nil"/>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sz w:val="16"/>
                <w:szCs w:val="16"/>
                <w:lang w:eastAsia="en-GB"/>
              </w:rPr>
            </w:pPr>
          </w:p>
        </w:tc>
        <w:tc>
          <w:tcPr>
            <w:tcW w:w="1577" w:type="dxa"/>
            <w:tcBorders>
              <w:top w:val="nil"/>
              <w:left w:val="nil"/>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sz w:val="16"/>
                <w:szCs w:val="16"/>
                <w:lang w:eastAsia="en-GB"/>
              </w:rPr>
            </w:pPr>
          </w:p>
        </w:tc>
        <w:tc>
          <w:tcPr>
            <w:tcW w:w="1143" w:type="dxa"/>
            <w:tcBorders>
              <w:top w:val="nil"/>
              <w:left w:val="nil"/>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sz w:val="16"/>
                <w:szCs w:val="16"/>
                <w:lang w:eastAsia="en-GB"/>
              </w:rPr>
            </w:pPr>
          </w:p>
        </w:tc>
        <w:tc>
          <w:tcPr>
            <w:tcW w:w="1380" w:type="dxa"/>
            <w:tcBorders>
              <w:top w:val="nil"/>
              <w:left w:val="nil"/>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sz w:val="16"/>
                <w:szCs w:val="16"/>
                <w:lang w:eastAsia="en-GB"/>
              </w:rPr>
            </w:pPr>
          </w:p>
        </w:tc>
        <w:tc>
          <w:tcPr>
            <w:tcW w:w="2013" w:type="dxa"/>
            <w:tcBorders>
              <w:top w:val="nil"/>
              <w:left w:val="nil"/>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sz w:val="16"/>
                <w:szCs w:val="16"/>
                <w:lang w:eastAsia="en-GB"/>
              </w:rPr>
            </w:pPr>
          </w:p>
        </w:tc>
        <w:tc>
          <w:tcPr>
            <w:tcW w:w="1134" w:type="dxa"/>
            <w:tcBorders>
              <w:top w:val="nil"/>
              <w:left w:val="nil"/>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sz w:val="16"/>
                <w:szCs w:val="16"/>
                <w:lang w:eastAsia="en-GB"/>
              </w:rPr>
            </w:pPr>
          </w:p>
        </w:tc>
        <w:tc>
          <w:tcPr>
            <w:tcW w:w="1166" w:type="dxa"/>
            <w:tcBorders>
              <w:top w:val="nil"/>
              <w:left w:val="nil"/>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sz w:val="16"/>
                <w:szCs w:val="16"/>
                <w:lang w:eastAsia="en-GB"/>
              </w:rPr>
            </w:pPr>
          </w:p>
        </w:tc>
      </w:tr>
      <w:tr w:rsidR="00293097" w:rsidRPr="008D00F0" w:rsidTr="00B831A2">
        <w:trPr>
          <w:trHeight w:val="300"/>
        </w:trPr>
        <w:tc>
          <w:tcPr>
            <w:tcW w:w="2300"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b/>
                <w:sz w:val="16"/>
                <w:szCs w:val="16"/>
                <w:lang w:eastAsia="en-GB"/>
              </w:rPr>
            </w:pPr>
          </w:p>
        </w:tc>
        <w:tc>
          <w:tcPr>
            <w:tcW w:w="280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Older men (65 and over)</w:t>
            </w:r>
          </w:p>
        </w:tc>
        <w:tc>
          <w:tcPr>
            <w:tcW w:w="269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Older women (65 and over)</w:t>
            </w:r>
          </w:p>
        </w:tc>
        <w:tc>
          <w:tcPr>
            <w:tcW w:w="252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Total</w:t>
            </w:r>
          </w:p>
        </w:tc>
        <w:tc>
          <w:tcPr>
            <w:tcW w:w="2013" w:type="dxa"/>
            <w:tcBorders>
              <w:top w:val="single" w:sz="4" w:space="0" w:color="5B9BD5" w:themeColor="accent1"/>
              <w:left w:val="single" w:sz="4" w:space="0" w:color="5B9BD5" w:themeColor="accent1"/>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b/>
                <w:color w:val="000000"/>
                <w:sz w:val="16"/>
                <w:szCs w:val="16"/>
                <w:lang w:eastAsia="en-GB"/>
              </w:rPr>
            </w:pPr>
          </w:p>
        </w:tc>
        <w:tc>
          <w:tcPr>
            <w:tcW w:w="1134" w:type="dxa"/>
            <w:tcBorders>
              <w:top w:val="single" w:sz="4" w:space="0" w:color="5B9BD5" w:themeColor="accent1"/>
              <w:left w:val="nil"/>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sz w:val="16"/>
                <w:szCs w:val="16"/>
                <w:lang w:eastAsia="en-GB"/>
              </w:rPr>
            </w:pPr>
          </w:p>
        </w:tc>
        <w:tc>
          <w:tcPr>
            <w:tcW w:w="1166" w:type="dxa"/>
            <w:tcBorders>
              <w:top w:val="single" w:sz="4" w:space="0" w:color="5B9BD5" w:themeColor="accent1"/>
              <w:left w:val="nil"/>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sz w:val="16"/>
                <w:szCs w:val="16"/>
                <w:lang w:eastAsia="en-GB"/>
              </w:rPr>
            </w:pPr>
          </w:p>
        </w:tc>
      </w:tr>
      <w:tr w:rsidR="00293097" w:rsidRPr="008D00F0" w:rsidTr="00B831A2">
        <w:trPr>
          <w:trHeight w:val="910"/>
        </w:trPr>
        <w:tc>
          <w:tcPr>
            <w:tcW w:w="2300" w:type="dxa"/>
            <w:tcBorders>
              <w:top w:val="nil"/>
              <w:left w:val="nil"/>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b/>
                <w:sz w:val="16"/>
                <w:szCs w:val="16"/>
                <w:lang w:eastAsia="en-GB"/>
              </w:rPr>
            </w:pPr>
          </w:p>
        </w:tc>
        <w:tc>
          <w:tcPr>
            <w:tcW w:w="1420" w:type="dxa"/>
            <w:tcBorders>
              <w:top w:val="single" w:sz="4" w:space="0" w:color="5B9BD5" w:themeColor="accent1"/>
              <w:left w:val="single" w:sz="4" w:space="0" w:color="5B9BD5" w:themeColor="accent1"/>
              <w:bottom w:val="single" w:sz="4" w:space="0" w:color="5B9BD5" w:themeColor="accent1"/>
              <w:right w:val="nil"/>
            </w:tcBorders>
            <w:shd w:val="clear" w:color="auto" w:fill="auto"/>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Hazard Ratio*</w:t>
            </w:r>
          </w:p>
        </w:tc>
        <w:tc>
          <w:tcPr>
            <w:tcW w:w="1383" w:type="dxa"/>
            <w:tcBorders>
              <w:top w:val="single" w:sz="4" w:space="0" w:color="5B9BD5" w:themeColor="accent1"/>
              <w:left w:val="nil"/>
              <w:bottom w:val="single" w:sz="4" w:space="0" w:color="5B9BD5" w:themeColor="accent1"/>
              <w:right w:val="single" w:sz="4" w:space="0" w:color="5B9BD5" w:themeColor="accent1"/>
            </w:tcBorders>
            <w:shd w:val="clear" w:color="auto" w:fill="auto"/>
            <w:vAlign w:val="bottom"/>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(95% CI)</w:t>
            </w:r>
          </w:p>
        </w:tc>
        <w:tc>
          <w:tcPr>
            <w:tcW w:w="1117" w:type="dxa"/>
            <w:tcBorders>
              <w:top w:val="single" w:sz="4" w:space="0" w:color="5B9BD5" w:themeColor="accent1"/>
              <w:left w:val="single" w:sz="4" w:space="0" w:color="5B9BD5" w:themeColor="accent1"/>
              <w:bottom w:val="single" w:sz="4" w:space="0" w:color="5B9BD5" w:themeColor="accent1"/>
              <w:right w:val="nil"/>
            </w:tcBorders>
            <w:shd w:val="clear" w:color="auto" w:fill="auto"/>
            <w:vAlign w:val="bottom"/>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Hazard Ratio*</w:t>
            </w:r>
          </w:p>
        </w:tc>
        <w:tc>
          <w:tcPr>
            <w:tcW w:w="1577" w:type="dxa"/>
            <w:tcBorders>
              <w:top w:val="single" w:sz="4" w:space="0" w:color="5B9BD5" w:themeColor="accent1"/>
              <w:left w:val="nil"/>
              <w:bottom w:val="single" w:sz="4" w:space="0" w:color="5B9BD5" w:themeColor="accent1"/>
              <w:right w:val="single" w:sz="4" w:space="0" w:color="5B9BD5" w:themeColor="accent1"/>
            </w:tcBorders>
            <w:shd w:val="clear" w:color="auto" w:fill="auto"/>
            <w:vAlign w:val="bottom"/>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(95% CI)</w:t>
            </w:r>
          </w:p>
        </w:tc>
        <w:tc>
          <w:tcPr>
            <w:tcW w:w="1143" w:type="dxa"/>
            <w:tcBorders>
              <w:top w:val="single" w:sz="4" w:space="0" w:color="5B9BD5" w:themeColor="accent1"/>
              <w:left w:val="single" w:sz="4" w:space="0" w:color="5B9BD5" w:themeColor="accent1"/>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Hazard Ratio*</w:t>
            </w:r>
          </w:p>
        </w:tc>
        <w:tc>
          <w:tcPr>
            <w:tcW w:w="1380" w:type="dxa"/>
            <w:tcBorders>
              <w:top w:val="single" w:sz="4" w:space="0" w:color="5B9BD5" w:themeColor="accent1"/>
              <w:left w:val="nil"/>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(95% CI)</w:t>
            </w:r>
          </w:p>
        </w:tc>
        <w:tc>
          <w:tcPr>
            <w:tcW w:w="2013" w:type="dxa"/>
            <w:tcBorders>
              <w:top w:val="nil"/>
              <w:left w:val="single" w:sz="4" w:space="0" w:color="5B9BD5" w:themeColor="accent1"/>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b/>
                <w:sz w:val="16"/>
                <w:szCs w:val="16"/>
                <w:lang w:eastAsia="en-GB"/>
              </w:rPr>
            </w:pPr>
            <w:r w:rsidRPr="008D00F0">
              <w:rPr>
                <w:rFonts w:ascii="Times New Roman" w:eastAsia="Times New Roman" w:hAnsi="Times New Roman" w:cs="Times New Roman"/>
                <w:b/>
                <w:color w:val="000000"/>
                <w:sz w:val="16"/>
                <w:szCs w:val="16"/>
                <w:lang w:eastAsia="en-GB"/>
              </w:rPr>
              <w:t xml:space="preserve">Interaction term </w:t>
            </w:r>
            <w:r w:rsidRPr="008D00F0">
              <w:rPr>
                <w:rFonts w:ascii="Times New Roman" w:eastAsia="Times New Roman" w:hAnsi="Times New Roman" w:cs="Times New Roman"/>
                <w:b/>
                <w:color w:val="000000"/>
                <w:sz w:val="16"/>
                <w:szCs w:val="16"/>
                <w:lang w:eastAsia="en-GB"/>
              </w:rPr>
              <w:br/>
              <w:t>HR (women compared to men)</w:t>
            </w:r>
          </w:p>
        </w:tc>
        <w:tc>
          <w:tcPr>
            <w:tcW w:w="1134" w:type="dxa"/>
            <w:tcBorders>
              <w:top w:val="nil"/>
              <w:left w:val="nil"/>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sz w:val="16"/>
                <w:szCs w:val="16"/>
                <w:lang w:eastAsia="en-GB"/>
              </w:rPr>
            </w:pPr>
            <w:r w:rsidRPr="008D00F0">
              <w:rPr>
                <w:rFonts w:ascii="Times New Roman" w:eastAsia="Times New Roman" w:hAnsi="Times New Roman" w:cs="Times New Roman"/>
                <w:b/>
                <w:color w:val="000000"/>
                <w:sz w:val="16"/>
                <w:szCs w:val="16"/>
                <w:lang w:eastAsia="en-GB"/>
              </w:rPr>
              <w:t>(95% CI)</w:t>
            </w:r>
          </w:p>
        </w:tc>
        <w:tc>
          <w:tcPr>
            <w:tcW w:w="1166" w:type="dxa"/>
            <w:tcBorders>
              <w:top w:val="single" w:sz="4" w:space="0" w:color="5B9BD5" w:themeColor="accent1"/>
              <w:left w:val="nil"/>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sz w:val="16"/>
                <w:szCs w:val="16"/>
                <w:lang w:eastAsia="en-GB"/>
              </w:rPr>
            </w:pPr>
          </w:p>
        </w:tc>
      </w:tr>
      <w:tr w:rsidR="00293097" w:rsidRPr="008D00F0" w:rsidTr="00B831A2">
        <w:trPr>
          <w:trHeight w:val="300"/>
        </w:trPr>
        <w:tc>
          <w:tcPr>
            <w:tcW w:w="2300" w:type="dxa"/>
            <w:tcBorders>
              <w:top w:val="nil"/>
              <w:left w:val="single" w:sz="4" w:space="0" w:color="5B9BD5" w:themeColor="accent1"/>
              <w:bottom w:val="nil"/>
              <w:right w:val="single" w:sz="4" w:space="0" w:color="5B9BD5" w:themeColor="accent1"/>
            </w:tcBorders>
            <w:shd w:val="clear" w:color="auto" w:fill="auto"/>
            <w:noWrap/>
            <w:vAlign w:val="center"/>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All causes</w:t>
            </w:r>
          </w:p>
        </w:tc>
        <w:tc>
          <w:tcPr>
            <w:tcW w:w="1420"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3.5</w:t>
            </w:r>
          </w:p>
        </w:tc>
        <w:tc>
          <w:tcPr>
            <w:tcW w:w="1383"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(3.3-3.6)</w:t>
            </w:r>
          </w:p>
        </w:tc>
        <w:tc>
          <w:tcPr>
            <w:tcW w:w="1117"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2.6</w:t>
            </w:r>
          </w:p>
        </w:tc>
        <w:tc>
          <w:tcPr>
            <w:tcW w:w="1577"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(2.5-2.8)</w:t>
            </w:r>
          </w:p>
        </w:tc>
        <w:tc>
          <w:tcPr>
            <w:tcW w:w="114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3.0</w:t>
            </w:r>
          </w:p>
        </w:tc>
        <w:tc>
          <w:tcPr>
            <w:tcW w:w="1380"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(2.9-3.1)</w:t>
            </w:r>
          </w:p>
        </w:tc>
        <w:tc>
          <w:tcPr>
            <w:tcW w:w="201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bCs/>
                <w:color w:val="000000"/>
                <w:sz w:val="16"/>
                <w:szCs w:val="16"/>
                <w:lang w:eastAsia="en-GB"/>
              </w:rPr>
            </w:pPr>
            <w:r w:rsidRPr="008D00F0">
              <w:rPr>
                <w:rFonts w:ascii="Times New Roman" w:eastAsia="Times New Roman" w:hAnsi="Times New Roman" w:cs="Times New Roman"/>
                <w:bCs/>
                <w:color w:val="000000"/>
                <w:sz w:val="16"/>
                <w:szCs w:val="16"/>
                <w:lang w:eastAsia="en-GB"/>
              </w:rPr>
              <w:t>0.8</w:t>
            </w:r>
          </w:p>
        </w:tc>
        <w:tc>
          <w:tcPr>
            <w:tcW w:w="1134" w:type="dxa"/>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bCs/>
                <w:color w:val="000000"/>
                <w:sz w:val="16"/>
                <w:szCs w:val="16"/>
                <w:lang w:eastAsia="en-GB"/>
              </w:rPr>
            </w:pPr>
            <w:r w:rsidRPr="008D00F0">
              <w:rPr>
                <w:rFonts w:ascii="Times New Roman" w:eastAsia="Times New Roman" w:hAnsi="Times New Roman" w:cs="Times New Roman"/>
                <w:bCs/>
                <w:color w:val="000000"/>
                <w:sz w:val="16"/>
                <w:szCs w:val="16"/>
                <w:lang w:eastAsia="en-GB"/>
              </w:rPr>
              <w:t>(0.7-0.8)</w:t>
            </w:r>
          </w:p>
        </w:tc>
        <w:tc>
          <w:tcPr>
            <w:tcW w:w="1166"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P&lt;0.001</w:t>
            </w:r>
          </w:p>
        </w:tc>
      </w:tr>
      <w:tr w:rsidR="00293097" w:rsidRPr="008D00F0" w:rsidTr="00B831A2">
        <w:trPr>
          <w:trHeight w:val="300"/>
        </w:trPr>
        <w:tc>
          <w:tcPr>
            <w:tcW w:w="2300" w:type="dxa"/>
            <w:tcBorders>
              <w:top w:val="nil"/>
              <w:left w:val="single" w:sz="4" w:space="0" w:color="5B9BD5" w:themeColor="accent1"/>
              <w:bottom w:val="nil"/>
              <w:right w:val="single" w:sz="4" w:space="0" w:color="5B9BD5" w:themeColor="accent1"/>
            </w:tcBorders>
            <w:shd w:val="clear" w:color="auto" w:fill="auto"/>
            <w:noWrap/>
            <w:vAlign w:val="center"/>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Natural causes</w:t>
            </w:r>
          </w:p>
        </w:tc>
        <w:tc>
          <w:tcPr>
            <w:tcW w:w="1420"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3.3</w:t>
            </w:r>
          </w:p>
        </w:tc>
        <w:tc>
          <w:tcPr>
            <w:tcW w:w="1383"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(3.1-3.5)</w:t>
            </w:r>
          </w:p>
        </w:tc>
        <w:tc>
          <w:tcPr>
            <w:tcW w:w="1117"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2.6</w:t>
            </w:r>
          </w:p>
        </w:tc>
        <w:tc>
          <w:tcPr>
            <w:tcW w:w="1577"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(2.4-2.7)</w:t>
            </w:r>
          </w:p>
        </w:tc>
        <w:tc>
          <w:tcPr>
            <w:tcW w:w="114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2.9</w:t>
            </w:r>
          </w:p>
        </w:tc>
        <w:tc>
          <w:tcPr>
            <w:tcW w:w="1380"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(2.7-3.0)</w:t>
            </w:r>
          </w:p>
        </w:tc>
        <w:tc>
          <w:tcPr>
            <w:tcW w:w="201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bCs/>
                <w:color w:val="000000"/>
                <w:sz w:val="16"/>
                <w:szCs w:val="16"/>
                <w:lang w:eastAsia="en-GB"/>
              </w:rPr>
            </w:pPr>
            <w:r w:rsidRPr="008D00F0">
              <w:rPr>
                <w:rFonts w:ascii="Times New Roman" w:eastAsia="Times New Roman" w:hAnsi="Times New Roman" w:cs="Times New Roman"/>
                <w:bCs/>
                <w:color w:val="000000"/>
                <w:sz w:val="16"/>
                <w:szCs w:val="16"/>
                <w:lang w:eastAsia="en-GB"/>
              </w:rPr>
              <w:t>0.8</w:t>
            </w:r>
          </w:p>
        </w:tc>
        <w:tc>
          <w:tcPr>
            <w:tcW w:w="1134" w:type="dxa"/>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bCs/>
                <w:color w:val="000000"/>
                <w:sz w:val="16"/>
                <w:szCs w:val="16"/>
                <w:lang w:eastAsia="en-GB"/>
              </w:rPr>
            </w:pPr>
            <w:r w:rsidRPr="008D00F0">
              <w:rPr>
                <w:rFonts w:ascii="Times New Roman" w:eastAsia="Times New Roman" w:hAnsi="Times New Roman" w:cs="Times New Roman"/>
                <w:bCs/>
                <w:color w:val="000000"/>
                <w:sz w:val="16"/>
                <w:szCs w:val="16"/>
                <w:lang w:eastAsia="en-GB"/>
              </w:rPr>
              <w:t>(0.7-0.8)</w:t>
            </w:r>
          </w:p>
        </w:tc>
        <w:tc>
          <w:tcPr>
            <w:tcW w:w="1166"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P&lt;0.001</w:t>
            </w:r>
          </w:p>
        </w:tc>
      </w:tr>
      <w:tr w:rsidR="00293097" w:rsidRPr="008D00F0" w:rsidTr="00B831A2">
        <w:trPr>
          <w:trHeight w:val="300"/>
        </w:trPr>
        <w:tc>
          <w:tcPr>
            <w:tcW w:w="2300" w:type="dxa"/>
            <w:tcBorders>
              <w:top w:val="nil"/>
              <w:left w:val="single" w:sz="4" w:space="0" w:color="5B9BD5" w:themeColor="accent1"/>
              <w:bottom w:val="nil"/>
              <w:right w:val="single" w:sz="4" w:space="0" w:color="5B9BD5" w:themeColor="accent1"/>
            </w:tcBorders>
            <w:shd w:val="clear" w:color="auto" w:fill="auto"/>
            <w:noWrap/>
            <w:vAlign w:val="center"/>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External causes</w:t>
            </w:r>
          </w:p>
        </w:tc>
        <w:tc>
          <w:tcPr>
            <w:tcW w:w="1420"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11.4</w:t>
            </w:r>
          </w:p>
        </w:tc>
        <w:tc>
          <w:tcPr>
            <w:tcW w:w="1383"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(8.7-15.0)</w:t>
            </w:r>
          </w:p>
        </w:tc>
        <w:tc>
          <w:tcPr>
            <w:tcW w:w="1117"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7.7</w:t>
            </w:r>
          </w:p>
        </w:tc>
        <w:tc>
          <w:tcPr>
            <w:tcW w:w="1577"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(6.0-9.9)</w:t>
            </w:r>
          </w:p>
        </w:tc>
        <w:tc>
          <w:tcPr>
            <w:tcW w:w="114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9.2</w:t>
            </w:r>
          </w:p>
        </w:tc>
        <w:tc>
          <w:tcPr>
            <w:tcW w:w="1380"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(7.6-11.0)</w:t>
            </w:r>
          </w:p>
        </w:tc>
        <w:tc>
          <w:tcPr>
            <w:tcW w:w="201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0.7</w:t>
            </w:r>
          </w:p>
        </w:tc>
        <w:tc>
          <w:tcPr>
            <w:tcW w:w="1134" w:type="dxa"/>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(0.5-1.0)</w:t>
            </w:r>
          </w:p>
        </w:tc>
        <w:tc>
          <w:tcPr>
            <w:tcW w:w="1166"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p=0.036</w:t>
            </w:r>
          </w:p>
        </w:tc>
      </w:tr>
      <w:tr w:rsidR="00293097" w:rsidRPr="008D00F0" w:rsidTr="00B831A2">
        <w:trPr>
          <w:trHeight w:val="300"/>
        </w:trPr>
        <w:tc>
          <w:tcPr>
            <w:tcW w:w="2300" w:type="dxa"/>
            <w:tcBorders>
              <w:top w:val="nil"/>
              <w:left w:val="single" w:sz="4" w:space="0" w:color="5B9BD5" w:themeColor="accent1"/>
              <w:bottom w:val="nil"/>
              <w:right w:val="single" w:sz="4" w:space="0" w:color="5B9BD5" w:themeColor="accent1"/>
            </w:tcBorders>
            <w:shd w:val="clear" w:color="auto" w:fill="auto"/>
            <w:noWrap/>
            <w:vAlign w:val="center"/>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Suicide</w:t>
            </w:r>
          </w:p>
        </w:tc>
        <w:tc>
          <w:tcPr>
            <w:tcW w:w="1420"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67.7</w:t>
            </w:r>
          </w:p>
        </w:tc>
        <w:tc>
          <w:tcPr>
            <w:tcW w:w="1383"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(37.2-123.1)</w:t>
            </w:r>
          </w:p>
        </w:tc>
        <w:tc>
          <w:tcPr>
            <w:tcW w:w="1117"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62.9</w:t>
            </w:r>
          </w:p>
        </w:tc>
        <w:tc>
          <w:tcPr>
            <w:tcW w:w="1577"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(29.8-132.7)</w:t>
            </w:r>
          </w:p>
        </w:tc>
        <w:tc>
          <w:tcPr>
            <w:tcW w:w="114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58.7</w:t>
            </w:r>
          </w:p>
        </w:tc>
        <w:tc>
          <w:tcPr>
            <w:tcW w:w="1380"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(38.1-90.4)</w:t>
            </w:r>
          </w:p>
        </w:tc>
        <w:tc>
          <w:tcPr>
            <w:tcW w:w="2013" w:type="dxa"/>
            <w:tcBorders>
              <w:top w:val="nil"/>
              <w:left w:val="single" w:sz="4" w:space="0" w:color="5B9BD5" w:themeColor="accent1"/>
              <w:bottom w:val="nil"/>
              <w:right w:val="nil"/>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0.8</w:t>
            </w:r>
          </w:p>
        </w:tc>
        <w:tc>
          <w:tcPr>
            <w:tcW w:w="1134" w:type="dxa"/>
            <w:tcBorders>
              <w:top w:val="nil"/>
              <w:left w:val="nil"/>
              <w:bottom w:val="nil"/>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(0.4-2.0)</w:t>
            </w:r>
          </w:p>
        </w:tc>
        <w:tc>
          <w:tcPr>
            <w:tcW w:w="1166" w:type="dxa"/>
            <w:tcBorders>
              <w:top w:val="nil"/>
              <w:left w:val="nil"/>
              <w:bottom w:val="nil"/>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p=0.70</w:t>
            </w:r>
          </w:p>
        </w:tc>
      </w:tr>
      <w:tr w:rsidR="00293097" w:rsidRPr="008D00F0" w:rsidTr="00B831A2">
        <w:trPr>
          <w:trHeight w:val="300"/>
        </w:trPr>
        <w:tc>
          <w:tcPr>
            <w:tcW w:w="2300" w:type="dxa"/>
            <w:tcBorders>
              <w:top w:val="nil"/>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293097" w:rsidRPr="008D00F0" w:rsidRDefault="00293097" w:rsidP="00B831A2">
            <w:pPr>
              <w:spacing w:after="0" w:line="240" w:lineRule="auto"/>
              <w:rPr>
                <w:rFonts w:ascii="Times New Roman" w:eastAsia="Times New Roman" w:hAnsi="Times New Roman" w:cs="Times New Roman"/>
                <w:b/>
                <w:color w:val="000000"/>
                <w:sz w:val="16"/>
                <w:szCs w:val="16"/>
                <w:lang w:eastAsia="en-GB"/>
              </w:rPr>
            </w:pPr>
            <w:r w:rsidRPr="008D00F0">
              <w:rPr>
                <w:rFonts w:ascii="Times New Roman" w:eastAsia="Times New Roman" w:hAnsi="Times New Roman" w:cs="Times New Roman"/>
                <w:b/>
                <w:color w:val="000000"/>
                <w:sz w:val="16"/>
                <w:szCs w:val="16"/>
                <w:lang w:eastAsia="en-GB"/>
              </w:rPr>
              <w:t>Accidental death</w:t>
            </w:r>
          </w:p>
        </w:tc>
        <w:tc>
          <w:tcPr>
            <w:tcW w:w="1420" w:type="dxa"/>
            <w:tcBorders>
              <w:top w:val="nil"/>
              <w:left w:val="single" w:sz="4" w:space="0" w:color="5B9BD5" w:themeColor="accent1"/>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4.9</w:t>
            </w:r>
          </w:p>
        </w:tc>
        <w:tc>
          <w:tcPr>
            <w:tcW w:w="1383" w:type="dxa"/>
            <w:tcBorders>
              <w:top w:val="nil"/>
              <w:left w:val="nil"/>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(3.3-7.2)</w:t>
            </w:r>
          </w:p>
        </w:tc>
        <w:tc>
          <w:tcPr>
            <w:tcW w:w="1117" w:type="dxa"/>
            <w:tcBorders>
              <w:top w:val="nil"/>
              <w:left w:val="single" w:sz="4" w:space="0" w:color="5B9BD5" w:themeColor="accent1"/>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5.1</w:t>
            </w:r>
          </w:p>
        </w:tc>
        <w:tc>
          <w:tcPr>
            <w:tcW w:w="1577" w:type="dxa"/>
            <w:tcBorders>
              <w:top w:val="nil"/>
              <w:left w:val="nil"/>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(3.7-7.0)</w:t>
            </w:r>
          </w:p>
        </w:tc>
        <w:tc>
          <w:tcPr>
            <w:tcW w:w="1143" w:type="dxa"/>
            <w:tcBorders>
              <w:top w:val="nil"/>
              <w:left w:val="single" w:sz="4" w:space="0" w:color="5B9BD5" w:themeColor="accent1"/>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jc w:val="right"/>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5.0</w:t>
            </w:r>
          </w:p>
        </w:tc>
        <w:tc>
          <w:tcPr>
            <w:tcW w:w="1380" w:type="dxa"/>
            <w:tcBorders>
              <w:top w:val="nil"/>
              <w:left w:val="nil"/>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(3.9-6.4)</w:t>
            </w:r>
          </w:p>
        </w:tc>
        <w:tc>
          <w:tcPr>
            <w:tcW w:w="2013" w:type="dxa"/>
            <w:tcBorders>
              <w:top w:val="nil"/>
              <w:left w:val="single" w:sz="4" w:space="0" w:color="5B9BD5" w:themeColor="accent1"/>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jc w:val="center"/>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1.1</w:t>
            </w:r>
          </w:p>
        </w:tc>
        <w:tc>
          <w:tcPr>
            <w:tcW w:w="1134" w:type="dxa"/>
            <w:tcBorders>
              <w:top w:val="nil"/>
              <w:left w:val="nil"/>
              <w:bottom w:val="single" w:sz="4" w:space="0" w:color="5B9BD5" w:themeColor="accent1"/>
              <w:right w:val="nil"/>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(0.6-1.7)</w:t>
            </w:r>
          </w:p>
        </w:tc>
        <w:tc>
          <w:tcPr>
            <w:tcW w:w="1166" w:type="dxa"/>
            <w:tcBorders>
              <w:top w:val="nil"/>
              <w:left w:val="nil"/>
              <w:bottom w:val="single" w:sz="4" w:space="0" w:color="5B9BD5" w:themeColor="accent1"/>
              <w:right w:val="single" w:sz="4" w:space="0" w:color="5B9BD5" w:themeColor="accent1"/>
            </w:tcBorders>
            <w:shd w:val="clear" w:color="auto" w:fill="auto"/>
            <w:noWrap/>
            <w:vAlign w:val="bottom"/>
            <w:hideMark/>
          </w:tcPr>
          <w:p w:rsidR="00293097" w:rsidRPr="008D00F0" w:rsidRDefault="00293097" w:rsidP="00B831A2">
            <w:pPr>
              <w:spacing w:after="0" w:line="240" w:lineRule="auto"/>
              <w:rPr>
                <w:rFonts w:ascii="Times New Roman" w:eastAsia="Times New Roman" w:hAnsi="Times New Roman" w:cs="Times New Roman"/>
                <w:color w:val="000000"/>
                <w:sz w:val="16"/>
                <w:szCs w:val="16"/>
                <w:lang w:eastAsia="en-GB"/>
              </w:rPr>
            </w:pPr>
            <w:r w:rsidRPr="008D00F0">
              <w:rPr>
                <w:rFonts w:ascii="Times New Roman" w:eastAsia="Times New Roman" w:hAnsi="Times New Roman" w:cs="Times New Roman"/>
                <w:color w:val="000000"/>
                <w:sz w:val="16"/>
                <w:szCs w:val="16"/>
                <w:lang w:eastAsia="en-GB"/>
              </w:rPr>
              <w:t>p=0.83</w:t>
            </w:r>
          </w:p>
        </w:tc>
      </w:tr>
    </w:tbl>
    <w:p w:rsidR="00293097" w:rsidRPr="008D00F0" w:rsidRDefault="00293097" w:rsidP="00B831A2">
      <w:pPr>
        <w:rPr>
          <w:rFonts w:ascii="Times New Roman" w:hAnsi="Times New Roman" w:cs="Times New Roman"/>
          <w:sz w:val="20"/>
          <w:szCs w:val="20"/>
        </w:rPr>
      </w:pPr>
      <w:r w:rsidRPr="008D00F0">
        <w:rPr>
          <w:rFonts w:ascii="Times New Roman" w:hAnsi="Times New Roman" w:cs="Times New Roman"/>
          <w:sz w:val="20"/>
          <w:szCs w:val="20"/>
        </w:rPr>
        <w:t>*Adjusted for patient-level IMD quintile</w:t>
      </w:r>
    </w:p>
    <w:p w:rsidR="00293097" w:rsidRPr="008D00F0" w:rsidRDefault="00293097">
      <w:pPr>
        <w:rPr>
          <w:rFonts w:ascii="Times New Roman" w:hAnsi="Times New Roman" w:cs="Times New Roman"/>
        </w:rPr>
        <w:sectPr w:rsidR="00293097" w:rsidRPr="008D00F0" w:rsidSect="00B831A2">
          <w:pgSz w:w="16838" w:h="11906" w:orient="landscape"/>
          <w:pgMar w:top="993" w:right="1440" w:bottom="1440" w:left="1440" w:header="708" w:footer="708" w:gutter="0"/>
          <w:cols w:space="708"/>
          <w:docGrid w:linePitch="360"/>
        </w:sectPr>
      </w:pPr>
    </w:p>
    <w:p w:rsidR="00293097" w:rsidRPr="008D00F0" w:rsidRDefault="00293097" w:rsidP="00B831A2">
      <w:pPr>
        <w:spacing w:after="0"/>
        <w:rPr>
          <w:rFonts w:ascii="Times New Roman" w:hAnsi="Times New Roman" w:cs="Times New Roman"/>
          <w:b/>
          <w:sz w:val="20"/>
          <w:szCs w:val="20"/>
          <w:lang w:val="en-US"/>
        </w:rPr>
      </w:pPr>
      <w:r w:rsidRPr="008D00F0">
        <w:rPr>
          <w:rFonts w:ascii="Times New Roman" w:hAnsi="Times New Roman" w:cs="Times New Roman"/>
          <w:b/>
          <w:sz w:val="20"/>
          <w:szCs w:val="20"/>
        </w:rPr>
        <w:lastRenderedPageBreak/>
        <w:t xml:space="preserve">Figure S2 – </w:t>
      </w:r>
      <w:r w:rsidRPr="008D00F0">
        <w:rPr>
          <w:rFonts w:ascii="Times New Roman" w:hAnsi="Times New Roman" w:cs="Times New Roman"/>
          <w:b/>
          <w:sz w:val="20"/>
          <w:szCs w:val="20"/>
          <w:lang w:val="en-US"/>
        </w:rPr>
        <w:t>Relative risk of suicide in people discharged from psychiatric inpatient care by age group and gender during the first year after discharge</w:t>
      </w:r>
    </w:p>
    <w:p w:rsidR="00293097" w:rsidRPr="008D00F0" w:rsidRDefault="00293097">
      <w:pPr>
        <w:rPr>
          <w:rFonts w:ascii="Times New Roman" w:hAnsi="Times New Roman" w:cs="Times New Roman"/>
          <w:b/>
          <w:sz w:val="20"/>
          <w:szCs w:val="20"/>
        </w:rPr>
      </w:pPr>
    </w:p>
    <w:p w:rsidR="00293097" w:rsidRPr="008D00F0" w:rsidRDefault="00293097">
      <w:pPr>
        <w:rPr>
          <w:rFonts w:ascii="Times New Roman" w:hAnsi="Times New Roman" w:cs="Times New Roman"/>
          <w:b/>
          <w:sz w:val="20"/>
          <w:szCs w:val="20"/>
        </w:rPr>
      </w:pPr>
      <w:r w:rsidRPr="008D00F0">
        <w:rPr>
          <w:noProof/>
          <w:lang w:eastAsia="en-GB"/>
        </w:rPr>
        <w:drawing>
          <wp:inline distT="0" distB="0" distL="0" distR="0" wp14:anchorId="679DFA26" wp14:editId="0151A8FB">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3097" w:rsidRPr="008D00F0" w:rsidRDefault="00293097" w:rsidP="00B831A2">
      <w:pPr>
        <w:rPr>
          <w:color w:val="595959" w:themeColor="text1" w:themeTint="A6"/>
          <w:sz w:val="20"/>
          <w:szCs w:val="20"/>
          <w:lang w:val="en-US"/>
        </w:rPr>
      </w:pPr>
      <w:r w:rsidRPr="008D00F0">
        <w:rPr>
          <w:color w:val="595959" w:themeColor="text1" w:themeTint="A6"/>
          <w:sz w:val="20"/>
          <w:szCs w:val="20"/>
          <w:lang w:val="en-US"/>
        </w:rPr>
        <w:t>*</w:t>
      </w:r>
      <w:r w:rsidRPr="008D00F0">
        <w:rPr>
          <w:color w:val="595959" w:themeColor="text1" w:themeTint="A6"/>
          <w:sz w:val="16"/>
          <w:szCs w:val="16"/>
        </w:rPr>
        <w:t xml:space="preserve"> All analysis adjusted for Index of multiple deprivation (IMD) at patient level</w:t>
      </w:r>
      <w:r w:rsidRPr="008D00F0">
        <w:rPr>
          <w:color w:val="595959" w:themeColor="text1" w:themeTint="A6"/>
          <w:sz w:val="16"/>
          <w:szCs w:val="16"/>
          <w:lang w:val="en-US"/>
        </w:rPr>
        <w:t>.</w:t>
      </w:r>
      <w:r w:rsidRPr="008D00F0">
        <w:rPr>
          <w:color w:val="595959" w:themeColor="text1" w:themeTint="A6"/>
          <w:sz w:val="20"/>
          <w:szCs w:val="20"/>
          <w:lang w:val="en-US"/>
        </w:rPr>
        <w:t xml:space="preserve"> </w:t>
      </w:r>
      <w:r w:rsidRPr="008D00F0">
        <w:rPr>
          <w:sz w:val="16"/>
          <w:szCs w:val="16"/>
        </w:rPr>
        <w:t>Error bars show 95% Cis.</w:t>
      </w:r>
    </w:p>
    <w:p w:rsidR="00293097" w:rsidRPr="008D00F0" w:rsidRDefault="00293097" w:rsidP="00B831A2">
      <w:pPr>
        <w:rPr>
          <w:rFonts w:ascii="Times New Roman" w:hAnsi="Times New Roman" w:cs="Times New Roman"/>
          <w:b/>
          <w:bCs/>
          <w:sz w:val="20"/>
          <w:szCs w:val="20"/>
          <w:lang w:val="en-US"/>
        </w:rPr>
      </w:pPr>
    </w:p>
    <w:p w:rsidR="00293097" w:rsidRPr="008D00F0" w:rsidRDefault="00293097">
      <w:pPr>
        <w:rPr>
          <w:rFonts w:ascii="Times New Roman" w:hAnsi="Times New Roman" w:cs="Times New Roman"/>
          <w:b/>
          <w:sz w:val="20"/>
          <w:szCs w:val="20"/>
        </w:rPr>
      </w:pPr>
      <w:r w:rsidRPr="008D00F0">
        <w:rPr>
          <w:rFonts w:ascii="Times New Roman" w:hAnsi="Times New Roman" w:cs="Times New Roman"/>
          <w:b/>
          <w:bCs/>
          <w:sz w:val="20"/>
          <w:szCs w:val="20"/>
          <w:lang w:val="en-US"/>
        </w:rPr>
        <w:t>Figure S3 - Risk of suicide in working age people discharged from psychiatric inpatient care between practice-level IMD quintiles during the first year after discharge</w:t>
      </w:r>
    </w:p>
    <w:p w:rsidR="00293097" w:rsidRPr="008D00F0" w:rsidRDefault="00293097">
      <w:pPr>
        <w:rPr>
          <w:rFonts w:ascii="Times New Roman" w:hAnsi="Times New Roman" w:cs="Times New Roman"/>
          <w:b/>
          <w:sz w:val="20"/>
          <w:szCs w:val="20"/>
        </w:rPr>
      </w:pPr>
      <w:r w:rsidRPr="008D00F0">
        <w:rPr>
          <w:noProof/>
          <w:lang w:eastAsia="en-GB"/>
        </w:rPr>
        <w:drawing>
          <wp:inline distT="0" distB="0" distL="0" distR="0" wp14:anchorId="2DBEEAA6" wp14:editId="29CB8505">
            <wp:extent cx="5731510" cy="3244071"/>
            <wp:effectExtent l="0" t="0" r="25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3097" w:rsidRPr="008D00F0" w:rsidRDefault="00293097" w:rsidP="00B831A2">
      <w:pPr>
        <w:ind w:left="-284"/>
        <w:rPr>
          <w:color w:val="595959" w:themeColor="text1" w:themeTint="A6"/>
          <w:sz w:val="16"/>
          <w:szCs w:val="16"/>
        </w:rPr>
      </w:pPr>
      <w:r w:rsidRPr="008D00F0">
        <w:rPr>
          <w:sz w:val="16"/>
          <w:szCs w:val="16"/>
        </w:rPr>
        <w:t>*</w:t>
      </w:r>
      <w:r w:rsidRPr="008D00F0">
        <w:rPr>
          <w:color w:val="595959" w:themeColor="text1" w:themeTint="A6"/>
          <w:sz w:val="16"/>
          <w:szCs w:val="16"/>
        </w:rPr>
        <w:t>Adjusted for age (modelled as non-linear) and gender.  IMD = Index of Multiple Deprivation. Error bars show 95% Cis. Baseline is least deprived</w:t>
      </w:r>
    </w:p>
    <w:p w:rsidR="00293097" w:rsidRPr="008D00F0" w:rsidRDefault="00293097">
      <w:pPr>
        <w:rPr>
          <w:rFonts w:ascii="Times New Roman" w:hAnsi="Times New Roman" w:cs="Times New Roman"/>
          <w:b/>
          <w:sz w:val="20"/>
          <w:szCs w:val="20"/>
        </w:rPr>
      </w:pPr>
    </w:p>
    <w:p w:rsidR="00293097" w:rsidRPr="008D00F0" w:rsidRDefault="00293097">
      <w:pPr>
        <w:rPr>
          <w:rFonts w:ascii="Times New Roman" w:hAnsi="Times New Roman" w:cs="Times New Roman"/>
          <w:b/>
          <w:sz w:val="20"/>
          <w:szCs w:val="20"/>
        </w:rPr>
      </w:pPr>
    </w:p>
    <w:p w:rsidR="00293097" w:rsidRPr="008D00F0" w:rsidRDefault="00293097">
      <w:pPr>
        <w:rPr>
          <w:rFonts w:ascii="Times New Roman" w:hAnsi="Times New Roman" w:cs="Times New Roman"/>
          <w:b/>
          <w:sz w:val="20"/>
          <w:szCs w:val="20"/>
        </w:rPr>
      </w:pPr>
    </w:p>
    <w:p w:rsidR="00293097" w:rsidRPr="008D00F0" w:rsidRDefault="00293097" w:rsidP="00B831A2">
      <w:pPr>
        <w:rPr>
          <w:rFonts w:ascii="Times New Roman" w:hAnsi="Times New Roman" w:cs="Times New Roman"/>
          <w:b/>
          <w:sz w:val="20"/>
          <w:szCs w:val="20"/>
        </w:rPr>
      </w:pPr>
      <w:r w:rsidRPr="008D00F0">
        <w:rPr>
          <w:rFonts w:ascii="Times New Roman" w:hAnsi="Times New Roman" w:cs="Times New Roman"/>
          <w:b/>
          <w:bCs/>
          <w:sz w:val="20"/>
          <w:szCs w:val="20"/>
          <w:lang w:val="en-US"/>
        </w:rPr>
        <w:lastRenderedPageBreak/>
        <w:t>Figure S4 - Risk of death by natural causes in older adults discharged from psychiatric inpatient care between practice-level IMD quintiles during the first year after discharge</w:t>
      </w:r>
    </w:p>
    <w:p w:rsidR="00293097" w:rsidRPr="008D00F0" w:rsidRDefault="00293097">
      <w:pPr>
        <w:rPr>
          <w:rFonts w:ascii="Times New Roman" w:hAnsi="Times New Roman" w:cs="Times New Roman"/>
          <w:b/>
          <w:sz w:val="20"/>
          <w:szCs w:val="20"/>
        </w:rPr>
      </w:pPr>
      <w:r w:rsidRPr="008D00F0">
        <w:rPr>
          <w:noProof/>
          <w:lang w:eastAsia="en-GB"/>
        </w:rPr>
        <w:drawing>
          <wp:inline distT="0" distB="0" distL="0" distR="0" wp14:anchorId="209BBFE2" wp14:editId="1C45FDF0">
            <wp:extent cx="5629275" cy="3638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8D00F0">
        <w:rPr>
          <w:rFonts w:ascii="Times New Roman" w:hAnsi="Times New Roman" w:cs="Times New Roman"/>
          <w:b/>
          <w:sz w:val="20"/>
          <w:szCs w:val="20"/>
        </w:rPr>
        <w:t xml:space="preserve"> </w:t>
      </w:r>
    </w:p>
    <w:p w:rsidR="00293097" w:rsidRPr="008D00F0" w:rsidRDefault="00293097" w:rsidP="00B831A2">
      <w:pPr>
        <w:ind w:left="-284"/>
        <w:rPr>
          <w:color w:val="595959" w:themeColor="text1" w:themeTint="A6"/>
          <w:sz w:val="16"/>
          <w:szCs w:val="16"/>
        </w:rPr>
      </w:pPr>
      <w:r w:rsidRPr="008D00F0">
        <w:rPr>
          <w:sz w:val="16"/>
          <w:szCs w:val="16"/>
        </w:rPr>
        <w:t>*</w:t>
      </w:r>
      <w:r w:rsidRPr="008D00F0">
        <w:rPr>
          <w:color w:val="595959" w:themeColor="text1" w:themeTint="A6"/>
          <w:sz w:val="16"/>
          <w:szCs w:val="16"/>
        </w:rPr>
        <w:t>Adjusted for age (modelled as non-linear) and gender.  IMD = Index of Multiple Deprivation. Error bars show 95% Cis. Baseline is least deprived</w:t>
      </w:r>
    </w:p>
    <w:p w:rsidR="00293097" w:rsidRPr="008D00F0" w:rsidRDefault="00293097">
      <w:pPr>
        <w:rPr>
          <w:rFonts w:ascii="Times New Roman" w:hAnsi="Times New Roman" w:cs="Times New Roman"/>
          <w:b/>
          <w:sz w:val="20"/>
          <w:szCs w:val="20"/>
        </w:rPr>
      </w:pPr>
    </w:p>
    <w:p w:rsidR="00293097" w:rsidRPr="008D00F0" w:rsidRDefault="00293097">
      <w:pPr>
        <w:rPr>
          <w:rFonts w:ascii="Times New Roman" w:hAnsi="Times New Roman" w:cs="Times New Roman"/>
          <w:b/>
          <w:sz w:val="20"/>
          <w:szCs w:val="20"/>
        </w:rPr>
      </w:pPr>
      <w:r w:rsidRPr="008D00F0">
        <w:rPr>
          <w:rFonts w:ascii="Times New Roman" w:hAnsi="Times New Roman" w:cs="Times New Roman"/>
          <w:b/>
          <w:sz w:val="20"/>
          <w:szCs w:val="20"/>
        </w:rPr>
        <w:br w:type="page"/>
      </w:r>
    </w:p>
    <w:p w:rsidR="00293097" w:rsidRPr="008D00F0" w:rsidRDefault="00293097" w:rsidP="00B831A2">
      <w:pPr>
        <w:rPr>
          <w:rFonts w:ascii="Times New Roman" w:hAnsi="Times New Roman" w:cs="Times New Roman"/>
          <w:b/>
          <w:sz w:val="20"/>
          <w:szCs w:val="20"/>
        </w:rPr>
      </w:pPr>
      <w:r w:rsidRPr="008D00F0">
        <w:rPr>
          <w:rFonts w:ascii="Times New Roman" w:hAnsi="Times New Roman" w:cs="Times New Roman"/>
          <w:b/>
          <w:sz w:val="20"/>
          <w:szCs w:val="20"/>
        </w:rPr>
        <w:lastRenderedPageBreak/>
        <w:t>Supplementary Material:  References</w:t>
      </w:r>
    </w:p>
    <w:p w:rsidR="00293097" w:rsidRPr="008D00F0" w:rsidRDefault="00293097" w:rsidP="00B831A2">
      <w:pPr>
        <w:pStyle w:val="EndNoteBibliography"/>
        <w:rPr>
          <w:rFonts w:ascii="Times New Roman" w:hAnsi="Times New Roman" w:cs="Times New Roman"/>
          <w:sz w:val="20"/>
          <w:szCs w:val="20"/>
        </w:rPr>
      </w:pPr>
      <w:r w:rsidRPr="008D00F0">
        <w:rPr>
          <w:rFonts w:ascii="Times New Roman" w:hAnsi="Times New Roman" w:cs="Times New Roman"/>
          <w:sz w:val="20"/>
          <w:szCs w:val="20"/>
        </w:rPr>
        <w:t>1.</w:t>
      </w:r>
      <w:r w:rsidRPr="008D00F0">
        <w:rPr>
          <w:rFonts w:ascii="Times New Roman" w:hAnsi="Times New Roman" w:cs="Times New Roman"/>
          <w:sz w:val="20"/>
          <w:szCs w:val="20"/>
        </w:rPr>
        <w:tab/>
        <w:t xml:space="preserve">Office for National Statistics. Impact of registration delays on mortality statistics: 2016  [Internet]. 2018. </w:t>
      </w:r>
      <w:hyperlink r:id="rId25" w:history="1">
        <w:r w:rsidRPr="008D00F0">
          <w:rPr>
            <w:rStyle w:val="Hyperlink"/>
            <w:rFonts w:ascii="Times New Roman" w:hAnsi="Times New Roman" w:cs="Times New Roman"/>
            <w:sz w:val="20"/>
            <w:szCs w:val="20"/>
          </w:rPr>
          <w:t>https://www.ons.gov.uk/peoplepopulationandcommunity/birthsdeathsandmarriages/deaths/methodologies/impactofregistrationdelaysonmortalitystatistics2016</w:t>
        </w:r>
      </w:hyperlink>
      <w:r w:rsidRPr="008D00F0">
        <w:rPr>
          <w:rFonts w:ascii="Times New Roman" w:hAnsi="Times New Roman" w:cs="Times New Roman"/>
          <w:sz w:val="20"/>
          <w:szCs w:val="20"/>
        </w:rPr>
        <w:t xml:space="preserve"> (accessed Sept 13 2019).</w:t>
      </w:r>
    </w:p>
    <w:p w:rsidR="00293097" w:rsidRDefault="00293097">
      <w:pPr>
        <w:rPr>
          <w:rFonts w:ascii="Times New Roman" w:hAnsi="Times New Roman" w:cs="Times New Roman"/>
          <w:sz w:val="20"/>
          <w:szCs w:val="20"/>
        </w:rPr>
      </w:pPr>
      <w:r w:rsidRPr="008D00F0">
        <w:rPr>
          <w:rFonts w:ascii="Times New Roman" w:hAnsi="Times New Roman" w:cs="Times New Roman"/>
          <w:sz w:val="20"/>
          <w:szCs w:val="20"/>
        </w:rPr>
        <w:t>2.</w:t>
      </w:r>
      <w:r w:rsidRPr="008D00F0">
        <w:rPr>
          <w:rFonts w:ascii="Times New Roman" w:hAnsi="Times New Roman" w:cs="Times New Roman"/>
          <w:sz w:val="20"/>
          <w:szCs w:val="20"/>
        </w:rPr>
        <w:tab/>
      </w:r>
      <w:proofErr w:type="spellStart"/>
      <w:r w:rsidRPr="008D00F0">
        <w:rPr>
          <w:rFonts w:ascii="Times New Roman" w:hAnsi="Times New Roman" w:cs="Times New Roman"/>
          <w:sz w:val="20"/>
          <w:szCs w:val="20"/>
        </w:rPr>
        <w:t>Benchimol</w:t>
      </w:r>
      <w:proofErr w:type="spellEnd"/>
      <w:r w:rsidRPr="008D00F0">
        <w:rPr>
          <w:rFonts w:ascii="Times New Roman" w:hAnsi="Times New Roman" w:cs="Times New Roman"/>
          <w:sz w:val="20"/>
          <w:szCs w:val="20"/>
        </w:rPr>
        <w:t xml:space="preserve"> EI, Smeeth L, Guttmann A et al. The </w:t>
      </w:r>
      <w:proofErr w:type="spellStart"/>
      <w:r w:rsidRPr="008D00F0">
        <w:rPr>
          <w:rFonts w:ascii="Times New Roman" w:hAnsi="Times New Roman" w:cs="Times New Roman"/>
          <w:sz w:val="20"/>
          <w:szCs w:val="20"/>
        </w:rPr>
        <w:t>REporting</w:t>
      </w:r>
      <w:proofErr w:type="spellEnd"/>
      <w:r w:rsidRPr="008D00F0">
        <w:rPr>
          <w:rFonts w:ascii="Times New Roman" w:hAnsi="Times New Roman" w:cs="Times New Roman"/>
          <w:sz w:val="20"/>
          <w:szCs w:val="20"/>
        </w:rPr>
        <w:t xml:space="preserve"> of studies Conducted using Observational Routinely-collected health Data (RECORD) Statement.  </w:t>
      </w:r>
      <w:proofErr w:type="spellStart"/>
      <w:r w:rsidRPr="008D00F0">
        <w:rPr>
          <w:rFonts w:ascii="Times New Roman" w:hAnsi="Times New Roman" w:cs="Times New Roman"/>
          <w:i/>
          <w:sz w:val="20"/>
          <w:szCs w:val="20"/>
        </w:rPr>
        <w:t>PLoS</w:t>
      </w:r>
      <w:proofErr w:type="spellEnd"/>
      <w:r w:rsidRPr="008D00F0">
        <w:rPr>
          <w:rFonts w:ascii="Times New Roman" w:hAnsi="Times New Roman" w:cs="Times New Roman"/>
          <w:i/>
          <w:sz w:val="20"/>
          <w:szCs w:val="20"/>
        </w:rPr>
        <w:t xml:space="preserve"> Medicine </w:t>
      </w:r>
      <w:r w:rsidRPr="008D00F0">
        <w:rPr>
          <w:rFonts w:ascii="Times New Roman" w:hAnsi="Times New Roman" w:cs="Times New Roman"/>
          <w:sz w:val="20"/>
          <w:szCs w:val="20"/>
        </w:rPr>
        <w:t>2015; in press.</w:t>
      </w:r>
    </w:p>
    <w:p w:rsidR="00293097" w:rsidRDefault="00293097">
      <w:pPr>
        <w:rPr>
          <w:rFonts w:ascii="Times New Roman" w:hAnsi="Times New Roman" w:cs="Times New Roman"/>
          <w:sz w:val="20"/>
          <w:szCs w:val="20"/>
        </w:rPr>
      </w:pPr>
    </w:p>
    <w:p w:rsidR="00293097" w:rsidRPr="00293097" w:rsidRDefault="00293097" w:rsidP="00293097">
      <w:pPr>
        <w:pStyle w:val="EndNoteBibliography"/>
      </w:pPr>
    </w:p>
    <w:p w:rsidR="00B831A2" w:rsidRDefault="00B831A2"/>
    <w:sectPr w:rsidR="00B831A2" w:rsidSect="00B831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DD0" w:rsidRDefault="007C7DD0">
      <w:pPr>
        <w:spacing w:after="0" w:line="240" w:lineRule="auto"/>
      </w:pPr>
      <w:r>
        <w:separator/>
      </w:r>
    </w:p>
  </w:endnote>
  <w:endnote w:type="continuationSeparator" w:id="0">
    <w:p w:rsidR="007C7DD0" w:rsidRDefault="007C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399161"/>
      <w:docPartObj>
        <w:docPartGallery w:val="Page Numbers (Bottom of Page)"/>
        <w:docPartUnique/>
      </w:docPartObj>
    </w:sdtPr>
    <w:sdtEndPr>
      <w:rPr>
        <w:noProof/>
      </w:rPr>
    </w:sdtEndPr>
    <w:sdtContent>
      <w:p w:rsidR="007C7DD0" w:rsidRDefault="007C7DD0">
        <w:pPr>
          <w:pStyle w:val="Footer"/>
          <w:jc w:val="right"/>
        </w:pPr>
        <w:r>
          <w:fldChar w:fldCharType="begin"/>
        </w:r>
        <w:r>
          <w:instrText xml:space="preserve"> PAGE   \* MERGEFORMAT </w:instrText>
        </w:r>
        <w:r>
          <w:fldChar w:fldCharType="separate"/>
        </w:r>
        <w:r w:rsidR="000A1566">
          <w:rPr>
            <w:noProof/>
          </w:rPr>
          <w:t>13</w:t>
        </w:r>
        <w:r>
          <w:rPr>
            <w:noProof/>
          </w:rPr>
          <w:fldChar w:fldCharType="end"/>
        </w:r>
      </w:p>
    </w:sdtContent>
  </w:sdt>
  <w:p w:rsidR="007C7DD0" w:rsidRDefault="007C7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DD0" w:rsidRDefault="007C7DD0">
      <w:pPr>
        <w:spacing w:after="0" w:line="240" w:lineRule="auto"/>
      </w:pPr>
      <w:r>
        <w:separator/>
      </w:r>
    </w:p>
  </w:footnote>
  <w:footnote w:type="continuationSeparator" w:id="0">
    <w:p w:rsidR="007C7DD0" w:rsidRDefault="007C7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D0" w:rsidRDefault="007C7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76104"/>
    <w:multiLevelType w:val="hybridMultilevel"/>
    <w:tmpl w:val="E8B65606"/>
    <w:lvl w:ilvl="0" w:tplc="AD484DE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F275546"/>
    <w:multiLevelType w:val="hybridMultilevel"/>
    <w:tmpl w:val="F336E9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yNrI0NjEzNzYzNDBR0lEKTi0uzszPAykwqgUA440pWSwAAAA="/>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arptswvw2axre2x03pfsdt5wvrrppe00f9&quot;&gt;My EndNote Library&lt;record-ids&gt;&lt;item&gt;12067&lt;/item&gt;&lt;/record-ids&gt;&lt;/item&gt;&lt;/Libraries&gt;"/>
  </w:docVars>
  <w:rsids>
    <w:rsidRoot w:val="00293097"/>
    <w:rsid w:val="000A1566"/>
    <w:rsid w:val="00161134"/>
    <w:rsid w:val="00293097"/>
    <w:rsid w:val="007C7DD0"/>
    <w:rsid w:val="008D00F0"/>
    <w:rsid w:val="00B831A2"/>
    <w:rsid w:val="00B91A85"/>
    <w:rsid w:val="00FC6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4D0CB"/>
  <w15:chartTrackingRefBased/>
  <w15:docId w15:val="{7155C998-7944-4891-96F0-1E26219E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097"/>
    <w:pPr>
      <w:ind w:left="720"/>
      <w:contextualSpacing/>
    </w:pPr>
  </w:style>
  <w:style w:type="paragraph" w:styleId="BalloonText">
    <w:name w:val="Balloon Text"/>
    <w:basedOn w:val="Normal"/>
    <w:link w:val="BalloonTextChar"/>
    <w:uiPriority w:val="99"/>
    <w:semiHidden/>
    <w:unhideWhenUsed/>
    <w:rsid w:val="00293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097"/>
    <w:rPr>
      <w:rFonts w:ascii="Segoe UI" w:hAnsi="Segoe UI" w:cs="Segoe UI"/>
      <w:sz w:val="18"/>
      <w:szCs w:val="18"/>
    </w:rPr>
  </w:style>
  <w:style w:type="paragraph" w:customStyle="1" w:styleId="Body">
    <w:name w:val="Body"/>
    <w:rsid w:val="00293097"/>
    <w:pPr>
      <w:pBdr>
        <w:top w:val="nil"/>
        <w:left w:val="nil"/>
        <w:bottom w:val="nil"/>
        <w:right w:val="nil"/>
        <w:between w:val="nil"/>
        <w:bar w:val="nil"/>
      </w:pBdr>
    </w:pPr>
    <w:rPr>
      <w:rFonts w:ascii="Calibri" w:eastAsia="Calibri" w:hAnsi="Calibri" w:cs="Calibri"/>
      <w:color w:val="000000"/>
      <w:u w:color="000000"/>
      <w:bdr w:val="nil"/>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293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097"/>
  </w:style>
  <w:style w:type="paragraph" w:styleId="Footer">
    <w:name w:val="footer"/>
    <w:basedOn w:val="Normal"/>
    <w:link w:val="FooterChar"/>
    <w:uiPriority w:val="99"/>
    <w:unhideWhenUsed/>
    <w:rsid w:val="00293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097"/>
  </w:style>
  <w:style w:type="character" w:styleId="CommentReference">
    <w:name w:val="annotation reference"/>
    <w:basedOn w:val="DefaultParagraphFont"/>
    <w:uiPriority w:val="99"/>
    <w:semiHidden/>
    <w:unhideWhenUsed/>
    <w:rsid w:val="00293097"/>
    <w:rPr>
      <w:sz w:val="16"/>
      <w:szCs w:val="16"/>
    </w:rPr>
  </w:style>
  <w:style w:type="paragraph" w:styleId="CommentText">
    <w:name w:val="annotation text"/>
    <w:basedOn w:val="Normal"/>
    <w:link w:val="CommentTextChar"/>
    <w:uiPriority w:val="99"/>
    <w:semiHidden/>
    <w:unhideWhenUsed/>
    <w:rsid w:val="00293097"/>
    <w:pPr>
      <w:spacing w:line="240" w:lineRule="auto"/>
    </w:pPr>
    <w:rPr>
      <w:sz w:val="20"/>
      <w:szCs w:val="20"/>
    </w:rPr>
  </w:style>
  <w:style w:type="character" w:customStyle="1" w:styleId="CommentTextChar">
    <w:name w:val="Comment Text Char"/>
    <w:basedOn w:val="DefaultParagraphFont"/>
    <w:link w:val="CommentText"/>
    <w:uiPriority w:val="99"/>
    <w:semiHidden/>
    <w:rsid w:val="00293097"/>
    <w:rPr>
      <w:sz w:val="20"/>
      <w:szCs w:val="20"/>
    </w:rPr>
  </w:style>
  <w:style w:type="paragraph" w:styleId="CommentSubject">
    <w:name w:val="annotation subject"/>
    <w:basedOn w:val="CommentText"/>
    <w:next w:val="CommentText"/>
    <w:link w:val="CommentSubjectChar"/>
    <w:uiPriority w:val="99"/>
    <w:semiHidden/>
    <w:unhideWhenUsed/>
    <w:rsid w:val="00293097"/>
    <w:rPr>
      <w:b/>
      <w:bCs/>
    </w:rPr>
  </w:style>
  <w:style w:type="character" w:customStyle="1" w:styleId="CommentSubjectChar">
    <w:name w:val="Comment Subject Char"/>
    <w:basedOn w:val="CommentTextChar"/>
    <w:link w:val="CommentSubject"/>
    <w:uiPriority w:val="99"/>
    <w:semiHidden/>
    <w:rsid w:val="00293097"/>
    <w:rPr>
      <w:b/>
      <w:bCs/>
      <w:sz w:val="20"/>
      <w:szCs w:val="20"/>
    </w:rPr>
  </w:style>
  <w:style w:type="paragraph" w:customStyle="1" w:styleId="EndNoteBibliography">
    <w:name w:val="EndNote Bibliography"/>
    <w:basedOn w:val="Normal"/>
    <w:link w:val="EndNoteBibliographyChar"/>
    <w:rsid w:val="0029309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93097"/>
    <w:rPr>
      <w:rFonts w:ascii="Calibri" w:hAnsi="Calibri" w:cs="Calibri"/>
      <w:noProof/>
      <w:lang w:val="en-US"/>
    </w:rPr>
  </w:style>
  <w:style w:type="character" w:styleId="Hyperlink">
    <w:name w:val="Hyperlink"/>
    <w:basedOn w:val="DefaultParagraphFont"/>
    <w:uiPriority w:val="99"/>
    <w:unhideWhenUsed/>
    <w:rsid w:val="00293097"/>
    <w:rPr>
      <w:color w:val="0563C1" w:themeColor="hyperlink"/>
      <w:u w:val="single"/>
    </w:rPr>
  </w:style>
  <w:style w:type="character" w:styleId="FollowedHyperlink">
    <w:name w:val="FollowedHyperlink"/>
    <w:basedOn w:val="DefaultParagraphFont"/>
    <w:uiPriority w:val="99"/>
    <w:semiHidden/>
    <w:unhideWhenUsed/>
    <w:rsid w:val="00293097"/>
    <w:rPr>
      <w:color w:val="954F72" w:themeColor="followedHyperlink"/>
      <w:u w:val="single"/>
    </w:rPr>
  </w:style>
  <w:style w:type="paragraph" w:customStyle="1" w:styleId="EndNoteBibliographyTitle">
    <w:name w:val="EndNote Bibliography Title"/>
    <w:basedOn w:val="Normal"/>
    <w:link w:val="EndNoteBibliographyTitleChar"/>
    <w:rsid w:val="0029309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9309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ije/article/48/6/1740/5374844" TargetMode="External"/><Relationship Id="rId13" Type="http://schemas.openxmlformats.org/officeDocument/2006/relationships/hyperlink" Target="https://www.ons.gov.uk/peoplepopulationandcommunity/birthsdeathsandmarriages/deaths/bulletins/deathsrelatedtodrugpoisoninginenglandandwales/2018registrations" TargetMode="Externa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hyperlink" Target="https://academic.oup.com/ije/article/44/3/827/632531" TargetMode="External"/><Relationship Id="rId12" Type="http://schemas.openxmlformats.org/officeDocument/2006/relationships/hyperlink" Target="https://www.ons.gov.uk/peoplepopulationandcommunity/healthandsocialcare/causesofdeath/bulletins/alcoholrelateddeathsintheunitedkingdom/registeredin2017" TargetMode="External"/><Relationship Id="rId17" Type="http://schemas.openxmlformats.org/officeDocument/2006/relationships/hyperlink" Target="http://creativecommons.org/licenses/by/4.0/" TargetMode="External"/><Relationship Id="rId25" Type="http://schemas.openxmlformats.org/officeDocument/2006/relationships/hyperlink" Target="https://www.ons.gov.uk/peoplepopulationandcommunity/birthsdeathsandmarriages/deaths/methodologies/impactofregistrationdelaysonmortalitystatistics2016"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peoplepopulationandcommunity/birthsdeathsandmarriages/deaths" TargetMode="External"/><Relationship Id="rId24" Type="http://schemas.openxmlformats.org/officeDocument/2006/relationships/chart" Target="charts/chart7.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hart" Target="charts/chart6.xml"/><Relationship Id="rId10" Type="http://schemas.openxmlformats.org/officeDocument/2006/relationships/hyperlink" Target="https://www.gov.uk/government/collections/english-indices-of-deprivation" TargetMode="Externa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s://digital.nhs.uk/data-and-information/publications/statistical/hospital-admitted-patient-care-activity" TargetMode="External"/><Relationship Id="rId14" Type="http://schemas.openxmlformats.org/officeDocument/2006/relationships/hyperlink" Target="https://clinicalcodes.rss.mhs.man.ac.uk/" TargetMode="External"/><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nask.man.ac.uk\home$\Documents\3.%20Analysis\Study%201\Dementia_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ask.man.ac.uk\home$\Documents\3.%20Analysis\Study%201\Dementia_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nask.man.ac.uk\home$\Documents\3.%20Analysis\Study%201\Dementia_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nask.man.ac.uk\home$\Documents\3.%20Analysis\Study%201\Dementia_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nask.man.ac.uk\home$\Documents\3.%20Analysis\Study%201\HZ_risk_combin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nask.man.ac.uk\home$\Documents\3.%20Analysis\Study%201\HZ_risk_combine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nask.man.ac.uk\home$\Documents\3.%20Analysis\Study%201\HZ_risk_combined.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All-cause mortality</a:t>
            </a:r>
          </a:p>
        </c:rich>
      </c:tx>
      <c:layout>
        <c:manualLayout>
          <c:xMode val="edge"/>
          <c:yMode val="edge"/>
          <c:x val="0.14017625534034522"/>
          <c:y val="3.91006842619745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47700322770389"/>
          <c:y val="0.18918643203264474"/>
          <c:w val="0.8223032855356357"/>
          <c:h val="0.65573421531948906"/>
        </c:manualLayout>
      </c:layout>
      <c:barChart>
        <c:barDir val="col"/>
        <c:grouping val="clustered"/>
        <c:varyColors val="0"/>
        <c:ser>
          <c:idx val="0"/>
          <c:order val="0"/>
          <c:tx>
            <c:strRef>
              <c:f>Cox!$C$1</c:f>
              <c:strCache>
                <c:ptCount val="1"/>
                <c:pt idx="0">
                  <c:v>All older adults</c:v>
                </c:pt>
              </c:strCache>
            </c:strRef>
          </c:tx>
          <c:spPr>
            <a:solidFill>
              <a:schemeClr val="accent1"/>
            </a:solidFill>
            <a:ln>
              <a:noFill/>
            </a:ln>
            <a:effectLst/>
          </c:spPr>
          <c:invertIfNegative val="0"/>
          <c:errBars>
            <c:errBarType val="both"/>
            <c:errValType val="cust"/>
            <c:noEndCap val="0"/>
            <c:plus>
              <c:numRef>
                <c:f>Cox!$H$9:$H$10</c:f>
                <c:numCache>
                  <c:formatCode>General</c:formatCode>
                  <c:ptCount val="2"/>
                  <c:pt idx="0">
                    <c:v>0.24382700000000046</c:v>
                  </c:pt>
                  <c:pt idx="1">
                    <c:v>0.12714800000000004</c:v>
                  </c:pt>
                </c:numCache>
              </c:numRef>
            </c:plus>
            <c:minus>
              <c:numRef>
                <c:f>Cox!$G$9:$G$10</c:f>
                <c:numCache>
                  <c:formatCode>General</c:formatCode>
                  <c:ptCount val="2"/>
                  <c:pt idx="0">
                    <c:v>0.22896399999999995</c:v>
                  </c:pt>
                  <c:pt idx="1">
                    <c:v>0.12131499999999962</c:v>
                  </c:pt>
                </c:numCache>
              </c:numRef>
            </c:minus>
            <c:spPr>
              <a:noFill/>
              <a:ln w="9525" cap="flat" cmpd="sng" algn="ctr">
                <a:solidFill>
                  <a:schemeClr val="tx1">
                    <a:lumMod val="65000"/>
                    <a:lumOff val="35000"/>
                  </a:schemeClr>
                </a:solidFill>
                <a:round/>
              </a:ln>
              <a:effectLst/>
            </c:spPr>
          </c:errBars>
          <c:cat>
            <c:strRef>
              <c:f>Cox!$C$9:$C$10</c:f>
              <c:strCache>
                <c:ptCount val="2"/>
                <c:pt idx="0">
                  <c:v>Under 3 months</c:v>
                </c:pt>
                <c:pt idx="1">
                  <c:v>3-12 months</c:v>
                </c:pt>
              </c:strCache>
            </c:strRef>
          </c:cat>
          <c:val>
            <c:numRef>
              <c:f>Cox!$D$9:$D$10</c:f>
              <c:numCache>
                <c:formatCode>0.0</c:formatCode>
                <c:ptCount val="2"/>
                <c:pt idx="0">
                  <c:v>3.7564109999999999</c:v>
                </c:pt>
                <c:pt idx="1">
                  <c:v>2.6440419999999998</c:v>
                </c:pt>
              </c:numCache>
            </c:numRef>
          </c:val>
          <c:extLst>
            <c:ext xmlns:c16="http://schemas.microsoft.com/office/drawing/2014/chart" uri="{C3380CC4-5D6E-409C-BE32-E72D297353CC}">
              <c16:uniqueId val="{00000000-83AA-4568-980B-E521F627A645}"/>
            </c:ext>
          </c:extLst>
        </c:ser>
        <c:ser>
          <c:idx val="1"/>
          <c:order val="1"/>
          <c:tx>
            <c:strRef>
              <c:f>Cox!$K$1</c:f>
              <c:strCache>
                <c:ptCount val="1"/>
                <c:pt idx="0">
                  <c:v>Excluding those with a primary diagnosis of dementia</c:v>
                </c:pt>
              </c:strCache>
            </c:strRef>
          </c:tx>
          <c:spPr>
            <a:solidFill>
              <a:schemeClr val="accent2"/>
            </a:solidFill>
            <a:ln>
              <a:noFill/>
            </a:ln>
            <a:effectLst/>
          </c:spPr>
          <c:invertIfNegative val="0"/>
          <c:errBars>
            <c:errBarType val="both"/>
            <c:errValType val="cust"/>
            <c:noEndCap val="0"/>
            <c:plus>
              <c:numRef>
                <c:f>Cox!$O$9:$O$10</c:f>
                <c:numCache>
                  <c:formatCode>General</c:formatCode>
                  <c:ptCount val="2"/>
                  <c:pt idx="0">
                    <c:v>0.28846800000000039</c:v>
                  </c:pt>
                  <c:pt idx="1">
                    <c:v>0.14547599999999994</c:v>
                  </c:pt>
                </c:numCache>
              </c:numRef>
            </c:plus>
            <c:minus>
              <c:numRef>
                <c:f>Cox!$N$9:$N$10</c:f>
                <c:numCache>
                  <c:formatCode>General</c:formatCode>
                  <c:ptCount val="2"/>
                  <c:pt idx="0">
                    <c:v>0.26559299999999997</c:v>
                  </c:pt>
                  <c:pt idx="1">
                    <c:v>0.13697899999999974</c:v>
                  </c:pt>
                </c:numCache>
              </c:numRef>
            </c:minus>
            <c:spPr>
              <a:noFill/>
              <a:ln w="9525" cap="flat" cmpd="sng" algn="ctr">
                <a:solidFill>
                  <a:schemeClr val="tx1">
                    <a:lumMod val="65000"/>
                    <a:lumOff val="35000"/>
                  </a:schemeClr>
                </a:solidFill>
                <a:round/>
              </a:ln>
              <a:effectLst/>
            </c:spPr>
          </c:errBars>
          <c:cat>
            <c:strRef>
              <c:f>Cox!$C$9:$C$10</c:f>
              <c:strCache>
                <c:ptCount val="2"/>
                <c:pt idx="0">
                  <c:v>Under 3 months</c:v>
                </c:pt>
                <c:pt idx="1">
                  <c:v>3-12 months</c:v>
                </c:pt>
              </c:strCache>
            </c:strRef>
          </c:cat>
          <c:val>
            <c:numRef>
              <c:f>Cox!$K$9:$K$10</c:f>
              <c:numCache>
                <c:formatCode>0.0</c:formatCode>
                <c:ptCount val="2"/>
                <c:pt idx="0">
                  <c:v>3.3492799999999998</c:v>
                </c:pt>
                <c:pt idx="1">
                  <c:v>2.345208</c:v>
                </c:pt>
              </c:numCache>
            </c:numRef>
          </c:val>
          <c:extLst>
            <c:ext xmlns:c16="http://schemas.microsoft.com/office/drawing/2014/chart" uri="{C3380CC4-5D6E-409C-BE32-E72D297353CC}">
              <c16:uniqueId val="{00000001-83AA-4568-980B-E521F627A645}"/>
            </c:ext>
          </c:extLst>
        </c:ser>
        <c:ser>
          <c:idx val="2"/>
          <c:order val="2"/>
          <c:tx>
            <c:strRef>
              <c:f>Cox!$Q$1</c:f>
              <c:strCache>
                <c:ptCount val="1"/>
                <c:pt idx="0">
                  <c:v>Only those with dementia.</c:v>
                </c:pt>
              </c:strCache>
            </c:strRef>
          </c:tx>
          <c:spPr>
            <a:solidFill>
              <a:schemeClr val="accent3"/>
            </a:solidFill>
            <a:ln>
              <a:noFill/>
            </a:ln>
            <a:effectLst/>
          </c:spPr>
          <c:invertIfNegative val="0"/>
          <c:errBars>
            <c:errBarType val="both"/>
            <c:errValType val="cust"/>
            <c:noEndCap val="0"/>
            <c:plus>
              <c:numRef>
                <c:f>Cox!$U$9:$U$10</c:f>
                <c:numCache>
                  <c:formatCode>General</c:formatCode>
                  <c:ptCount val="2"/>
                  <c:pt idx="0">
                    <c:v>0.45875099999999946</c:v>
                  </c:pt>
                  <c:pt idx="1">
                    <c:v>0.25644199999999984</c:v>
                  </c:pt>
                </c:numCache>
              </c:numRef>
            </c:plus>
            <c:minus>
              <c:numRef>
                <c:f>Cox!$T$9:$T$10</c:f>
                <c:numCache>
                  <c:formatCode>General</c:formatCode>
                  <c:ptCount val="2"/>
                  <c:pt idx="0">
                    <c:v>0.41608200000000028</c:v>
                  </c:pt>
                  <c:pt idx="1">
                    <c:v>0.23774600000000001</c:v>
                  </c:pt>
                </c:numCache>
              </c:numRef>
            </c:minus>
            <c:spPr>
              <a:noFill/>
              <a:ln w="9525" cap="flat" cmpd="sng" algn="ctr">
                <a:solidFill>
                  <a:schemeClr val="tx1">
                    <a:lumMod val="65000"/>
                    <a:lumOff val="35000"/>
                  </a:schemeClr>
                </a:solidFill>
                <a:round/>
              </a:ln>
              <a:effectLst/>
            </c:spPr>
          </c:errBars>
          <c:cat>
            <c:strRef>
              <c:f>Cox!$C$9:$C$10</c:f>
              <c:strCache>
                <c:ptCount val="2"/>
                <c:pt idx="0">
                  <c:v>Under 3 months</c:v>
                </c:pt>
                <c:pt idx="1">
                  <c:v>3-12 months</c:v>
                </c:pt>
              </c:strCache>
            </c:strRef>
          </c:cat>
          <c:val>
            <c:numRef>
              <c:f>Cox!$Q$9:$Q$10</c:f>
              <c:numCache>
                <c:formatCode>0.0</c:formatCode>
                <c:ptCount val="2"/>
                <c:pt idx="0">
                  <c:v>4.4734280000000002</c:v>
                </c:pt>
                <c:pt idx="1">
                  <c:v>3.261037</c:v>
                </c:pt>
              </c:numCache>
            </c:numRef>
          </c:val>
          <c:extLst>
            <c:ext xmlns:c16="http://schemas.microsoft.com/office/drawing/2014/chart" uri="{C3380CC4-5D6E-409C-BE32-E72D297353CC}">
              <c16:uniqueId val="{00000002-83AA-4568-980B-E521F627A645}"/>
            </c:ext>
          </c:extLst>
        </c:ser>
        <c:dLbls>
          <c:showLegendKey val="0"/>
          <c:showVal val="0"/>
          <c:showCatName val="0"/>
          <c:showSerName val="0"/>
          <c:showPercent val="0"/>
          <c:showBubbleSize val="0"/>
        </c:dLbls>
        <c:gapWidth val="219"/>
        <c:overlap val="-27"/>
        <c:axId val="399421536"/>
        <c:axId val="399426784"/>
      </c:barChart>
      <c:catAx>
        <c:axId val="399421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after discharge</a:t>
                </a:r>
              </a:p>
            </c:rich>
          </c:tx>
          <c:layout>
            <c:manualLayout>
              <c:xMode val="edge"/>
              <c:yMode val="edge"/>
              <c:x val="0.43786744171102904"/>
              <c:y val="0.8969393554191341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426784"/>
        <c:crosses val="autoZero"/>
        <c:auto val="1"/>
        <c:lblAlgn val="ctr"/>
        <c:lblOffset val="100"/>
        <c:noMultiLvlLbl val="0"/>
      </c:catAx>
      <c:valAx>
        <c:axId val="3994267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Hazard Ratio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421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Natural Causes</a:t>
            </a:r>
          </a:p>
        </c:rich>
      </c:tx>
      <c:layout>
        <c:manualLayout>
          <c:xMode val="edge"/>
          <c:yMode val="edge"/>
          <c:x val="0.14017625534034522"/>
          <c:y val="3.91006842619745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3311124570967093E-2"/>
          <c:y val="0.13152482269503546"/>
          <c:w val="0.6883147991116495"/>
          <c:h val="0.7110166415368292"/>
        </c:manualLayout>
      </c:layout>
      <c:barChart>
        <c:barDir val="col"/>
        <c:grouping val="clustered"/>
        <c:varyColors val="0"/>
        <c:ser>
          <c:idx val="0"/>
          <c:order val="0"/>
          <c:tx>
            <c:strRef>
              <c:f>Cox!$C$1</c:f>
              <c:strCache>
                <c:ptCount val="1"/>
                <c:pt idx="0">
                  <c:v>All older adults</c:v>
                </c:pt>
              </c:strCache>
            </c:strRef>
          </c:tx>
          <c:spPr>
            <a:solidFill>
              <a:schemeClr val="accent1"/>
            </a:solidFill>
            <a:ln>
              <a:noFill/>
            </a:ln>
            <a:effectLst/>
          </c:spPr>
          <c:invertIfNegative val="0"/>
          <c:errBars>
            <c:errBarType val="both"/>
            <c:errValType val="cust"/>
            <c:noEndCap val="0"/>
            <c:plus>
              <c:numRef>
                <c:f>Cox!$H$14:$H$15</c:f>
                <c:numCache>
                  <c:formatCode>General</c:formatCode>
                  <c:ptCount val="2"/>
                  <c:pt idx="0">
                    <c:v>0.23770199999999964</c:v>
                  </c:pt>
                  <c:pt idx="1">
                    <c:v>0.1262080000000001</c:v>
                  </c:pt>
                </c:numCache>
              </c:numRef>
            </c:plus>
            <c:minus>
              <c:numRef>
                <c:f>Cox!$G$14:$G$15</c:f>
                <c:numCache>
                  <c:formatCode>General</c:formatCode>
                  <c:ptCount val="2"/>
                  <c:pt idx="0">
                    <c:v>0.22278300000000018</c:v>
                  </c:pt>
                  <c:pt idx="1">
                    <c:v>0.12029200000000007</c:v>
                  </c:pt>
                </c:numCache>
              </c:numRef>
            </c:minus>
            <c:spPr>
              <a:noFill/>
              <a:ln w="9525" cap="flat" cmpd="sng" algn="ctr">
                <a:solidFill>
                  <a:schemeClr val="tx1">
                    <a:lumMod val="65000"/>
                    <a:lumOff val="35000"/>
                  </a:schemeClr>
                </a:solidFill>
                <a:round/>
              </a:ln>
              <a:effectLst/>
            </c:spPr>
          </c:errBars>
          <c:cat>
            <c:strRef>
              <c:f>Cox!$C$14:$C$15</c:f>
              <c:strCache>
                <c:ptCount val="2"/>
                <c:pt idx="0">
                  <c:v>Under 3 months</c:v>
                </c:pt>
                <c:pt idx="1">
                  <c:v>3-12 months</c:v>
                </c:pt>
              </c:strCache>
            </c:strRef>
          </c:cat>
          <c:val>
            <c:numRef>
              <c:f>Cox!$D$14:$D$15</c:f>
              <c:numCache>
                <c:formatCode>0.0</c:formatCode>
                <c:ptCount val="2"/>
                <c:pt idx="0">
                  <c:v>3.5494340000000002</c:v>
                </c:pt>
                <c:pt idx="1">
                  <c:v>2.566233</c:v>
                </c:pt>
              </c:numCache>
            </c:numRef>
          </c:val>
          <c:extLst>
            <c:ext xmlns:c16="http://schemas.microsoft.com/office/drawing/2014/chart" uri="{C3380CC4-5D6E-409C-BE32-E72D297353CC}">
              <c16:uniqueId val="{00000000-45FC-449D-A6F3-D96E004F3A87}"/>
            </c:ext>
          </c:extLst>
        </c:ser>
        <c:ser>
          <c:idx val="1"/>
          <c:order val="1"/>
          <c:tx>
            <c:strRef>
              <c:f>Cox!$K$1</c:f>
              <c:strCache>
                <c:ptCount val="1"/>
                <c:pt idx="0">
                  <c:v>Excluding those with a primary diagnosis of dementia</c:v>
                </c:pt>
              </c:strCache>
            </c:strRef>
          </c:tx>
          <c:spPr>
            <a:solidFill>
              <a:schemeClr val="accent2"/>
            </a:solidFill>
            <a:ln>
              <a:noFill/>
            </a:ln>
            <a:effectLst/>
          </c:spPr>
          <c:invertIfNegative val="0"/>
          <c:errBars>
            <c:errBarType val="both"/>
            <c:errValType val="cust"/>
            <c:noEndCap val="0"/>
            <c:plus>
              <c:numRef>
                <c:f>Cox!$O$14:$O$15</c:f>
                <c:numCache>
                  <c:formatCode>General</c:formatCode>
                  <c:ptCount val="2"/>
                  <c:pt idx="0">
                    <c:v>0.2764120000000001</c:v>
                  </c:pt>
                  <c:pt idx="1">
                    <c:v>0.14266899999999971</c:v>
                  </c:pt>
                </c:numCache>
              </c:numRef>
            </c:plus>
            <c:minus>
              <c:numRef>
                <c:f>Cox!$N$14:$N$15</c:f>
                <c:numCache>
                  <c:formatCode>General</c:formatCode>
                  <c:ptCount val="2"/>
                  <c:pt idx="0">
                    <c:v>0.25355999999999979</c:v>
                  </c:pt>
                  <c:pt idx="1">
                    <c:v>0.13408700000000007</c:v>
                  </c:pt>
                </c:numCache>
              </c:numRef>
            </c:minus>
            <c:spPr>
              <a:noFill/>
              <a:ln w="9525" cap="flat" cmpd="sng" algn="ctr">
                <a:solidFill>
                  <a:schemeClr val="tx1">
                    <a:lumMod val="65000"/>
                    <a:lumOff val="35000"/>
                  </a:schemeClr>
                </a:solidFill>
                <a:round/>
              </a:ln>
              <a:effectLst/>
            </c:spPr>
          </c:errBars>
          <c:cat>
            <c:strRef>
              <c:f>Cox!$C$14:$C$15</c:f>
              <c:strCache>
                <c:ptCount val="2"/>
                <c:pt idx="0">
                  <c:v>Under 3 months</c:v>
                </c:pt>
                <c:pt idx="1">
                  <c:v>3-12 months</c:v>
                </c:pt>
              </c:strCache>
            </c:strRef>
          </c:cat>
          <c:val>
            <c:numRef>
              <c:f>Cox!$K$14:$K$15</c:f>
              <c:numCache>
                <c:formatCode>0.0</c:formatCode>
                <c:ptCount val="2"/>
                <c:pt idx="0">
                  <c:v>3.0670989999999998</c:v>
                </c:pt>
                <c:pt idx="1">
                  <c:v>2.2290770000000002</c:v>
                </c:pt>
              </c:numCache>
            </c:numRef>
          </c:val>
          <c:extLst>
            <c:ext xmlns:c16="http://schemas.microsoft.com/office/drawing/2014/chart" uri="{C3380CC4-5D6E-409C-BE32-E72D297353CC}">
              <c16:uniqueId val="{00000001-45FC-449D-A6F3-D96E004F3A87}"/>
            </c:ext>
          </c:extLst>
        </c:ser>
        <c:ser>
          <c:idx val="2"/>
          <c:order val="2"/>
          <c:tx>
            <c:strRef>
              <c:f>Cox!$Q$1</c:f>
              <c:strCache>
                <c:ptCount val="1"/>
                <c:pt idx="0">
                  <c:v>Only those with dementia.</c:v>
                </c:pt>
              </c:strCache>
            </c:strRef>
          </c:tx>
          <c:spPr>
            <a:solidFill>
              <a:schemeClr val="accent3"/>
            </a:solidFill>
            <a:ln>
              <a:noFill/>
            </a:ln>
            <a:effectLst/>
          </c:spPr>
          <c:invertIfNegative val="0"/>
          <c:errBars>
            <c:errBarType val="both"/>
            <c:errValType val="cust"/>
            <c:noEndCap val="0"/>
            <c:plus>
              <c:numRef>
                <c:f>Cox!$U$14:$U$15</c:f>
                <c:numCache>
                  <c:formatCode>General</c:formatCode>
                  <c:ptCount val="2"/>
                  <c:pt idx="0">
                    <c:v>0.45835500000000007</c:v>
                  </c:pt>
                  <c:pt idx="1">
                    <c:v>0.25958099999999984</c:v>
                  </c:pt>
                </c:numCache>
              </c:numRef>
            </c:plus>
            <c:minus>
              <c:numRef>
                <c:f>Cox!$T$14:$T$15</c:f>
                <c:numCache>
                  <c:formatCode>General</c:formatCode>
                  <c:ptCount val="2"/>
                  <c:pt idx="0">
                    <c:v>0.41510299999999978</c:v>
                  </c:pt>
                  <c:pt idx="1">
                    <c:v>0.24046300000000009</c:v>
                  </c:pt>
                </c:numCache>
              </c:numRef>
            </c:minus>
            <c:spPr>
              <a:noFill/>
              <a:ln w="9525" cap="flat" cmpd="sng" algn="ctr">
                <a:solidFill>
                  <a:schemeClr val="tx1">
                    <a:lumMod val="65000"/>
                    <a:lumOff val="35000"/>
                  </a:schemeClr>
                </a:solidFill>
                <a:round/>
              </a:ln>
              <a:effectLst/>
            </c:spPr>
          </c:errBars>
          <c:cat>
            <c:strRef>
              <c:f>Cox!$C$14:$C$15</c:f>
              <c:strCache>
                <c:ptCount val="2"/>
                <c:pt idx="0">
                  <c:v>Under 3 months</c:v>
                </c:pt>
                <c:pt idx="1">
                  <c:v>3-12 months</c:v>
                </c:pt>
              </c:strCache>
            </c:strRef>
          </c:cat>
          <c:val>
            <c:numRef>
              <c:f>Cox!$Q$14:$Q$15</c:f>
              <c:numCache>
                <c:formatCode>0.0</c:formatCode>
                <c:ptCount val="2"/>
                <c:pt idx="0">
                  <c:v>4.3988319999999996</c:v>
                </c:pt>
                <c:pt idx="1">
                  <c:v>3.264805</c:v>
                </c:pt>
              </c:numCache>
            </c:numRef>
          </c:val>
          <c:extLst>
            <c:ext xmlns:c16="http://schemas.microsoft.com/office/drawing/2014/chart" uri="{C3380CC4-5D6E-409C-BE32-E72D297353CC}">
              <c16:uniqueId val="{00000002-45FC-449D-A6F3-D96E004F3A87}"/>
            </c:ext>
          </c:extLst>
        </c:ser>
        <c:dLbls>
          <c:showLegendKey val="0"/>
          <c:showVal val="0"/>
          <c:showCatName val="0"/>
          <c:showSerName val="0"/>
          <c:showPercent val="0"/>
          <c:showBubbleSize val="0"/>
        </c:dLbls>
        <c:gapWidth val="219"/>
        <c:overlap val="-27"/>
        <c:axId val="399421536"/>
        <c:axId val="399426784"/>
      </c:barChart>
      <c:catAx>
        <c:axId val="399421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after discharge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426784"/>
        <c:crosses val="autoZero"/>
        <c:auto val="1"/>
        <c:lblAlgn val="ctr"/>
        <c:lblOffset val="100"/>
        <c:noMultiLvlLbl val="0"/>
      </c:catAx>
      <c:valAx>
        <c:axId val="3994267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Hazard Ratio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421536"/>
        <c:crosses val="autoZero"/>
        <c:crossBetween val="between"/>
      </c:valAx>
      <c:spPr>
        <a:noFill/>
        <a:ln>
          <a:noFill/>
        </a:ln>
        <a:effectLst/>
      </c:spPr>
    </c:plotArea>
    <c:legend>
      <c:legendPos val="r"/>
      <c:layout>
        <c:manualLayout>
          <c:xMode val="edge"/>
          <c:yMode val="edge"/>
          <c:x val="0.62939632545931756"/>
          <c:y val="1.7359730624869618E-2"/>
          <c:w val="0.36826789268791066"/>
          <c:h val="0.339007842981746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External Causes</a:t>
            </a:r>
          </a:p>
        </c:rich>
      </c:tx>
      <c:layout>
        <c:manualLayout>
          <c:xMode val="edge"/>
          <c:yMode val="edge"/>
          <c:x val="0.14017625534034522"/>
          <c:y val="3.91006842619745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17896209301521"/>
          <c:y val="0.18656941649899397"/>
          <c:w val="0.82368432759464394"/>
          <c:h val="0.66552662431280607"/>
        </c:manualLayout>
      </c:layout>
      <c:barChart>
        <c:barDir val="col"/>
        <c:grouping val="clustered"/>
        <c:varyColors val="0"/>
        <c:ser>
          <c:idx val="0"/>
          <c:order val="0"/>
          <c:tx>
            <c:strRef>
              <c:f>Cox!$C$1</c:f>
              <c:strCache>
                <c:ptCount val="1"/>
                <c:pt idx="0">
                  <c:v>All older adults</c:v>
                </c:pt>
              </c:strCache>
            </c:strRef>
          </c:tx>
          <c:spPr>
            <a:solidFill>
              <a:schemeClr val="accent1"/>
            </a:solidFill>
            <a:ln>
              <a:noFill/>
            </a:ln>
            <a:effectLst/>
          </c:spPr>
          <c:invertIfNegative val="0"/>
          <c:errBars>
            <c:errBarType val="both"/>
            <c:errValType val="cust"/>
            <c:noEndCap val="0"/>
            <c:plus>
              <c:numRef>
                <c:f>Cox!$H$19:$H$20</c:f>
                <c:numCache>
                  <c:formatCode>General</c:formatCode>
                  <c:ptCount val="2"/>
                  <c:pt idx="0">
                    <c:v>5.7519899999999993</c:v>
                  </c:pt>
                  <c:pt idx="1">
                    <c:v>1.8019790000000011</c:v>
                  </c:pt>
                </c:numCache>
              </c:numRef>
            </c:plus>
            <c:minus>
              <c:numRef>
                <c:f>Cox!$G$19:$G$20</c:f>
                <c:numCache>
                  <c:formatCode>General</c:formatCode>
                  <c:ptCount val="2"/>
                  <c:pt idx="0">
                    <c:v>4.24451</c:v>
                  </c:pt>
                  <c:pt idx="1">
                    <c:v>1.4183029999999999</c:v>
                  </c:pt>
                </c:numCache>
              </c:numRef>
            </c:minus>
            <c:spPr>
              <a:noFill/>
              <a:ln w="9525" cap="flat" cmpd="sng" algn="ctr">
                <a:solidFill>
                  <a:schemeClr val="tx1">
                    <a:lumMod val="65000"/>
                    <a:lumOff val="35000"/>
                  </a:schemeClr>
                </a:solidFill>
                <a:round/>
              </a:ln>
              <a:effectLst/>
            </c:spPr>
          </c:errBars>
          <c:cat>
            <c:strRef>
              <c:f>Cox!$C$19:$C$20</c:f>
              <c:strCache>
                <c:ptCount val="2"/>
                <c:pt idx="0">
                  <c:v>Under 3 months</c:v>
                </c:pt>
                <c:pt idx="1">
                  <c:v>3-12 months</c:v>
                </c:pt>
              </c:strCache>
            </c:strRef>
          </c:cat>
          <c:val>
            <c:numRef>
              <c:f>Cox!$D$19:$D$20</c:f>
              <c:numCache>
                <c:formatCode>0.0</c:formatCode>
                <c:ptCount val="2"/>
                <c:pt idx="0">
                  <c:v>16.19556</c:v>
                </c:pt>
                <c:pt idx="1">
                  <c:v>6.6612349999999996</c:v>
                </c:pt>
              </c:numCache>
            </c:numRef>
          </c:val>
          <c:extLst>
            <c:ext xmlns:c16="http://schemas.microsoft.com/office/drawing/2014/chart" uri="{C3380CC4-5D6E-409C-BE32-E72D297353CC}">
              <c16:uniqueId val="{00000000-51D1-4A72-BCB8-166EB89F4430}"/>
            </c:ext>
          </c:extLst>
        </c:ser>
        <c:ser>
          <c:idx val="1"/>
          <c:order val="1"/>
          <c:tx>
            <c:strRef>
              <c:f>Cox!$K$1</c:f>
              <c:strCache>
                <c:ptCount val="1"/>
                <c:pt idx="0">
                  <c:v>Excluding those with a primary diagnosis of dementia</c:v>
                </c:pt>
              </c:strCache>
            </c:strRef>
          </c:tx>
          <c:spPr>
            <a:solidFill>
              <a:schemeClr val="accent2"/>
            </a:solidFill>
            <a:ln>
              <a:noFill/>
            </a:ln>
            <a:effectLst/>
          </c:spPr>
          <c:invertIfNegative val="0"/>
          <c:errBars>
            <c:errBarType val="both"/>
            <c:errValType val="cust"/>
            <c:noEndCap val="0"/>
            <c:plus>
              <c:numRef>
                <c:f>Cox!$O$19:$O$20</c:f>
                <c:numCache>
                  <c:formatCode>General</c:formatCode>
                  <c:ptCount val="2"/>
                  <c:pt idx="0">
                    <c:v>10.219620000000003</c:v>
                  </c:pt>
                  <c:pt idx="1">
                    <c:v>2.7098689999999994</c:v>
                  </c:pt>
                </c:numCache>
              </c:numRef>
            </c:plus>
            <c:minus>
              <c:numRef>
                <c:f>Cox!$N$19:$N$20</c:f>
                <c:numCache>
                  <c:formatCode>General</c:formatCode>
                  <c:ptCount val="2"/>
                  <c:pt idx="0">
                    <c:v>7.0076999999999998</c:v>
                  </c:pt>
                  <c:pt idx="1">
                    <c:v>2.0619489999999994</c:v>
                  </c:pt>
                </c:numCache>
              </c:numRef>
            </c:minus>
            <c:spPr>
              <a:noFill/>
              <a:ln w="9525" cap="flat" cmpd="sng" algn="ctr">
                <a:solidFill>
                  <a:schemeClr val="tx1">
                    <a:lumMod val="65000"/>
                    <a:lumOff val="35000"/>
                  </a:schemeClr>
                </a:solidFill>
                <a:round/>
              </a:ln>
              <a:effectLst/>
            </c:spPr>
          </c:errBars>
          <c:cat>
            <c:strRef>
              <c:f>Cox!$C$19:$C$20</c:f>
              <c:strCache>
                <c:ptCount val="2"/>
                <c:pt idx="0">
                  <c:v>Under 3 months</c:v>
                </c:pt>
                <c:pt idx="1">
                  <c:v>3-12 months</c:v>
                </c:pt>
              </c:strCache>
            </c:strRef>
          </c:cat>
          <c:val>
            <c:numRef>
              <c:f>Cox!$K$19:$K$20</c:f>
              <c:numCache>
                <c:formatCode>0.0</c:formatCode>
                <c:ptCount val="2"/>
                <c:pt idx="0">
                  <c:v>22.296949999999999</c:v>
                </c:pt>
                <c:pt idx="1">
                  <c:v>8.6238609999999998</c:v>
                </c:pt>
              </c:numCache>
            </c:numRef>
          </c:val>
          <c:extLst>
            <c:ext xmlns:c16="http://schemas.microsoft.com/office/drawing/2014/chart" uri="{C3380CC4-5D6E-409C-BE32-E72D297353CC}">
              <c16:uniqueId val="{00000001-51D1-4A72-BCB8-166EB89F4430}"/>
            </c:ext>
          </c:extLst>
        </c:ser>
        <c:ser>
          <c:idx val="2"/>
          <c:order val="2"/>
          <c:tx>
            <c:strRef>
              <c:f>Cox!$Q$1</c:f>
              <c:strCache>
                <c:ptCount val="1"/>
                <c:pt idx="0">
                  <c:v>Only those with dementia.</c:v>
                </c:pt>
              </c:strCache>
            </c:strRef>
          </c:tx>
          <c:spPr>
            <a:solidFill>
              <a:schemeClr val="accent3"/>
            </a:solidFill>
            <a:ln>
              <a:noFill/>
            </a:ln>
            <a:effectLst/>
          </c:spPr>
          <c:invertIfNegative val="0"/>
          <c:errBars>
            <c:errBarType val="both"/>
            <c:errValType val="cust"/>
            <c:noEndCap val="0"/>
            <c:plus>
              <c:numRef>
                <c:f>Cox!$U$19:$U$20</c:f>
                <c:numCache>
                  <c:formatCode>General</c:formatCode>
                  <c:ptCount val="2"/>
                  <c:pt idx="0">
                    <c:v>6.6576409999999999</c:v>
                  </c:pt>
                  <c:pt idx="1">
                    <c:v>2.1382279999999998</c:v>
                  </c:pt>
                </c:numCache>
              </c:numRef>
            </c:plus>
            <c:minus>
              <c:numRef>
                <c:f>Cox!$T$19:$T$20</c:f>
                <c:numCache>
                  <c:formatCode>General</c:formatCode>
                  <c:ptCount val="2"/>
                  <c:pt idx="0">
                    <c:v>3.7255829999999994</c:v>
                  </c:pt>
                  <c:pt idx="1">
                    <c:v>1.268448</c:v>
                  </c:pt>
                </c:numCache>
              </c:numRef>
            </c:minus>
            <c:spPr>
              <a:noFill/>
              <a:ln w="9525" cap="flat" cmpd="sng" algn="ctr">
                <a:solidFill>
                  <a:schemeClr val="tx1">
                    <a:lumMod val="65000"/>
                    <a:lumOff val="35000"/>
                  </a:schemeClr>
                </a:solidFill>
                <a:round/>
              </a:ln>
              <a:effectLst/>
            </c:spPr>
          </c:errBars>
          <c:cat>
            <c:strRef>
              <c:f>Cox!$C$19:$C$20</c:f>
              <c:strCache>
                <c:ptCount val="2"/>
                <c:pt idx="0">
                  <c:v>Under 3 months</c:v>
                </c:pt>
                <c:pt idx="1">
                  <c:v>3-12 months</c:v>
                </c:pt>
              </c:strCache>
            </c:strRef>
          </c:cat>
          <c:val>
            <c:numRef>
              <c:f>Cox!$Q$19:$Q$20</c:f>
              <c:numCache>
                <c:formatCode>0.0</c:formatCode>
                <c:ptCount val="2"/>
                <c:pt idx="0">
                  <c:v>8.4594489999999993</c:v>
                </c:pt>
                <c:pt idx="1">
                  <c:v>3.1182970000000001</c:v>
                </c:pt>
              </c:numCache>
            </c:numRef>
          </c:val>
          <c:extLst>
            <c:ext xmlns:c16="http://schemas.microsoft.com/office/drawing/2014/chart" uri="{C3380CC4-5D6E-409C-BE32-E72D297353CC}">
              <c16:uniqueId val="{00000002-51D1-4A72-BCB8-166EB89F4430}"/>
            </c:ext>
          </c:extLst>
        </c:ser>
        <c:dLbls>
          <c:showLegendKey val="0"/>
          <c:showVal val="0"/>
          <c:showCatName val="0"/>
          <c:showSerName val="0"/>
          <c:showPercent val="0"/>
          <c:showBubbleSize val="0"/>
        </c:dLbls>
        <c:gapWidth val="219"/>
        <c:overlap val="-27"/>
        <c:axId val="399421536"/>
        <c:axId val="399426784"/>
      </c:barChart>
      <c:catAx>
        <c:axId val="399421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after discharge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426784"/>
        <c:crosses val="autoZero"/>
        <c:auto val="1"/>
        <c:lblAlgn val="ctr"/>
        <c:lblOffset val="100"/>
        <c:noMultiLvlLbl val="0"/>
      </c:catAx>
      <c:valAx>
        <c:axId val="3994267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Hazard Ratio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421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Suicide</a:t>
            </a:r>
          </a:p>
        </c:rich>
      </c:tx>
      <c:layout>
        <c:manualLayout>
          <c:xMode val="edge"/>
          <c:yMode val="edge"/>
          <c:x val="0.14017625534034522"/>
          <c:y val="3.91006842619745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834951000252486"/>
          <c:y val="0.18708701134930644"/>
          <c:w val="0.81883915517271755"/>
          <c:h val="0.66459870322010517"/>
        </c:manualLayout>
      </c:layout>
      <c:barChart>
        <c:barDir val="col"/>
        <c:grouping val="clustered"/>
        <c:varyColors val="0"/>
        <c:ser>
          <c:idx val="0"/>
          <c:order val="0"/>
          <c:tx>
            <c:strRef>
              <c:f>Cox!$C$1</c:f>
              <c:strCache>
                <c:ptCount val="1"/>
                <c:pt idx="0">
                  <c:v>All older adults</c:v>
                </c:pt>
              </c:strCache>
            </c:strRef>
          </c:tx>
          <c:spPr>
            <a:solidFill>
              <a:schemeClr val="accent1"/>
            </a:solidFill>
            <a:ln>
              <a:noFill/>
            </a:ln>
            <a:effectLst/>
          </c:spPr>
          <c:invertIfNegative val="0"/>
          <c:errBars>
            <c:errBarType val="both"/>
            <c:errValType val="cust"/>
            <c:noEndCap val="0"/>
            <c:plus>
              <c:numRef>
                <c:f>Cox!$H$4:$H$5</c:f>
                <c:numCache>
                  <c:formatCode>General</c:formatCode>
                  <c:ptCount val="2"/>
                  <c:pt idx="0">
                    <c:v>173.42840000000001</c:v>
                  </c:pt>
                  <c:pt idx="1">
                    <c:v>29.574890000000003</c:v>
                  </c:pt>
                </c:numCache>
              </c:numRef>
            </c:plus>
            <c:minus>
              <c:numRef>
                <c:f>Cox!$G$4:$G$5</c:f>
                <c:numCache>
                  <c:formatCode>General</c:formatCode>
                  <c:ptCount val="2"/>
                  <c:pt idx="0">
                    <c:v>72.786490000000001</c:v>
                  </c:pt>
                  <c:pt idx="1">
                    <c:v>17.17792</c:v>
                  </c:pt>
                </c:numCache>
              </c:numRef>
            </c:minus>
            <c:spPr>
              <a:noFill/>
              <a:ln w="9525" cap="flat" cmpd="sng" algn="ctr">
                <a:solidFill>
                  <a:schemeClr val="tx1">
                    <a:lumMod val="65000"/>
                    <a:lumOff val="35000"/>
                  </a:schemeClr>
                </a:solidFill>
                <a:round/>
              </a:ln>
              <a:effectLst/>
            </c:spPr>
          </c:errBars>
          <c:cat>
            <c:strRef>
              <c:f>Cox!$C$4:$C$5</c:f>
              <c:strCache>
                <c:ptCount val="2"/>
                <c:pt idx="0">
                  <c:v>Under 3 months</c:v>
                </c:pt>
                <c:pt idx="1">
                  <c:v>3-12 months</c:v>
                </c:pt>
              </c:strCache>
            </c:strRef>
          </c:cat>
          <c:val>
            <c:numRef>
              <c:f>Cox!$D$4:$D$5</c:f>
              <c:numCache>
                <c:formatCode>0.0</c:formatCode>
                <c:ptCount val="2"/>
                <c:pt idx="0">
                  <c:v>125.4273</c:v>
                </c:pt>
                <c:pt idx="1">
                  <c:v>40.980550000000001</c:v>
                </c:pt>
              </c:numCache>
            </c:numRef>
          </c:val>
          <c:extLst>
            <c:ext xmlns:c16="http://schemas.microsoft.com/office/drawing/2014/chart" uri="{C3380CC4-5D6E-409C-BE32-E72D297353CC}">
              <c16:uniqueId val="{00000000-8126-430F-AE4A-36066ACEFE07}"/>
            </c:ext>
          </c:extLst>
        </c:ser>
        <c:ser>
          <c:idx val="1"/>
          <c:order val="1"/>
          <c:tx>
            <c:strRef>
              <c:f>Cox!$K$1</c:f>
              <c:strCache>
                <c:ptCount val="1"/>
                <c:pt idx="0">
                  <c:v>Excluding those with a primary diagnosis of dementia</c:v>
                </c:pt>
              </c:strCache>
            </c:strRef>
          </c:tx>
          <c:spPr>
            <a:solidFill>
              <a:schemeClr val="accent2"/>
            </a:solidFill>
            <a:ln>
              <a:noFill/>
            </a:ln>
            <a:effectLst/>
          </c:spPr>
          <c:invertIfNegative val="0"/>
          <c:errBars>
            <c:errBarType val="both"/>
            <c:errValType val="cust"/>
            <c:noEndCap val="0"/>
            <c:plus>
              <c:numRef>
                <c:f>Cox!$O$4:$O$5</c:f>
                <c:numCache>
                  <c:formatCode>General</c:formatCode>
                  <c:ptCount val="2"/>
                  <c:pt idx="0">
                    <c:v>253.82839999999999</c:v>
                  </c:pt>
                  <c:pt idx="1">
                    <c:v>40.061520000000002</c:v>
                  </c:pt>
                </c:numCache>
              </c:numRef>
            </c:plus>
            <c:minus>
              <c:numRef>
                <c:f>Cox!$N$4:$N$5</c:f>
                <c:numCache>
                  <c:formatCode>General</c:formatCode>
                  <c:ptCount val="2"/>
                  <c:pt idx="0">
                    <c:v>94.392009999999999</c:v>
                  </c:pt>
                  <c:pt idx="1">
                    <c:v>22.189730000000001</c:v>
                  </c:pt>
                </c:numCache>
              </c:numRef>
            </c:minus>
            <c:spPr>
              <a:noFill/>
              <a:ln w="9525" cap="flat" cmpd="sng" algn="ctr">
                <a:solidFill>
                  <a:schemeClr val="tx1">
                    <a:lumMod val="65000"/>
                    <a:lumOff val="35000"/>
                  </a:schemeClr>
                </a:solidFill>
                <a:round/>
              </a:ln>
              <a:effectLst/>
            </c:spPr>
          </c:errBars>
          <c:cat>
            <c:strRef>
              <c:f>Cox!$C$4:$C$5</c:f>
              <c:strCache>
                <c:ptCount val="2"/>
                <c:pt idx="0">
                  <c:v>Under 3 months</c:v>
                </c:pt>
                <c:pt idx="1">
                  <c:v>3-12 months</c:v>
                </c:pt>
              </c:strCache>
            </c:strRef>
          </c:cat>
          <c:val>
            <c:numRef>
              <c:f>Cox!$K$4:$K$5</c:f>
              <c:numCache>
                <c:formatCode>0.0</c:formatCode>
                <c:ptCount val="2"/>
                <c:pt idx="0">
                  <c:v>150.27539999999999</c:v>
                </c:pt>
                <c:pt idx="1">
                  <c:v>49.740639999999999</c:v>
                </c:pt>
              </c:numCache>
            </c:numRef>
          </c:val>
          <c:extLst>
            <c:ext xmlns:c16="http://schemas.microsoft.com/office/drawing/2014/chart" uri="{C3380CC4-5D6E-409C-BE32-E72D297353CC}">
              <c16:uniqueId val="{00000001-8126-430F-AE4A-36066ACEFE07}"/>
            </c:ext>
          </c:extLst>
        </c:ser>
        <c:dLbls>
          <c:showLegendKey val="0"/>
          <c:showVal val="0"/>
          <c:showCatName val="0"/>
          <c:showSerName val="0"/>
          <c:showPercent val="0"/>
          <c:showBubbleSize val="0"/>
        </c:dLbls>
        <c:gapWidth val="219"/>
        <c:overlap val="-27"/>
        <c:axId val="399421536"/>
        <c:axId val="399426784"/>
      </c:barChart>
      <c:catAx>
        <c:axId val="399421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after discharge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426784"/>
        <c:crosses val="autoZero"/>
        <c:auto val="1"/>
        <c:lblAlgn val="ctr"/>
        <c:lblOffset val="100"/>
        <c:noMultiLvlLbl val="0"/>
      </c:catAx>
      <c:valAx>
        <c:axId val="3994267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Hazard Ratio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421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6">
                  <a:lumMod val="20000"/>
                  <a:lumOff val="80000"/>
                </a:schemeClr>
              </a:solidFill>
              <a:ln>
                <a:noFill/>
              </a:ln>
              <a:effectLst/>
            </c:spPr>
            <c:extLst>
              <c:ext xmlns:c16="http://schemas.microsoft.com/office/drawing/2014/chart" uri="{C3380CC4-5D6E-409C-BE32-E72D297353CC}">
                <c16:uniqueId val="{00000001-212D-4132-A1F5-9BD772429D5F}"/>
              </c:ext>
            </c:extLst>
          </c:dPt>
          <c:dPt>
            <c:idx val="1"/>
            <c:invertIfNegative val="0"/>
            <c:bubble3D val="0"/>
            <c:spPr>
              <a:solidFill>
                <a:schemeClr val="accent2">
                  <a:lumMod val="20000"/>
                  <a:lumOff val="80000"/>
                </a:schemeClr>
              </a:solidFill>
              <a:ln>
                <a:noFill/>
              </a:ln>
              <a:effectLst/>
            </c:spPr>
            <c:extLst>
              <c:ext xmlns:c16="http://schemas.microsoft.com/office/drawing/2014/chart" uri="{C3380CC4-5D6E-409C-BE32-E72D297353CC}">
                <c16:uniqueId val="{00000003-212D-4132-A1F5-9BD772429D5F}"/>
              </c:ext>
            </c:extLst>
          </c:dPt>
          <c:dPt>
            <c:idx val="2"/>
            <c:invertIfNegative val="0"/>
            <c:bubble3D val="0"/>
            <c:spPr>
              <a:solidFill>
                <a:schemeClr val="accent6">
                  <a:lumMod val="20000"/>
                  <a:lumOff val="80000"/>
                </a:schemeClr>
              </a:solidFill>
              <a:ln>
                <a:noFill/>
              </a:ln>
              <a:effectLst/>
            </c:spPr>
            <c:extLst>
              <c:ext xmlns:c16="http://schemas.microsoft.com/office/drawing/2014/chart" uri="{C3380CC4-5D6E-409C-BE32-E72D297353CC}">
                <c16:uniqueId val="{00000005-212D-4132-A1F5-9BD772429D5F}"/>
              </c:ext>
            </c:extLst>
          </c:dPt>
          <c:dPt>
            <c:idx val="3"/>
            <c:invertIfNegative val="0"/>
            <c:bubble3D val="0"/>
            <c:spPr>
              <a:solidFill>
                <a:schemeClr val="accent2">
                  <a:lumMod val="20000"/>
                  <a:lumOff val="80000"/>
                </a:schemeClr>
              </a:solidFill>
              <a:ln>
                <a:noFill/>
              </a:ln>
              <a:effectLst/>
            </c:spPr>
            <c:extLst>
              <c:ext xmlns:c16="http://schemas.microsoft.com/office/drawing/2014/chart" uri="{C3380CC4-5D6E-409C-BE32-E72D297353CC}">
                <c16:uniqueId val="{00000007-212D-4132-A1F5-9BD772429D5F}"/>
              </c:ext>
            </c:extLst>
          </c:dPt>
          <c:errBars>
            <c:errBarType val="both"/>
            <c:errValType val="cust"/>
            <c:noEndCap val="0"/>
            <c:plus>
              <c:numRef>
                <c:f>'Gender Graph'!$G$3:$G$6</c:f>
                <c:numCache>
                  <c:formatCode>General</c:formatCode>
                  <c:ptCount val="4"/>
                  <c:pt idx="0">
                    <c:v>19.620270000000005</c:v>
                  </c:pt>
                  <c:pt idx="1">
                    <c:v>103.8656</c:v>
                  </c:pt>
                  <c:pt idx="2">
                    <c:v>55.371129999999994</c:v>
                  </c:pt>
                  <c:pt idx="3">
                    <c:v>69.786259999999999</c:v>
                  </c:pt>
                </c:numCache>
              </c:numRef>
            </c:plus>
            <c:minus>
              <c:numRef>
                <c:f>'Gender Graph'!$F$3:$F$6</c:f>
                <c:numCache>
                  <c:formatCode>General</c:formatCode>
                  <c:ptCount val="4"/>
                  <c:pt idx="0">
                    <c:v>15.532199999999996</c:v>
                  </c:pt>
                  <c:pt idx="1">
                    <c:v>63.573900000000009</c:v>
                  </c:pt>
                  <c:pt idx="2">
                    <c:v>30.455510000000004</c:v>
                  </c:pt>
                  <c:pt idx="3">
                    <c:v>33.079449999999994</c:v>
                  </c:pt>
                </c:numCache>
              </c:numRef>
            </c:minus>
            <c:spPr>
              <a:noFill/>
              <a:ln w="9525" cap="flat" cmpd="sng" algn="ctr">
                <a:solidFill>
                  <a:schemeClr val="accent1">
                    <a:lumMod val="50000"/>
                  </a:schemeClr>
                </a:solidFill>
                <a:round/>
              </a:ln>
              <a:effectLst/>
            </c:spPr>
          </c:errBars>
          <c:cat>
            <c:strRef>
              <c:f>'Gender Graph'!$B$3:$B$6</c:f>
              <c:strCache>
                <c:ptCount val="4"/>
                <c:pt idx="0">
                  <c:v>Working Age: Male</c:v>
                </c:pt>
                <c:pt idx="1">
                  <c:v>Working Age: Female</c:v>
                </c:pt>
                <c:pt idx="2">
                  <c:v>65+: Male</c:v>
                </c:pt>
                <c:pt idx="3">
                  <c:v>65+: Female</c:v>
                </c:pt>
              </c:strCache>
            </c:strRef>
          </c:cat>
          <c:val>
            <c:numRef>
              <c:f>'Gender Graph'!$C$3:$C$6</c:f>
              <c:numCache>
                <c:formatCode>0.0</c:formatCode>
                <c:ptCount val="4"/>
                <c:pt idx="0">
                  <c:v>74.545299999999997</c:v>
                </c:pt>
                <c:pt idx="1">
                  <c:v>163.8837</c:v>
                </c:pt>
                <c:pt idx="2">
                  <c:v>67.682770000000005</c:v>
                </c:pt>
                <c:pt idx="3">
                  <c:v>62.890039999999999</c:v>
                </c:pt>
              </c:numCache>
            </c:numRef>
          </c:val>
          <c:extLst>
            <c:ext xmlns:c16="http://schemas.microsoft.com/office/drawing/2014/chart" uri="{C3380CC4-5D6E-409C-BE32-E72D297353CC}">
              <c16:uniqueId val="{00000008-212D-4132-A1F5-9BD772429D5F}"/>
            </c:ext>
          </c:extLst>
        </c:ser>
        <c:dLbls>
          <c:showLegendKey val="0"/>
          <c:showVal val="0"/>
          <c:showCatName val="0"/>
          <c:showSerName val="0"/>
          <c:showPercent val="0"/>
          <c:showBubbleSize val="0"/>
        </c:dLbls>
        <c:gapWidth val="150"/>
        <c:axId val="610260992"/>
        <c:axId val="610258696"/>
      </c:barChart>
      <c:valAx>
        <c:axId val="6102586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Hazard Ratio</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260992"/>
        <c:crosses val="autoZero"/>
        <c:crossBetween val="between"/>
      </c:valAx>
      <c:catAx>
        <c:axId val="6102609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25869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28575" cap="rnd">
              <a:no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IMD!$E$4:$E$8</c:f>
                <c:numCache>
                  <c:formatCode>General</c:formatCode>
                  <c:ptCount val="5"/>
                  <c:pt idx="0">
                    <c:v>0</c:v>
                  </c:pt>
                  <c:pt idx="1">
                    <c:v>0.27922930000000001</c:v>
                  </c:pt>
                  <c:pt idx="2">
                    <c:v>0.22003109999999992</c:v>
                  </c:pt>
                  <c:pt idx="3">
                    <c:v>0.20090070000000004</c:v>
                  </c:pt>
                  <c:pt idx="4">
                    <c:v>0.1759965</c:v>
                  </c:pt>
                </c:numCache>
              </c:numRef>
            </c:plus>
            <c:minus>
              <c:numRef>
                <c:f>IMD!$D$4:$D$8</c:f>
                <c:numCache>
                  <c:formatCode>General</c:formatCode>
                  <c:ptCount val="5"/>
                  <c:pt idx="0">
                    <c:v>0</c:v>
                  </c:pt>
                  <c:pt idx="1">
                    <c:v>0.20760749999999994</c:v>
                  </c:pt>
                  <c:pt idx="2">
                    <c:v>0.16358280000000003</c:v>
                  </c:pt>
                  <c:pt idx="3">
                    <c:v>0.15304990000000002</c:v>
                  </c:pt>
                  <c:pt idx="4">
                    <c:v>0.13439829999999997</c:v>
                  </c:pt>
                </c:numCache>
              </c:numRef>
            </c:minus>
            <c:spPr>
              <a:noFill/>
              <a:ln w="9525" cap="flat" cmpd="sng" algn="ctr">
                <a:solidFill>
                  <a:schemeClr val="tx1">
                    <a:lumMod val="65000"/>
                    <a:lumOff val="35000"/>
                  </a:schemeClr>
                </a:solidFill>
                <a:round/>
              </a:ln>
              <a:effectLst/>
            </c:spPr>
          </c:errBars>
          <c:val>
            <c:numRef>
              <c:f>IMD!$C$4:$C$8</c:f>
              <c:numCache>
                <c:formatCode>General</c:formatCode>
                <c:ptCount val="5"/>
                <c:pt idx="0">
                  <c:v>1</c:v>
                </c:pt>
                <c:pt idx="1">
                  <c:v>0.80938969999999999</c:v>
                </c:pt>
                <c:pt idx="2">
                  <c:v>0.63763460000000005</c:v>
                </c:pt>
                <c:pt idx="3">
                  <c:v>0.64257839999999999</c:v>
                </c:pt>
                <c:pt idx="4">
                  <c:v>0.56862159999999995</c:v>
                </c:pt>
              </c:numCache>
            </c:numRef>
          </c:val>
          <c:smooth val="0"/>
          <c:extLst>
            <c:ext xmlns:c16="http://schemas.microsoft.com/office/drawing/2014/chart" uri="{C3380CC4-5D6E-409C-BE32-E72D297353CC}">
              <c16:uniqueId val="{00000000-652E-4B71-9EBD-17159C37958D}"/>
            </c:ext>
          </c:extLst>
        </c:ser>
        <c:dLbls>
          <c:showLegendKey val="0"/>
          <c:showVal val="0"/>
          <c:showCatName val="0"/>
          <c:showSerName val="0"/>
          <c:showPercent val="0"/>
          <c:showBubbleSize val="0"/>
        </c:dLbls>
        <c:marker val="1"/>
        <c:smooth val="0"/>
        <c:axId val="449316928"/>
        <c:axId val="449320536"/>
      </c:lineChart>
      <c:catAx>
        <c:axId val="449316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Practice level IMD (1=least deprived)</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320536"/>
        <c:crosses val="autoZero"/>
        <c:auto val="1"/>
        <c:lblAlgn val="ctr"/>
        <c:lblOffset val="100"/>
        <c:noMultiLvlLbl val="0"/>
      </c:catAx>
      <c:valAx>
        <c:axId val="4493205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Hazard ratio</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316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25400" cap="rnd">
              <a:no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IMD!$F$38:$F$42</c:f>
                <c:numCache>
                  <c:formatCode>General</c:formatCode>
                  <c:ptCount val="5"/>
                  <c:pt idx="0">
                    <c:v>0</c:v>
                  </c:pt>
                  <c:pt idx="1">
                    <c:v>0.14463000000000004</c:v>
                  </c:pt>
                  <c:pt idx="2">
                    <c:v>0.14663899999999996</c:v>
                  </c:pt>
                  <c:pt idx="3">
                    <c:v>0.13867800000000008</c:v>
                  </c:pt>
                  <c:pt idx="4">
                    <c:v>0.14895900000000006</c:v>
                  </c:pt>
                </c:numCache>
              </c:numRef>
            </c:plus>
            <c:minus>
              <c:numRef>
                <c:f>IMD!$F$38:$F$42</c:f>
                <c:numCache>
                  <c:formatCode>General</c:formatCode>
                  <c:ptCount val="5"/>
                  <c:pt idx="0">
                    <c:v>0</c:v>
                  </c:pt>
                  <c:pt idx="1">
                    <c:v>0.14463000000000004</c:v>
                  </c:pt>
                  <c:pt idx="2">
                    <c:v>0.14663899999999996</c:v>
                  </c:pt>
                  <c:pt idx="3">
                    <c:v>0.13867800000000008</c:v>
                  </c:pt>
                  <c:pt idx="4">
                    <c:v>0.14895900000000006</c:v>
                  </c:pt>
                </c:numCache>
              </c:numRef>
            </c:minus>
            <c:spPr>
              <a:noFill/>
              <a:ln w="9525" cap="flat" cmpd="sng" algn="ctr">
                <a:solidFill>
                  <a:schemeClr val="tx1">
                    <a:lumMod val="65000"/>
                    <a:lumOff val="35000"/>
                  </a:schemeClr>
                </a:solidFill>
                <a:round/>
              </a:ln>
              <a:effectLst/>
            </c:spPr>
          </c:errBars>
          <c:val>
            <c:numRef>
              <c:f>IMD!$D$38:$D$42</c:f>
              <c:numCache>
                <c:formatCode>General</c:formatCode>
                <c:ptCount val="5"/>
                <c:pt idx="0">
                  <c:v>1</c:v>
                </c:pt>
                <c:pt idx="1">
                  <c:v>1.06576</c:v>
                </c:pt>
                <c:pt idx="2">
                  <c:v>1.156034</c:v>
                </c:pt>
                <c:pt idx="3">
                  <c:v>1.1298079999999999</c:v>
                </c:pt>
                <c:pt idx="4">
                  <c:v>1.234364</c:v>
                </c:pt>
              </c:numCache>
            </c:numRef>
          </c:val>
          <c:smooth val="0"/>
          <c:extLst>
            <c:ext xmlns:c16="http://schemas.microsoft.com/office/drawing/2014/chart" uri="{C3380CC4-5D6E-409C-BE32-E72D297353CC}">
              <c16:uniqueId val="{00000000-81D8-43B9-A95F-DAD0BFA79EF4}"/>
            </c:ext>
          </c:extLst>
        </c:ser>
        <c:dLbls>
          <c:showLegendKey val="0"/>
          <c:showVal val="0"/>
          <c:showCatName val="0"/>
          <c:showSerName val="0"/>
          <c:showPercent val="0"/>
          <c:showBubbleSize val="0"/>
        </c:dLbls>
        <c:marker val="1"/>
        <c:smooth val="0"/>
        <c:axId val="449316928"/>
        <c:axId val="449320536"/>
      </c:lineChart>
      <c:catAx>
        <c:axId val="449316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Practice level IMD (1=least deprived)</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320536"/>
        <c:crosses val="autoZero"/>
        <c:auto val="1"/>
        <c:lblAlgn val="ctr"/>
        <c:lblOffset val="100"/>
        <c:noMultiLvlLbl val="0"/>
      </c:catAx>
      <c:valAx>
        <c:axId val="449320536"/>
        <c:scaling>
          <c:orientation val="minMax"/>
          <c:min val="0.8"/>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Hazard ratio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31692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Musgrove</dc:creator>
  <cp:keywords/>
  <dc:description/>
  <cp:lastModifiedBy>Rebecca Musgrove</cp:lastModifiedBy>
  <cp:revision>3</cp:revision>
  <dcterms:created xsi:type="dcterms:W3CDTF">2021-09-28T10:52:00Z</dcterms:created>
  <dcterms:modified xsi:type="dcterms:W3CDTF">2021-09-28T11:02:00Z</dcterms:modified>
</cp:coreProperties>
</file>