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254EE9" w14:textId="77777777" w:rsidR="00BD525A" w:rsidRDefault="00BD525A" w:rsidP="00F9799C">
      <w:r>
        <w:t>Appendix 1. Additional description of the methods.</w:t>
      </w:r>
    </w:p>
    <w:p w14:paraId="74C85D73" w14:textId="72CD152A" w:rsidR="00BD525A" w:rsidRDefault="00BD525A" w:rsidP="00BD525A">
      <w:r>
        <w:t>Evaluation of Single Administrative Codes for ECT</w:t>
      </w:r>
    </w:p>
    <w:p w14:paraId="107DD342" w14:textId="24EF5CCB" w:rsidR="00BD525A" w:rsidRPr="00BD525A" w:rsidRDefault="00BD525A" w:rsidP="00BD525A">
      <w:r w:rsidRPr="00BD525A">
        <w:t>Due to the risk of miscoding, a prior study using VA data excluded all patients receiving only one ECT procedural codes.</w:t>
      </w:r>
      <w:r>
        <w:rPr>
          <w:vertAlign w:val="superscript"/>
        </w:rPr>
        <w:t>18</w:t>
      </w:r>
      <w:r w:rsidRPr="00BD525A">
        <w:t xml:space="preserve">  Therefore, when individuals in our sample had only one </w:t>
      </w:r>
      <w:r>
        <w:t xml:space="preserve">administrative code for </w:t>
      </w:r>
      <w:r w:rsidRPr="00BD525A">
        <w:t xml:space="preserve">ECT procedure documented in their EMR history, we sought confirmation for the purported procedure through a review of clinical notes in the EMR. We applied the following confirmatory word to screen for true instances of ECT: “ECT”, “(ECT)”, “Electroconvulsive.”  </w:t>
      </w:r>
      <w:r>
        <w:t xml:space="preserve">We applied these word searches to all clinical notes for the patients with a single isolated administrate code for ECT. </w:t>
      </w:r>
      <w:r w:rsidRPr="00BD525A">
        <w:t>Of 125,549 ECT procedures identified between January 1, 2000 and January 1, 2017, 3316 were a patient’s only ECT procedure during that time period.</w:t>
      </w:r>
      <w:r>
        <w:t xml:space="preserve"> In 2029 cases there was no indication of ECT in any clinical note. These 2029 possible ECT treatments were not used for additional analysis. In 1,287 cases the single administrative indication of ECT included some mention of ECT in a clinical note and these cases were retained in analysis. </w:t>
      </w:r>
      <w:r w:rsidRPr="00BD525A">
        <w:t xml:space="preserve"> </w:t>
      </w:r>
      <w:r>
        <w:t xml:space="preserve">We sought to confirm of procedure for excluding these events. We took a random sample of 3316 isolated administrative notes for ECT and evaluated </w:t>
      </w:r>
      <w:r w:rsidR="00A477F8">
        <w:t xml:space="preserve">them as either true ECT or not ECT using our text search process above, and independent review by two different psychiatrists with experience with ECT. We then calculated a kappa statistic to assess the agree of agreement </w:t>
      </w:r>
      <w:r w:rsidR="00D675F8" w:rsidRPr="00A80F7F">
        <w:t>among three “reviewers”: two psychiatrist reviewers and the natural language processing algorithm.</w:t>
      </w:r>
      <w:r w:rsidR="00D675F8">
        <w:rPr>
          <w:b/>
          <w:bCs/>
        </w:rPr>
        <w:t xml:space="preserve"> </w:t>
      </w:r>
      <w:r w:rsidR="00A477F8">
        <w:t xml:space="preserve">There results showed a kappa statistic of 0.96 indicating excellent agreement between the reviewers and suggesting that our text search procedure was successful in excluding administrative codes of ECT made in error. For confirmation we used our text search administrative codes of ECT treatments that occurred in series. We found no situation in which ECT was not mentioned in the clinical notes. </w:t>
      </w:r>
    </w:p>
    <w:p w14:paraId="0B0214C9" w14:textId="77777777" w:rsidR="00BD525A" w:rsidRDefault="00BD525A" w:rsidP="00F9799C"/>
    <w:p w14:paraId="32051885" w14:textId="47510A39" w:rsidR="00F9799C" w:rsidRDefault="00F9799C" w:rsidP="00F9799C">
      <w:r>
        <w:t>Full Propensity Score Matching Model</w:t>
      </w:r>
    </w:p>
    <w:p w14:paraId="088A6A35" w14:textId="14536CA5" w:rsidR="00F9799C" w:rsidRDefault="00F9799C" w:rsidP="00F9799C">
      <w:r>
        <w:t>Propensity Score Matching was based on a logistic regression predicting receipt of ECT. This model was developed based on differences between case and control groups demonstrated in table 1 and stepwise variable selection to identify the predictors which maximize predicted probability of ECT. The final model used for PS match had a ROC of 0.887 for prediction of ECT.</w:t>
      </w:r>
    </w:p>
    <w:p w14:paraId="6592BA47" w14:textId="77777777" w:rsidR="00F9799C" w:rsidRDefault="00F9799C" w:rsidP="00F9799C">
      <w:pPr>
        <w:rPr>
          <w:noProof/>
        </w:rPr>
      </w:pPr>
      <w:r>
        <w:rPr>
          <w:noProof/>
        </w:rPr>
        <w:t>The full logistic model is listed below along with the ROC.</w:t>
      </w:r>
    </w:p>
    <w:p w14:paraId="0B59EFDB" w14:textId="2AAD5F3F" w:rsidR="00F9799C" w:rsidRDefault="000C0079" w:rsidP="00F9799C">
      <w:pPr>
        <w:rPr>
          <w:noProof/>
        </w:rPr>
      </w:pPr>
      <w:r>
        <w:rPr>
          <w:noProof/>
        </w:rPr>
        <w:lastRenderedPageBreak/>
        <w:drawing>
          <wp:anchor distT="0" distB="0" distL="114300" distR="114300" simplePos="0" relativeHeight="251658240" behindDoc="0" locked="0" layoutInCell="1" allowOverlap="1" wp14:anchorId="0414CED6" wp14:editId="42EA584C">
            <wp:simplePos x="0" y="0"/>
            <wp:positionH relativeFrom="margin">
              <wp:posOffset>2924175</wp:posOffset>
            </wp:positionH>
            <wp:positionV relativeFrom="margin">
              <wp:posOffset>1628775</wp:posOffset>
            </wp:positionV>
            <wp:extent cx="3076575" cy="3039745"/>
            <wp:effectExtent l="0" t="0" r="9525"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3076575" cy="3039745"/>
                    </a:xfrm>
                    <a:prstGeom prst="rect">
                      <a:avLst/>
                    </a:prstGeom>
                  </pic:spPr>
                </pic:pic>
              </a:graphicData>
            </a:graphic>
          </wp:anchor>
        </w:drawing>
      </w:r>
      <w:r w:rsidR="00F9799C">
        <w:rPr>
          <w:noProof/>
        </w:rPr>
        <w:drawing>
          <wp:inline distT="0" distB="0" distL="0" distR="0" wp14:anchorId="3AEB40BA" wp14:editId="3192096E">
            <wp:extent cx="2019300" cy="6280365"/>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21761" cy="6288019"/>
                    </a:xfrm>
                    <a:prstGeom prst="rect">
                      <a:avLst/>
                    </a:prstGeom>
                  </pic:spPr>
                </pic:pic>
              </a:graphicData>
            </a:graphic>
          </wp:inline>
        </w:drawing>
      </w:r>
    </w:p>
    <w:p w14:paraId="4FC96B90" w14:textId="77777777" w:rsidR="00F9799C" w:rsidRDefault="00F9799C" w:rsidP="00F9799C">
      <w:pPr>
        <w:rPr>
          <w:noProof/>
        </w:rPr>
      </w:pPr>
    </w:p>
    <w:p w14:paraId="6A95B412" w14:textId="6FD6A506" w:rsidR="00F9799C" w:rsidRDefault="00F9799C" w:rsidP="00F9799C">
      <w:pPr>
        <w:rPr>
          <w:noProof/>
        </w:rPr>
      </w:pPr>
      <w:r>
        <w:rPr>
          <w:noProof/>
        </w:rPr>
        <w:t xml:space="preserve">The full propensity score matched model, along with the matching specifications per SAS PS Match procedure is listed below; </w:t>
      </w:r>
      <w:r w:rsidRPr="00F9799C">
        <w:rPr>
          <w:noProof/>
        </w:rPr>
        <w:t xml:space="preserve"> </w:t>
      </w:r>
    </w:p>
    <w:p w14:paraId="047906C3" w14:textId="42C5D95F" w:rsidR="00F9799C" w:rsidRDefault="00F9799C">
      <w:r>
        <w:rPr>
          <w:noProof/>
        </w:rPr>
        <w:lastRenderedPageBreak/>
        <w:drawing>
          <wp:inline distT="0" distB="0" distL="0" distR="0" wp14:anchorId="05D325DF" wp14:editId="7AE0BA77">
            <wp:extent cx="3187558" cy="76771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218547" cy="7751786"/>
                    </a:xfrm>
                    <a:prstGeom prst="rect">
                      <a:avLst/>
                    </a:prstGeom>
                  </pic:spPr>
                </pic:pic>
              </a:graphicData>
            </a:graphic>
          </wp:inline>
        </w:drawing>
      </w:r>
    </w:p>
    <w:p w14:paraId="5BF83297" w14:textId="4C990C0C" w:rsidR="0021792B" w:rsidRDefault="000C0079">
      <w:r>
        <w:t>The following descriptive and statistical measures illustrate that b</w:t>
      </w:r>
      <w:r w:rsidR="0021792B">
        <w:t>alance</w:t>
      </w:r>
      <w:r>
        <w:t xml:space="preserve"> yielded by propensity score matching process in the final matched population.  </w:t>
      </w:r>
    </w:p>
    <w:p w14:paraId="0C595F2A" w14:textId="39602F2F" w:rsidR="00795BE1" w:rsidRDefault="00795BE1">
      <w:r>
        <w:lastRenderedPageBreak/>
        <w:t>Predicted probability of receipt of ECT in full population (</w:t>
      </w:r>
      <w:r w:rsidR="00F30255" w:rsidRPr="00F30255">
        <w:rPr>
          <w:b/>
          <w:bCs/>
        </w:rPr>
        <w:t>before</w:t>
      </w:r>
      <w:r w:rsidRPr="00F30255">
        <w:rPr>
          <w:b/>
          <w:bCs/>
        </w:rPr>
        <w:t xml:space="preserve"> matching</w:t>
      </w:r>
      <w:r>
        <w:t>)</w:t>
      </w:r>
    </w:p>
    <w:p w14:paraId="12B02D0A" w14:textId="3308CC59" w:rsidR="00795BE1" w:rsidRDefault="00F30255" w:rsidP="00F30255">
      <w:pPr>
        <w:jc w:val="center"/>
      </w:pPr>
      <w:r w:rsidRPr="00F30255">
        <w:rPr>
          <w:noProof/>
        </w:rPr>
        <w:drawing>
          <wp:inline distT="0" distB="0" distL="0" distR="0" wp14:anchorId="4A601429" wp14:editId="3B9F0B76">
            <wp:extent cx="3330467" cy="24765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387110" cy="2518619"/>
                    </a:xfrm>
                    <a:prstGeom prst="rect">
                      <a:avLst/>
                    </a:prstGeom>
                  </pic:spPr>
                </pic:pic>
              </a:graphicData>
            </a:graphic>
          </wp:inline>
        </w:drawing>
      </w:r>
    </w:p>
    <w:p w14:paraId="6FF61950" w14:textId="58F0F689" w:rsidR="00795BE1" w:rsidRDefault="00795BE1" w:rsidP="00795BE1">
      <w:r>
        <w:t>Predicted probability of receipt of ECT in full population (</w:t>
      </w:r>
      <w:r w:rsidRPr="00F30255">
        <w:rPr>
          <w:b/>
          <w:bCs/>
        </w:rPr>
        <w:t>after matching</w:t>
      </w:r>
      <w:r>
        <w:t>)</w:t>
      </w:r>
    </w:p>
    <w:tbl>
      <w:tblPr>
        <w:tblStyle w:val="TableGrid"/>
        <w:tblW w:w="0" w:type="auto"/>
        <w:tblLook w:val="04A0" w:firstRow="1" w:lastRow="0" w:firstColumn="1" w:lastColumn="0" w:noHBand="0" w:noVBand="1"/>
      </w:tblPr>
      <w:tblGrid>
        <w:gridCol w:w="3116"/>
        <w:gridCol w:w="3117"/>
        <w:gridCol w:w="3117"/>
      </w:tblGrid>
      <w:tr w:rsidR="00795BE1" w14:paraId="1979C60E" w14:textId="77777777" w:rsidTr="00F30255">
        <w:trPr>
          <w:trHeight w:val="252"/>
        </w:trPr>
        <w:tc>
          <w:tcPr>
            <w:tcW w:w="3116" w:type="dxa"/>
          </w:tcPr>
          <w:p w14:paraId="4F360860" w14:textId="77777777" w:rsidR="00795BE1" w:rsidRDefault="00795BE1" w:rsidP="00913846"/>
        </w:tc>
        <w:tc>
          <w:tcPr>
            <w:tcW w:w="3117" w:type="dxa"/>
          </w:tcPr>
          <w:p w14:paraId="66EC1D85" w14:textId="77777777" w:rsidR="00795BE1" w:rsidRDefault="00795BE1" w:rsidP="00913846">
            <w:r>
              <w:t>N</w:t>
            </w:r>
          </w:p>
        </w:tc>
        <w:tc>
          <w:tcPr>
            <w:tcW w:w="3117" w:type="dxa"/>
          </w:tcPr>
          <w:p w14:paraId="0B355E92" w14:textId="77777777" w:rsidR="00795BE1" w:rsidRDefault="00795BE1" w:rsidP="00913846">
            <w:r>
              <w:t xml:space="preserve">Median Predicated Prob (IQR) </w:t>
            </w:r>
          </w:p>
        </w:tc>
      </w:tr>
      <w:tr w:rsidR="00795BE1" w14:paraId="56051F29" w14:textId="77777777" w:rsidTr="00F30255">
        <w:trPr>
          <w:trHeight w:val="252"/>
        </w:trPr>
        <w:tc>
          <w:tcPr>
            <w:tcW w:w="3116" w:type="dxa"/>
          </w:tcPr>
          <w:p w14:paraId="6FAFD7B5" w14:textId="77777777" w:rsidR="00795BE1" w:rsidRDefault="00795BE1" w:rsidP="00913846">
            <w:r>
              <w:t>Total</w:t>
            </w:r>
          </w:p>
        </w:tc>
        <w:tc>
          <w:tcPr>
            <w:tcW w:w="3117" w:type="dxa"/>
          </w:tcPr>
          <w:p w14:paraId="47F325AD" w14:textId="0194A1AB" w:rsidR="00795BE1" w:rsidRDefault="00F30255" w:rsidP="00913846">
            <w:r>
              <w:t>15,194</w:t>
            </w:r>
          </w:p>
        </w:tc>
        <w:tc>
          <w:tcPr>
            <w:tcW w:w="3117" w:type="dxa"/>
          </w:tcPr>
          <w:p w14:paraId="55F93F7A" w14:textId="583097CA" w:rsidR="00795BE1" w:rsidRDefault="00795BE1" w:rsidP="00913846">
            <w:r>
              <w:t>0.</w:t>
            </w:r>
            <w:r w:rsidR="00F30255">
              <w:t>339 (0.055)</w:t>
            </w:r>
          </w:p>
        </w:tc>
      </w:tr>
      <w:tr w:rsidR="00795BE1" w14:paraId="6D24F136" w14:textId="77777777" w:rsidTr="00F30255">
        <w:trPr>
          <w:trHeight w:val="252"/>
        </w:trPr>
        <w:tc>
          <w:tcPr>
            <w:tcW w:w="3116" w:type="dxa"/>
          </w:tcPr>
          <w:p w14:paraId="1D893AB1" w14:textId="78C80281" w:rsidR="00795BE1" w:rsidRDefault="00795BE1" w:rsidP="00913846">
            <w:r>
              <w:t>Case (ECT</w:t>
            </w:r>
            <w:r w:rsidR="00F30255">
              <w:t>=1</w:t>
            </w:r>
            <w:r>
              <w:t>)</w:t>
            </w:r>
          </w:p>
        </w:tc>
        <w:tc>
          <w:tcPr>
            <w:tcW w:w="3117" w:type="dxa"/>
          </w:tcPr>
          <w:p w14:paraId="349D6720" w14:textId="6099D231" w:rsidR="00795BE1" w:rsidRDefault="00F30255" w:rsidP="00913846">
            <w:r>
              <w:t>10,097</w:t>
            </w:r>
          </w:p>
        </w:tc>
        <w:tc>
          <w:tcPr>
            <w:tcW w:w="3117" w:type="dxa"/>
          </w:tcPr>
          <w:p w14:paraId="158A13C4" w14:textId="31A9A882" w:rsidR="00795BE1" w:rsidRDefault="00F30255" w:rsidP="00913846">
            <w:r>
              <w:t>0.337 (0.055)</w:t>
            </w:r>
          </w:p>
        </w:tc>
      </w:tr>
      <w:tr w:rsidR="00795BE1" w14:paraId="7A0080F2" w14:textId="77777777" w:rsidTr="00F30255">
        <w:trPr>
          <w:trHeight w:val="243"/>
        </w:trPr>
        <w:tc>
          <w:tcPr>
            <w:tcW w:w="3116" w:type="dxa"/>
          </w:tcPr>
          <w:p w14:paraId="3D46887F" w14:textId="3DD6FD43" w:rsidR="00795BE1" w:rsidRDefault="00795BE1" w:rsidP="00913846">
            <w:r>
              <w:t>Control (</w:t>
            </w:r>
            <w:r w:rsidR="00F30255">
              <w:t>ECT=1</w:t>
            </w:r>
            <w:r>
              <w:t>)</w:t>
            </w:r>
          </w:p>
        </w:tc>
        <w:tc>
          <w:tcPr>
            <w:tcW w:w="3117" w:type="dxa"/>
          </w:tcPr>
          <w:p w14:paraId="55EF4EEC" w14:textId="47129AAC" w:rsidR="00795BE1" w:rsidRDefault="00F30255" w:rsidP="00913846">
            <w:r>
              <w:t>5,097</w:t>
            </w:r>
          </w:p>
        </w:tc>
        <w:tc>
          <w:tcPr>
            <w:tcW w:w="3117" w:type="dxa"/>
          </w:tcPr>
          <w:p w14:paraId="58B384F5" w14:textId="12CA9DB6" w:rsidR="00795BE1" w:rsidRDefault="00F30255" w:rsidP="00913846">
            <w:r>
              <w:t>0.343 (0.052)</w:t>
            </w:r>
          </w:p>
        </w:tc>
      </w:tr>
    </w:tbl>
    <w:p w14:paraId="42266198" w14:textId="07A065BB" w:rsidR="00795BE1" w:rsidRDefault="000C0079" w:rsidP="000C0079">
      <w:pPr>
        <w:jc w:val="center"/>
      </w:pPr>
      <w:r>
        <w:rPr>
          <w:noProof/>
        </w:rPr>
        <w:drawing>
          <wp:inline distT="0" distB="0" distL="0" distR="0" wp14:anchorId="2F6B6EC2" wp14:editId="5C09C7D3">
            <wp:extent cx="3505200" cy="2604098"/>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05960" cy="2678955"/>
                    </a:xfrm>
                    <a:prstGeom prst="rect">
                      <a:avLst/>
                    </a:prstGeom>
                  </pic:spPr>
                </pic:pic>
              </a:graphicData>
            </a:graphic>
          </wp:inline>
        </w:drawing>
      </w:r>
    </w:p>
    <w:p w14:paraId="67BC5F10" w14:textId="22E9B260" w:rsidR="00795BE1" w:rsidRDefault="00795BE1"/>
    <w:p w14:paraId="68CBA6FC" w14:textId="77777777" w:rsidR="00FB6EC6" w:rsidRDefault="00FB6EC6">
      <w:pPr>
        <w:rPr>
          <w:b/>
          <w:bCs/>
        </w:rPr>
      </w:pPr>
      <w:r>
        <w:rPr>
          <w:b/>
          <w:bCs/>
        </w:rPr>
        <w:t>Propensity Score Information in Full and Matched Sample</w:t>
      </w:r>
    </w:p>
    <w:tbl>
      <w:tblPr>
        <w:tblStyle w:val="TableGrid"/>
        <w:tblW w:w="7870" w:type="dxa"/>
        <w:tblLook w:val="04A0" w:firstRow="1" w:lastRow="0" w:firstColumn="1" w:lastColumn="0" w:noHBand="0" w:noVBand="1"/>
      </w:tblPr>
      <w:tblGrid>
        <w:gridCol w:w="1298"/>
        <w:gridCol w:w="1295"/>
        <w:gridCol w:w="1287"/>
        <w:gridCol w:w="1417"/>
        <w:gridCol w:w="1292"/>
        <w:gridCol w:w="1281"/>
      </w:tblGrid>
      <w:tr w:rsidR="00FB6EC6" w14:paraId="2AE83F68" w14:textId="77777777" w:rsidTr="00FB6EC6">
        <w:trPr>
          <w:trHeight w:val="287"/>
        </w:trPr>
        <w:tc>
          <w:tcPr>
            <w:tcW w:w="1298" w:type="dxa"/>
          </w:tcPr>
          <w:p w14:paraId="7F31EC1E" w14:textId="77777777" w:rsidR="00FB6EC6" w:rsidRDefault="00FB6EC6">
            <w:pPr>
              <w:rPr>
                <w:b/>
                <w:bCs/>
              </w:rPr>
            </w:pPr>
          </w:p>
        </w:tc>
        <w:tc>
          <w:tcPr>
            <w:tcW w:w="6572" w:type="dxa"/>
            <w:gridSpan w:val="5"/>
          </w:tcPr>
          <w:p w14:paraId="475D86C8" w14:textId="77777777" w:rsidR="00FB6EC6" w:rsidRDefault="00FB6EC6" w:rsidP="00FB6EC6">
            <w:pPr>
              <w:jc w:val="center"/>
              <w:rPr>
                <w:b/>
                <w:bCs/>
              </w:rPr>
            </w:pPr>
            <w:r>
              <w:rPr>
                <w:b/>
                <w:bCs/>
              </w:rPr>
              <w:t>Standardized Mean Difference in Logit Propensity Score</w:t>
            </w:r>
          </w:p>
          <w:p w14:paraId="6DB7453E" w14:textId="6A088331" w:rsidR="00FB6EC6" w:rsidRDefault="00FB6EC6" w:rsidP="00FB6EC6">
            <w:pPr>
              <w:jc w:val="center"/>
              <w:rPr>
                <w:b/>
                <w:bCs/>
              </w:rPr>
            </w:pPr>
            <w:r>
              <w:rPr>
                <w:b/>
                <w:bCs/>
              </w:rPr>
              <w:t>(</w:t>
            </w:r>
            <w:proofErr w:type="gramStart"/>
            <w:r>
              <w:rPr>
                <w:b/>
                <w:bCs/>
              </w:rPr>
              <w:t>Case(</w:t>
            </w:r>
            <w:proofErr w:type="gramEnd"/>
            <w:r>
              <w:rPr>
                <w:b/>
                <w:bCs/>
              </w:rPr>
              <w:t>ECT=1)  -  Control (ECT=0))</w:t>
            </w:r>
          </w:p>
        </w:tc>
      </w:tr>
      <w:tr w:rsidR="00FB6EC6" w14:paraId="373F2561" w14:textId="77777777" w:rsidTr="00FB6EC6">
        <w:trPr>
          <w:trHeight w:val="462"/>
        </w:trPr>
        <w:tc>
          <w:tcPr>
            <w:tcW w:w="1298" w:type="dxa"/>
          </w:tcPr>
          <w:p w14:paraId="5FFC841C" w14:textId="77777777" w:rsidR="00FB6EC6" w:rsidRDefault="00FB6EC6">
            <w:pPr>
              <w:rPr>
                <w:b/>
                <w:bCs/>
              </w:rPr>
            </w:pPr>
          </w:p>
        </w:tc>
        <w:tc>
          <w:tcPr>
            <w:tcW w:w="1295" w:type="dxa"/>
          </w:tcPr>
          <w:p w14:paraId="756509D3" w14:textId="39DD7FA2" w:rsidR="00FB6EC6" w:rsidRDefault="00FB6EC6">
            <w:pPr>
              <w:rPr>
                <w:b/>
                <w:bCs/>
              </w:rPr>
            </w:pPr>
            <w:r>
              <w:rPr>
                <w:b/>
                <w:bCs/>
              </w:rPr>
              <w:t>Mean Difference</w:t>
            </w:r>
          </w:p>
        </w:tc>
        <w:tc>
          <w:tcPr>
            <w:tcW w:w="1287" w:type="dxa"/>
          </w:tcPr>
          <w:p w14:paraId="56526A97" w14:textId="24A794A7" w:rsidR="00FB6EC6" w:rsidRDefault="00FB6EC6">
            <w:pPr>
              <w:rPr>
                <w:b/>
                <w:bCs/>
              </w:rPr>
            </w:pPr>
            <w:r>
              <w:rPr>
                <w:b/>
                <w:bCs/>
              </w:rPr>
              <w:t>Standard Deviation</w:t>
            </w:r>
          </w:p>
        </w:tc>
        <w:tc>
          <w:tcPr>
            <w:tcW w:w="1417" w:type="dxa"/>
          </w:tcPr>
          <w:p w14:paraId="4036D3D2" w14:textId="393C388E" w:rsidR="00FB6EC6" w:rsidRDefault="00FB6EC6">
            <w:pPr>
              <w:rPr>
                <w:b/>
                <w:bCs/>
              </w:rPr>
            </w:pPr>
            <w:r>
              <w:rPr>
                <w:b/>
                <w:bCs/>
              </w:rPr>
              <w:t>Standardized Difference</w:t>
            </w:r>
          </w:p>
        </w:tc>
        <w:tc>
          <w:tcPr>
            <w:tcW w:w="1292" w:type="dxa"/>
          </w:tcPr>
          <w:p w14:paraId="1268F5FC" w14:textId="18FB75E9" w:rsidR="00FB6EC6" w:rsidRDefault="00FB6EC6">
            <w:pPr>
              <w:rPr>
                <w:b/>
                <w:bCs/>
              </w:rPr>
            </w:pPr>
            <w:r>
              <w:rPr>
                <w:b/>
                <w:bCs/>
              </w:rPr>
              <w:t>Percent Reduction</w:t>
            </w:r>
          </w:p>
        </w:tc>
        <w:tc>
          <w:tcPr>
            <w:tcW w:w="1281" w:type="dxa"/>
          </w:tcPr>
          <w:p w14:paraId="5FB17E17" w14:textId="23441979" w:rsidR="00FB6EC6" w:rsidRDefault="00FB6EC6">
            <w:pPr>
              <w:rPr>
                <w:b/>
                <w:bCs/>
              </w:rPr>
            </w:pPr>
            <w:r>
              <w:rPr>
                <w:b/>
                <w:bCs/>
              </w:rPr>
              <w:t>Variance Ratio</w:t>
            </w:r>
          </w:p>
        </w:tc>
      </w:tr>
      <w:tr w:rsidR="00FB6EC6" w14:paraId="2B1DA8A5" w14:textId="77777777" w:rsidTr="00FB6EC6">
        <w:trPr>
          <w:trHeight w:val="222"/>
        </w:trPr>
        <w:tc>
          <w:tcPr>
            <w:tcW w:w="1298" w:type="dxa"/>
          </w:tcPr>
          <w:p w14:paraId="20333A1E" w14:textId="60DF03AE" w:rsidR="00FB6EC6" w:rsidRDefault="00FB6EC6" w:rsidP="00FB6EC6">
            <w:pPr>
              <w:rPr>
                <w:b/>
                <w:bCs/>
              </w:rPr>
            </w:pPr>
            <w:r>
              <w:rPr>
                <w:b/>
                <w:bCs/>
              </w:rPr>
              <w:t>All</w:t>
            </w:r>
          </w:p>
        </w:tc>
        <w:tc>
          <w:tcPr>
            <w:tcW w:w="1295" w:type="dxa"/>
          </w:tcPr>
          <w:p w14:paraId="68494379" w14:textId="472916C6" w:rsidR="00FB6EC6" w:rsidRDefault="00737BF0" w:rsidP="00FB6EC6">
            <w:pPr>
              <w:rPr>
                <w:b/>
                <w:bCs/>
              </w:rPr>
            </w:pPr>
            <w:r>
              <w:rPr>
                <w:b/>
                <w:bCs/>
              </w:rPr>
              <w:t>0.067</w:t>
            </w:r>
          </w:p>
        </w:tc>
        <w:tc>
          <w:tcPr>
            <w:tcW w:w="1287" w:type="dxa"/>
          </w:tcPr>
          <w:p w14:paraId="443DB8C6" w14:textId="658E604F" w:rsidR="00FB6EC6" w:rsidRDefault="00737BF0" w:rsidP="00FB6EC6">
            <w:pPr>
              <w:rPr>
                <w:b/>
                <w:bCs/>
              </w:rPr>
            </w:pPr>
            <w:r>
              <w:rPr>
                <w:b/>
                <w:bCs/>
              </w:rPr>
              <w:t>0.069</w:t>
            </w:r>
          </w:p>
        </w:tc>
        <w:tc>
          <w:tcPr>
            <w:tcW w:w="1417" w:type="dxa"/>
          </w:tcPr>
          <w:p w14:paraId="5DAE6A19" w14:textId="18AC051F" w:rsidR="00FB6EC6" w:rsidRDefault="00737BF0" w:rsidP="00FB6EC6">
            <w:pPr>
              <w:rPr>
                <w:b/>
                <w:bCs/>
              </w:rPr>
            </w:pPr>
            <w:r>
              <w:rPr>
                <w:b/>
                <w:bCs/>
              </w:rPr>
              <w:t>0</w:t>
            </w:r>
            <w:r w:rsidR="00FB6EC6">
              <w:rPr>
                <w:b/>
                <w:bCs/>
              </w:rPr>
              <w:t>.</w:t>
            </w:r>
            <w:r>
              <w:rPr>
                <w:b/>
                <w:bCs/>
              </w:rPr>
              <w:t>96</w:t>
            </w:r>
          </w:p>
        </w:tc>
        <w:tc>
          <w:tcPr>
            <w:tcW w:w="1292" w:type="dxa"/>
          </w:tcPr>
          <w:p w14:paraId="07292591" w14:textId="2D598EF9" w:rsidR="00FB6EC6" w:rsidRDefault="00FB6EC6" w:rsidP="00FB6EC6">
            <w:pPr>
              <w:rPr>
                <w:b/>
                <w:bCs/>
              </w:rPr>
            </w:pPr>
            <w:r>
              <w:rPr>
                <w:b/>
                <w:bCs/>
              </w:rPr>
              <w:t>--</w:t>
            </w:r>
          </w:p>
        </w:tc>
        <w:tc>
          <w:tcPr>
            <w:tcW w:w="1281" w:type="dxa"/>
          </w:tcPr>
          <w:p w14:paraId="5092CF0B" w14:textId="092672C1" w:rsidR="00FB6EC6" w:rsidRDefault="00737BF0" w:rsidP="00FB6EC6">
            <w:pPr>
              <w:rPr>
                <w:b/>
                <w:bCs/>
              </w:rPr>
            </w:pPr>
            <w:r>
              <w:rPr>
                <w:b/>
                <w:bCs/>
              </w:rPr>
              <w:t>15.35</w:t>
            </w:r>
          </w:p>
        </w:tc>
      </w:tr>
      <w:tr w:rsidR="00FB6EC6" w14:paraId="112F4A24" w14:textId="77777777" w:rsidTr="00FB6EC6">
        <w:trPr>
          <w:trHeight w:val="231"/>
        </w:trPr>
        <w:tc>
          <w:tcPr>
            <w:tcW w:w="1298" w:type="dxa"/>
          </w:tcPr>
          <w:p w14:paraId="2BDB9F01" w14:textId="5D2E9DE0" w:rsidR="00FB6EC6" w:rsidRDefault="00FB6EC6" w:rsidP="00FB6EC6">
            <w:pPr>
              <w:rPr>
                <w:b/>
                <w:bCs/>
              </w:rPr>
            </w:pPr>
            <w:r>
              <w:rPr>
                <w:b/>
                <w:bCs/>
              </w:rPr>
              <w:t>Matched</w:t>
            </w:r>
          </w:p>
        </w:tc>
        <w:tc>
          <w:tcPr>
            <w:tcW w:w="1295" w:type="dxa"/>
          </w:tcPr>
          <w:p w14:paraId="236FB3C5" w14:textId="3F2BA266" w:rsidR="00FB6EC6" w:rsidRDefault="00FB6EC6" w:rsidP="00FB6EC6">
            <w:pPr>
              <w:rPr>
                <w:b/>
                <w:bCs/>
              </w:rPr>
            </w:pPr>
            <w:r>
              <w:rPr>
                <w:b/>
                <w:bCs/>
              </w:rPr>
              <w:t>0.0</w:t>
            </w:r>
            <w:r w:rsidR="00737BF0">
              <w:rPr>
                <w:b/>
                <w:bCs/>
              </w:rPr>
              <w:t>03</w:t>
            </w:r>
          </w:p>
        </w:tc>
        <w:tc>
          <w:tcPr>
            <w:tcW w:w="1287" w:type="dxa"/>
          </w:tcPr>
          <w:p w14:paraId="38AAA917" w14:textId="54726EFF" w:rsidR="00FB6EC6" w:rsidRDefault="00737BF0" w:rsidP="00FB6EC6">
            <w:pPr>
              <w:rPr>
                <w:b/>
                <w:bCs/>
              </w:rPr>
            </w:pPr>
            <w:r>
              <w:rPr>
                <w:b/>
                <w:bCs/>
              </w:rPr>
              <w:t>--</w:t>
            </w:r>
          </w:p>
        </w:tc>
        <w:tc>
          <w:tcPr>
            <w:tcW w:w="1417" w:type="dxa"/>
          </w:tcPr>
          <w:p w14:paraId="0F504E35" w14:textId="41B93305" w:rsidR="00FB6EC6" w:rsidRDefault="00FB6EC6" w:rsidP="00FB6EC6">
            <w:pPr>
              <w:rPr>
                <w:b/>
                <w:bCs/>
              </w:rPr>
            </w:pPr>
            <w:r>
              <w:rPr>
                <w:b/>
                <w:bCs/>
              </w:rPr>
              <w:t>0.0</w:t>
            </w:r>
            <w:r w:rsidR="00737BF0">
              <w:rPr>
                <w:b/>
                <w:bCs/>
              </w:rPr>
              <w:t>5</w:t>
            </w:r>
          </w:p>
        </w:tc>
        <w:tc>
          <w:tcPr>
            <w:tcW w:w="1292" w:type="dxa"/>
          </w:tcPr>
          <w:p w14:paraId="16D4FF3A" w14:textId="2E45A9E2" w:rsidR="00FB6EC6" w:rsidRDefault="00FB6EC6" w:rsidP="00FB6EC6">
            <w:pPr>
              <w:rPr>
                <w:b/>
                <w:bCs/>
              </w:rPr>
            </w:pPr>
            <w:r>
              <w:rPr>
                <w:b/>
                <w:bCs/>
              </w:rPr>
              <w:t>9</w:t>
            </w:r>
            <w:r w:rsidR="00737BF0">
              <w:rPr>
                <w:b/>
                <w:bCs/>
              </w:rPr>
              <w:t>5</w:t>
            </w:r>
            <w:r>
              <w:rPr>
                <w:b/>
                <w:bCs/>
              </w:rPr>
              <w:t>.</w:t>
            </w:r>
            <w:r w:rsidR="00737BF0">
              <w:rPr>
                <w:b/>
                <w:bCs/>
              </w:rPr>
              <w:t>00</w:t>
            </w:r>
          </w:p>
        </w:tc>
        <w:tc>
          <w:tcPr>
            <w:tcW w:w="1281" w:type="dxa"/>
          </w:tcPr>
          <w:p w14:paraId="045021DA" w14:textId="32EF43C2" w:rsidR="00FB6EC6" w:rsidRDefault="00FB6EC6" w:rsidP="00FB6EC6">
            <w:pPr>
              <w:rPr>
                <w:b/>
                <w:bCs/>
              </w:rPr>
            </w:pPr>
            <w:r>
              <w:rPr>
                <w:b/>
                <w:bCs/>
              </w:rPr>
              <w:t>1.</w:t>
            </w:r>
            <w:r w:rsidR="00737BF0">
              <w:rPr>
                <w:b/>
                <w:bCs/>
              </w:rPr>
              <w:t>17</w:t>
            </w:r>
          </w:p>
        </w:tc>
      </w:tr>
    </w:tbl>
    <w:p w14:paraId="7E7E4E46" w14:textId="2E78BBDC" w:rsidR="00FB6EC6" w:rsidRDefault="00FB6EC6">
      <w:pPr>
        <w:rPr>
          <w:b/>
          <w:bCs/>
        </w:rPr>
      </w:pPr>
    </w:p>
    <w:p w14:paraId="314A879E" w14:textId="090C406E" w:rsidR="00FB6EC6" w:rsidRDefault="00737BF0">
      <w:pPr>
        <w:rPr>
          <w:b/>
          <w:bCs/>
        </w:rPr>
      </w:pPr>
      <w:r>
        <w:rPr>
          <w:noProof/>
        </w:rPr>
        <w:drawing>
          <wp:inline distT="0" distB="0" distL="0" distR="0" wp14:anchorId="751DD939" wp14:editId="15235F50">
            <wp:extent cx="4067175" cy="30480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67175" cy="3048000"/>
                    </a:xfrm>
                    <a:prstGeom prst="rect">
                      <a:avLst/>
                    </a:prstGeom>
                  </pic:spPr>
                </pic:pic>
              </a:graphicData>
            </a:graphic>
          </wp:inline>
        </w:drawing>
      </w:r>
    </w:p>
    <w:p w14:paraId="36107090" w14:textId="3948F96A" w:rsidR="00737BF0" w:rsidRDefault="00737BF0">
      <w:pPr>
        <w:rPr>
          <w:b/>
          <w:bCs/>
        </w:rPr>
      </w:pPr>
      <w:r>
        <w:rPr>
          <w:b/>
          <w:bCs/>
        </w:rPr>
        <w:t xml:space="preserve">For more information on mean differences as a measure of matching balance and statistical calculations for standardized differences, see SAS see </w:t>
      </w:r>
      <w:proofErr w:type="spellStart"/>
      <w:r>
        <w:rPr>
          <w:b/>
          <w:bCs/>
        </w:rPr>
        <w:t>PSMatch</w:t>
      </w:r>
      <w:proofErr w:type="spellEnd"/>
      <w:r>
        <w:rPr>
          <w:b/>
          <w:bCs/>
        </w:rPr>
        <w:t xml:space="preserve">  Documentation (p. 7714): </w:t>
      </w:r>
      <w:hyperlink r:id="rId10" w:history="1">
        <w:r w:rsidRPr="00381E4E">
          <w:rPr>
            <w:rStyle w:val="Hyperlink"/>
            <w:b/>
            <w:bCs/>
          </w:rPr>
          <w:t>https://support.sas.com/documentation/onlinedoc/stat/142/psmatch.pdf</w:t>
        </w:r>
      </w:hyperlink>
      <w:r>
        <w:rPr>
          <w:b/>
          <w:bCs/>
        </w:rPr>
        <w:t xml:space="preserve"> </w:t>
      </w:r>
    </w:p>
    <w:p w14:paraId="360C7D27" w14:textId="77777777" w:rsidR="00FB6EC6" w:rsidRDefault="00FB6EC6">
      <w:pPr>
        <w:rPr>
          <w:b/>
          <w:bCs/>
        </w:rPr>
      </w:pPr>
    </w:p>
    <w:p w14:paraId="4C3F021E" w14:textId="64BE3D00" w:rsidR="00F30255" w:rsidRDefault="00F30255">
      <w:pPr>
        <w:rPr>
          <w:b/>
          <w:bCs/>
        </w:rPr>
      </w:pPr>
      <w:r w:rsidRPr="00F30255">
        <w:rPr>
          <w:b/>
          <w:bCs/>
        </w:rPr>
        <w:t>Statistical Test of Balance</w:t>
      </w:r>
    </w:p>
    <w:p w14:paraId="71371AAA" w14:textId="3589898C" w:rsidR="00737BF0" w:rsidRPr="00F30255" w:rsidRDefault="00737BF0">
      <w:pPr>
        <w:rPr>
          <w:b/>
          <w:bCs/>
        </w:rPr>
      </w:pPr>
      <w:r>
        <w:t>Kolmogorov Smirnov test examines whether the distribution of a variable (in this case propensity score) is the same across different groups</w:t>
      </w:r>
    </w:p>
    <w:tbl>
      <w:tblPr>
        <w:tblStyle w:val="TableGrid"/>
        <w:tblW w:w="0" w:type="auto"/>
        <w:tblLook w:val="04A0" w:firstRow="1" w:lastRow="0" w:firstColumn="1" w:lastColumn="0" w:noHBand="0" w:noVBand="1"/>
      </w:tblPr>
      <w:tblGrid>
        <w:gridCol w:w="2337"/>
        <w:gridCol w:w="2337"/>
        <w:gridCol w:w="2338"/>
        <w:gridCol w:w="2338"/>
      </w:tblGrid>
      <w:tr w:rsidR="0021792B" w14:paraId="3C0E95AC" w14:textId="77777777" w:rsidTr="00FD4F77">
        <w:tc>
          <w:tcPr>
            <w:tcW w:w="9350" w:type="dxa"/>
            <w:gridSpan w:val="4"/>
          </w:tcPr>
          <w:p w14:paraId="7A1CC06A" w14:textId="55414C68" w:rsidR="0021792B" w:rsidRDefault="0021792B">
            <w:r>
              <w:t>Kolmogorov-Smirnov Test for Propensity Score Classified by Case-Control status</w:t>
            </w:r>
          </w:p>
        </w:tc>
      </w:tr>
      <w:tr w:rsidR="0021792B" w14:paraId="791BFD0B" w14:textId="77777777" w:rsidTr="0021792B">
        <w:tc>
          <w:tcPr>
            <w:tcW w:w="2337" w:type="dxa"/>
          </w:tcPr>
          <w:p w14:paraId="62B914D1" w14:textId="4B511C36" w:rsidR="0021792B" w:rsidRDefault="0021792B">
            <w:r>
              <w:t>Case/ Control</w:t>
            </w:r>
          </w:p>
        </w:tc>
        <w:tc>
          <w:tcPr>
            <w:tcW w:w="2337" w:type="dxa"/>
          </w:tcPr>
          <w:p w14:paraId="71609441" w14:textId="3A1BC77F" w:rsidR="0021792B" w:rsidRDefault="0021792B">
            <w:r>
              <w:t>N</w:t>
            </w:r>
          </w:p>
        </w:tc>
        <w:tc>
          <w:tcPr>
            <w:tcW w:w="2338" w:type="dxa"/>
          </w:tcPr>
          <w:p w14:paraId="212464E5" w14:textId="0855D731" w:rsidR="0021792B" w:rsidRDefault="00D675F8">
            <w:r w:rsidRPr="00A80F7F">
              <w:t>Empirical</w:t>
            </w:r>
            <w:r w:rsidR="00737BF0">
              <w:t xml:space="preserve"> </w:t>
            </w:r>
            <w:r w:rsidR="0021792B">
              <w:t>D</w:t>
            </w:r>
            <w:r w:rsidR="00737BF0">
              <w:t xml:space="preserve">istribution </w:t>
            </w:r>
            <w:r w:rsidR="0021792B">
              <w:t>F</w:t>
            </w:r>
            <w:r w:rsidR="00737BF0">
              <w:t>unctional</w:t>
            </w:r>
            <w:r w:rsidR="0021792B">
              <w:t xml:space="preserve"> at Maximum </w:t>
            </w:r>
          </w:p>
        </w:tc>
        <w:tc>
          <w:tcPr>
            <w:tcW w:w="2338" w:type="dxa"/>
          </w:tcPr>
          <w:p w14:paraId="0C3F7299" w14:textId="3B7D5266" w:rsidR="0021792B" w:rsidRDefault="0021792B">
            <w:r>
              <w:t>Deviation</w:t>
            </w:r>
            <w:r w:rsidR="00D675F8">
              <w:t xml:space="preserve"> </w:t>
            </w:r>
            <w:r w:rsidR="00D675F8" w:rsidRPr="00A80F7F">
              <w:t>from</w:t>
            </w:r>
            <w:r w:rsidR="00D675F8" w:rsidRPr="00D675F8">
              <w:rPr>
                <w:b/>
                <w:bCs/>
              </w:rPr>
              <w:t xml:space="preserve"> </w:t>
            </w:r>
            <w:r>
              <w:t>Means at Maximum</w:t>
            </w:r>
          </w:p>
        </w:tc>
      </w:tr>
      <w:tr w:rsidR="0021792B" w14:paraId="083CA698" w14:textId="77777777" w:rsidTr="0021792B">
        <w:tc>
          <w:tcPr>
            <w:tcW w:w="2337" w:type="dxa"/>
          </w:tcPr>
          <w:p w14:paraId="41C7884E" w14:textId="109013EC" w:rsidR="0021792B" w:rsidRDefault="0021792B">
            <w:r>
              <w:t>Case (ECT)</w:t>
            </w:r>
          </w:p>
        </w:tc>
        <w:tc>
          <w:tcPr>
            <w:tcW w:w="2337" w:type="dxa"/>
          </w:tcPr>
          <w:p w14:paraId="1EC4F52D" w14:textId="53C3FA1C" w:rsidR="0021792B" w:rsidRDefault="0021792B">
            <w:r>
              <w:t>5097</w:t>
            </w:r>
          </w:p>
        </w:tc>
        <w:tc>
          <w:tcPr>
            <w:tcW w:w="2338" w:type="dxa"/>
          </w:tcPr>
          <w:p w14:paraId="04FE74DA" w14:textId="3B34F21C" w:rsidR="0021792B" w:rsidRDefault="0021792B">
            <w:r>
              <w:t>0.916</w:t>
            </w:r>
          </w:p>
        </w:tc>
        <w:tc>
          <w:tcPr>
            <w:tcW w:w="2338" w:type="dxa"/>
          </w:tcPr>
          <w:p w14:paraId="30D576D5" w14:textId="4C882FE0" w:rsidR="0021792B" w:rsidRDefault="0021792B">
            <w:r>
              <w:t>-0.69</w:t>
            </w:r>
          </w:p>
        </w:tc>
      </w:tr>
      <w:tr w:rsidR="0021792B" w14:paraId="6765F2A3" w14:textId="77777777" w:rsidTr="0021792B">
        <w:tc>
          <w:tcPr>
            <w:tcW w:w="2337" w:type="dxa"/>
          </w:tcPr>
          <w:p w14:paraId="19CFC733" w14:textId="658554DA" w:rsidR="0021792B" w:rsidRDefault="0021792B">
            <w:r>
              <w:t>Control (Inpatient)</w:t>
            </w:r>
          </w:p>
        </w:tc>
        <w:tc>
          <w:tcPr>
            <w:tcW w:w="2337" w:type="dxa"/>
          </w:tcPr>
          <w:p w14:paraId="5319A8EC" w14:textId="54862FA0" w:rsidR="0021792B" w:rsidRDefault="0021792B">
            <w:r>
              <w:t>10097</w:t>
            </w:r>
          </w:p>
        </w:tc>
        <w:tc>
          <w:tcPr>
            <w:tcW w:w="2338" w:type="dxa"/>
          </w:tcPr>
          <w:p w14:paraId="1A7244D2" w14:textId="5E585B90" w:rsidR="0021792B" w:rsidRDefault="0021792B">
            <w:r>
              <w:t>0.930</w:t>
            </w:r>
          </w:p>
        </w:tc>
        <w:tc>
          <w:tcPr>
            <w:tcW w:w="2338" w:type="dxa"/>
          </w:tcPr>
          <w:p w14:paraId="2CC6F306" w14:textId="5855A1A7" w:rsidR="0021792B" w:rsidRDefault="0021792B">
            <w:r>
              <w:t>0.49</w:t>
            </w:r>
          </w:p>
        </w:tc>
      </w:tr>
      <w:tr w:rsidR="0021792B" w14:paraId="2A6A2034" w14:textId="77777777" w:rsidTr="00A27924">
        <w:tc>
          <w:tcPr>
            <w:tcW w:w="9350" w:type="dxa"/>
            <w:gridSpan w:val="4"/>
          </w:tcPr>
          <w:p w14:paraId="6CE864A6" w14:textId="399B0C8B" w:rsidR="0021792B" w:rsidRDefault="0021792B">
            <w:r>
              <w:t>Value of propensity Score at Max = 0.21335</w:t>
            </w:r>
          </w:p>
        </w:tc>
      </w:tr>
    </w:tbl>
    <w:p w14:paraId="47284628" w14:textId="6F183A3B" w:rsidR="0021792B" w:rsidRDefault="0021792B"/>
    <w:tbl>
      <w:tblPr>
        <w:tblStyle w:val="TableGrid"/>
        <w:tblW w:w="0" w:type="auto"/>
        <w:tblLook w:val="04A0" w:firstRow="1" w:lastRow="0" w:firstColumn="1" w:lastColumn="0" w:noHBand="0" w:noVBand="1"/>
      </w:tblPr>
      <w:tblGrid>
        <w:gridCol w:w="2651"/>
        <w:gridCol w:w="2754"/>
      </w:tblGrid>
      <w:tr w:rsidR="0021792B" w14:paraId="387F7777" w14:textId="77777777" w:rsidTr="00795BE1">
        <w:trPr>
          <w:trHeight w:val="337"/>
        </w:trPr>
        <w:tc>
          <w:tcPr>
            <w:tcW w:w="5405" w:type="dxa"/>
            <w:gridSpan w:val="2"/>
          </w:tcPr>
          <w:p w14:paraId="3E46AD9F" w14:textId="2418E996" w:rsidR="0021792B" w:rsidRDefault="0021792B" w:rsidP="00913846">
            <w:r>
              <w:t>Kolmogorov-Smirnov Two-Sample Test (asymptotic)</w:t>
            </w:r>
          </w:p>
        </w:tc>
      </w:tr>
      <w:tr w:rsidR="00795BE1" w14:paraId="483FDE79" w14:textId="77777777" w:rsidTr="00795BE1">
        <w:trPr>
          <w:trHeight w:val="168"/>
        </w:trPr>
        <w:tc>
          <w:tcPr>
            <w:tcW w:w="2651" w:type="dxa"/>
          </w:tcPr>
          <w:p w14:paraId="0D16EDBF" w14:textId="2F70CAD2" w:rsidR="00795BE1" w:rsidRDefault="00795BE1" w:rsidP="00913846">
            <w:proofErr w:type="spellStart"/>
            <w:r>
              <w:t>Ksa</w:t>
            </w:r>
            <w:proofErr w:type="spellEnd"/>
            <w:r>
              <w:t xml:space="preserve"> 0.8455</w:t>
            </w:r>
          </w:p>
        </w:tc>
        <w:tc>
          <w:tcPr>
            <w:tcW w:w="2754" w:type="dxa"/>
          </w:tcPr>
          <w:p w14:paraId="43AB5FE0" w14:textId="31946AE8" w:rsidR="00795BE1" w:rsidRDefault="00795BE1" w:rsidP="00913846">
            <w:proofErr w:type="spellStart"/>
            <w:r>
              <w:t>Pr</w:t>
            </w:r>
            <w:proofErr w:type="spellEnd"/>
            <w:r>
              <w:t>&gt;</w:t>
            </w:r>
            <w:proofErr w:type="spellStart"/>
            <w:r>
              <w:t>Ksa</w:t>
            </w:r>
            <w:proofErr w:type="spellEnd"/>
            <w:r>
              <w:t xml:space="preserve"> 0.4704</w:t>
            </w:r>
          </w:p>
        </w:tc>
      </w:tr>
    </w:tbl>
    <w:p w14:paraId="0F7ED123" w14:textId="7C77F094" w:rsidR="0021792B" w:rsidRDefault="000C0079">
      <w:r>
        <w:t>The</w:t>
      </w:r>
      <w:r w:rsidR="00D56608">
        <w:t xml:space="preserve"> non-significant p-value (0.47)</w:t>
      </w:r>
      <w:r>
        <w:t xml:space="preserve"> indicate</w:t>
      </w:r>
      <w:r w:rsidR="00D56608">
        <w:t>s</w:t>
      </w:r>
      <w:r>
        <w:t xml:space="preserve"> that that there is no significant different in the distribution of the propensity score between the case and the control group in the final matched population. </w:t>
      </w:r>
    </w:p>
    <w:p w14:paraId="6E587D20" w14:textId="786E8D08" w:rsidR="00795BE1" w:rsidRDefault="00795BE1" w:rsidP="00061DBF">
      <w:pPr>
        <w:jc w:val="center"/>
      </w:pPr>
      <w:r>
        <w:rPr>
          <w:noProof/>
        </w:rPr>
        <w:lastRenderedPageBreak/>
        <w:drawing>
          <wp:inline distT="0" distB="0" distL="0" distR="0" wp14:anchorId="165DF0D3" wp14:editId="47D9DCCE">
            <wp:extent cx="3429000" cy="2604099"/>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45922" cy="2616950"/>
                    </a:xfrm>
                    <a:prstGeom prst="rect">
                      <a:avLst/>
                    </a:prstGeom>
                  </pic:spPr>
                </pic:pic>
              </a:graphicData>
            </a:graphic>
          </wp:inline>
        </w:drawing>
      </w:r>
    </w:p>
    <w:p w14:paraId="44256F8E" w14:textId="528D8566" w:rsidR="00737BF0" w:rsidRDefault="00737BF0" w:rsidP="00737BF0">
      <w:r>
        <w:t>For more information on this test and the computation of the Kolmogorov-Smirnov Statistic</w:t>
      </w:r>
      <w:r w:rsidR="00DF1761">
        <w:t xml:space="preserve"> and empirical distribution functions</w:t>
      </w:r>
      <w:r>
        <w:t xml:space="preserve"> see SAS Supporting documentation</w:t>
      </w:r>
      <w:r w:rsidR="00DF1761">
        <w:t xml:space="preserve"> of Proc NPar1Way</w:t>
      </w:r>
      <w:r>
        <w:t xml:space="preserve"> (page 6747): </w:t>
      </w:r>
      <w:hyperlink r:id="rId12" w:history="1">
        <w:r w:rsidRPr="00381E4E">
          <w:rPr>
            <w:rStyle w:val="Hyperlink"/>
          </w:rPr>
          <w:t>https://support.sas.com/documentation/onlinedoc/stat/142/npar1way.pdf</w:t>
        </w:r>
      </w:hyperlink>
      <w:r>
        <w:t xml:space="preserve"> </w:t>
      </w:r>
    </w:p>
    <w:sectPr w:rsidR="00737B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788"/>
    <w:rsid w:val="00061DBF"/>
    <w:rsid w:val="000C0079"/>
    <w:rsid w:val="0021792B"/>
    <w:rsid w:val="00495A7F"/>
    <w:rsid w:val="00737BF0"/>
    <w:rsid w:val="00754CA5"/>
    <w:rsid w:val="00795BE1"/>
    <w:rsid w:val="00845788"/>
    <w:rsid w:val="00A477F8"/>
    <w:rsid w:val="00A80F7F"/>
    <w:rsid w:val="00AB788E"/>
    <w:rsid w:val="00BD525A"/>
    <w:rsid w:val="00D41AAD"/>
    <w:rsid w:val="00D56608"/>
    <w:rsid w:val="00D675F8"/>
    <w:rsid w:val="00DC0E86"/>
    <w:rsid w:val="00DF1761"/>
    <w:rsid w:val="00EF73B2"/>
    <w:rsid w:val="00F30255"/>
    <w:rsid w:val="00F9799C"/>
    <w:rsid w:val="00FB6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2BAAA"/>
  <w15:chartTrackingRefBased/>
  <w15:docId w15:val="{B153E52D-78E8-4F9B-9869-F66317942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7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C0E86"/>
    <w:pPr>
      <w:spacing w:after="0" w:line="240" w:lineRule="auto"/>
    </w:pPr>
  </w:style>
  <w:style w:type="character" w:styleId="Hyperlink">
    <w:name w:val="Hyperlink"/>
    <w:basedOn w:val="DefaultParagraphFont"/>
    <w:uiPriority w:val="99"/>
    <w:unhideWhenUsed/>
    <w:rsid w:val="00737BF0"/>
    <w:rPr>
      <w:color w:val="0563C1" w:themeColor="hyperlink"/>
      <w:u w:val="single"/>
    </w:rPr>
  </w:style>
  <w:style w:type="character" w:styleId="UnresolvedMention">
    <w:name w:val="Unresolved Mention"/>
    <w:basedOn w:val="DefaultParagraphFont"/>
    <w:uiPriority w:val="99"/>
    <w:semiHidden/>
    <w:unhideWhenUsed/>
    <w:rsid w:val="00737BF0"/>
    <w:rPr>
      <w:color w:val="605E5C"/>
      <w:shd w:val="clear" w:color="auto" w:fill="E1DFDD"/>
    </w:rPr>
  </w:style>
  <w:style w:type="character" w:styleId="CommentReference">
    <w:name w:val="annotation reference"/>
    <w:basedOn w:val="DefaultParagraphFont"/>
    <w:uiPriority w:val="99"/>
    <w:semiHidden/>
    <w:unhideWhenUsed/>
    <w:rsid w:val="00DF1761"/>
    <w:rPr>
      <w:sz w:val="16"/>
      <w:szCs w:val="16"/>
    </w:rPr>
  </w:style>
  <w:style w:type="paragraph" w:styleId="CommentText">
    <w:name w:val="annotation text"/>
    <w:basedOn w:val="Normal"/>
    <w:link w:val="CommentTextChar"/>
    <w:uiPriority w:val="99"/>
    <w:semiHidden/>
    <w:unhideWhenUsed/>
    <w:rsid w:val="00DF1761"/>
    <w:pPr>
      <w:spacing w:line="240" w:lineRule="auto"/>
    </w:pPr>
    <w:rPr>
      <w:sz w:val="20"/>
      <w:szCs w:val="20"/>
    </w:rPr>
  </w:style>
  <w:style w:type="character" w:customStyle="1" w:styleId="CommentTextChar">
    <w:name w:val="Comment Text Char"/>
    <w:basedOn w:val="DefaultParagraphFont"/>
    <w:link w:val="CommentText"/>
    <w:uiPriority w:val="99"/>
    <w:semiHidden/>
    <w:rsid w:val="00DF1761"/>
    <w:rPr>
      <w:sz w:val="20"/>
      <w:szCs w:val="20"/>
    </w:rPr>
  </w:style>
  <w:style w:type="paragraph" w:styleId="CommentSubject">
    <w:name w:val="annotation subject"/>
    <w:basedOn w:val="CommentText"/>
    <w:next w:val="CommentText"/>
    <w:link w:val="CommentSubjectChar"/>
    <w:uiPriority w:val="99"/>
    <w:semiHidden/>
    <w:unhideWhenUsed/>
    <w:rsid w:val="00DF1761"/>
    <w:rPr>
      <w:b/>
      <w:bCs/>
    </w:rPr>
  </w:style>
  <w:style w:type="character" w:customStyle="1" w:styleId="CommentSubjectChar">
    <w:name w:val="Comment Subject Char"/>
    <w:basedOn w:val="CommentTextChar"/>
    <w:link w:val="CommentSubject"/>
    <w:uiPriority w:val="99"/>
    <w:semiHidden/>
    <w:rsid w:val="00DF1761"/>
    <w:rPr>
      <w:b/>
      <w:bCs/>
      <w:sz w:val="20"/>
      <w:szCs w:val="20"/>
    </w:rPr>
  </w:style>
  <w:style w:type="paragraph" w:styleId="BalloonText">
    <w:name w:val="Balloon Text"/>
    <w:basedOn w:val="Normal"/>
    <w:link w:val="BalloonTextChar"/>
    <w:uiPriority w:val="99"/>
    <w:semiHidden/>
    <w:unhideWhenUsed/>
    <w:rsid w:val="00DF17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7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hyperlink" Target="https://support.sas.com/documentation/onlinedoc/stat/142/npar1way.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7.png"/><Relationship Id="rId5" Type="http://schemas.openxmlformats.org/officeDocument/2006/relationships/image" Target="media/image2.png"/><Relationship Id="rId10" Type="http://schemas.openxmlformats.org/officeDocument/2006/relationships/hyperlink" Target="https://support.sas.com/documentation/onlinedoc/stat/142/psmatch.pdf" TargetMode="Externa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Veterans Affairs</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Peltzman, Talya</dc:creator>
  <cp:keywords/>
  <dc:description/>
  <cp:lastModifiedBy>Watts, Bradley V.</cp:lastModifiedBy>
  <cp:revision>2</cp:revision>
  <dcterms:created xsi:type="dcterms:W3CDTF">2021-03-28T22:42:00Z</dcterms:created>
  <dcterms:modified xsi:type="dcterms:W3CDTF">2021-03-28T22:42:00Z</dcterms:modified>
</cp:coreProperties>
</file>