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42" w:rsidRPr="00D746EF" w:rsidRDefault="007F0642" w:rsidP="007F0642">
      <w:pPr>
        <w:suppressLineNumbers/>
        <w:tabs>
          <w:tab w:val="left" w:pos="2108"/>
        </w:tabs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D746EF">
        <w:rPr>
          <w:rFonts w:ascii="Times New Roman" w:eastAsia="Calibri" w:hAnsi="Times New Roman" w:cs="Times New Roman"/>
          <w:b/>
          <w:sz w:val="20"/>
          <w:szCs w:val="24"/>
        </w:rPr>
        <w:t xml:space="preserve">Supplementary Figure S1: Flow charts of the data set for prefabricated housing </w:t>
      </w:r>
    </w:p>
    <w:p w:rsidR="007F0642" w:rsidRPr="00DB0DB2" w:rsidRDefault="007F0642" w:rsidP="007F0642">
      <w:pPr>
        <w:suppressLineNumbers/>
        <w:tabs>
          <w:tab w:val="left" w:pos="2108"/>
        </w:tabs>
        <w:adjustRightInd w:val="0"/>
        <w:spacing w:line="240" w:lineRule="auto"/>
        <w:outlineLvl w:val="0"/>
        <w:rPr>
          <w:rFonts w:ascii="Arial" w:eastAsia="Calibri" w:hAnsi="Arial" w:cs="Arial"/>
          <w:b/>
          <w:sz w:val="20"/>
          <w:szCs w:val="24"/>
        </w:rPr>
      </w:pPr>
    </w:p>
    <w:p w:rsidR="007F0642" w:rsidRPr="00DB0DB2" w:rsidRDefault="007F0642" w:rsidP="007F0642">
      <w:pPr>
        <w:suppressLineNumbers/>
        <w:tabs>
          <w:tab w:val="left" w:pos="2108"/>
        </w:tabs>
        <w:adjustRightInd w:val="0"/>
        <w:spacing w:line="240" w:lineRule="auto"/>
        <w:outlineLvl w:val="0"/>
        <w:rPr>
          <w:rFonts w:ascii="Arial" w:eastAsia="Calibri" w:hAnsi="Arial" w:cs="Arial"/>
          <w:b/>
          <w:sz w:val="20"/>
          <w:szCs w:val="24"/>
        </w:rPr>
      </w:pPr>
    </w:p>
    <w:p w:rsidR="007F0642" w:rsidRPr="00DB0DB2" w:rsidRDefault="007F0642" w:rsidP="007F0642">
      <w:pPr>
        <w:rPr>
          <w:rFonts w:ascii="Calibri" w:eastAsia="Calibri" w:hAnsi="Calibri" w:cs="Times New Roman"/>
        </w:rPr>
      </w:pPr>
    </w:p>
    <w:p w:rsidR="007F0642" w:rsidRPr="00D746EF" w:rsidRDefault="00DE2CAC" w:rsidP="007F0642">
      <w:pPr>
        <w:rPr>
          <w:rFonts w:ascii="Times New Roman" w:eastAsia="Calibri" w:hAnsi="Times New Roman" w:cs="Times New Roman"/>
          <w:sz w:val="20"/>
          <w:szCs w:val="20"/>
        </w:rPr>
      </w:pPr>
      <w:r w:rsidRPr="00DE2CAC">
        <w:drawing>
          <wp:inline distT="0" distB="0" distL="0" distR="0" wp14:anchorId="62F0B416" wp14:editId="07E7A558">
            <wp:extent cx="7476190" cy="28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190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0642" w:rsidRPr="00DB0DB2">
        <w:rPr>
          <w:rFonts w:ascii="Calibri" w:eastAsia="Calibri" w:hAnsi="Calibri" w:cs="Times New Roman"/>
        </w:rPr>
        <w:br w:type="column"/>
      </w:r>
    </w:p>
    <w:p w:rsidR="007F0642" w:rsidRPr="00D746EF" w:rsidRDefault="007F0642" w:rsidP="007F0642">
      <w:pPr>
        <w:suppressLineNumbers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D746EF">
        <w:rPr>
          <w:rFonts w:ascii="Times New Roman" w:eastAsia="Calibri" w:hAnsi="Times New Roman" w:cs="Times New Roman"/>
          <w:b/>
          <w:sz w:val="20"/>
          <w:szCs w:val="20"/>
        </w:rPr>
        <w:t>Supplementary Figure S2: Flow charts of the data set for private housing</w:t>
      </w:r>
    </w:p>
    <w:p w:rsidR="007F0642" w:rsidRPr="00DB0DB2" w:rsidRDefault="007F0642" w:rsidP="007F0642">
      <w:pPr>
        <w:suppressLineNumbers/>
        <w:adjustRightInd w:val="0"/>
        <w:spacing w:line="240" w:lineRule="auto"/>
        <w:outlineLvl w:val="0"/>
        <w:rPr>
          <w:rFonts w:ascii="Arial" w:eastAsia="Calibri" w:hAnsi="Arial" w:cs="Arial"/>
          <w:b/>
          <w:sz w:val="18"/>
          <w:szCs w:val="24"/>
        </w:rPr>
      </w:pPr>
    </w:p>
    <w:p w:rsidR="007F0642" w:rsidRPr="00DB0DB2" w:rsidRDefault="00A234F8" w:rsidP="007F0642">
      <w:pPr>
        <w:rPr>
          <w:rFonts w:ascii="Calibri" w:eastAsia="Calibri" w:hAnsi="Calibri" w:cs="Times New Roman"/>
          <w:sz w:val="16"/>
        </w:rPr>
      </w:pPr>
      <w:r w:rsidRPr="00A234F8">
        <w:rPr>
          <w:rFonts w:ascii="Calibri" w:hAnsi="Calibri" w:cs="Times New Roman"/>
          <w:noProof/>
          <w:lang w:eastAsia="en-GB"/>
        </w:rPr>
        <w:drawing>
          <wp:inline distT="0" distB="0" distL="0" distR="0" wp14:anchorId="353F45F0" wp14:editId="576ADA28">
            <wp:extent cx="8365643" cy="2924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8412" cy="29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42" w:rsidRPr="00DB0DB2" w:rsidRDefault="007F0642" w:rsidP="007F0642">
      <w:pPr>
        <w:rPr>
          <w:rFonts w:ascii="Calibri" w:eastAsia="Calibri" w:hAnsi="Calibri" w:cs="Times New Roman"/>
          <w:sz w:val="16"/>
        </w:rPr>
      </w:pPr>
    </w:p>
    <w:p w:rsidR="007F0642" w:rsidRPr="00DB0DB2" w:rsidRDefault="007F0642" w:rsidP="007F0642">
      <w:pPr>
        <w:ind w:left="720"/>
        <w:sectPr w:rsidR="007F0642" w:rsidRPr="00DB0DB2" w:rsidSect="00A2625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F0642" w:rsidRPr="00DB0DB2" w:rsidRDefault="007F0642" w:rsidP="007F0642">
      <w:pPr>
        <w:ind w:left="720"/>
        <w:sectPr w:rsidR="007F0642" w:rsidRPr="00DB0DB2" w:rsidSect="00A2625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F0642" w:rsidRPr="00DB0DB2" w:rsidRDefault="007F0642" w:rsidP="007F0642">
      <w:pPr>
        <w:spacing w:after="0" w:line="240" w:lineRule="auto"/>
        <w:rPr>
          <w:rFonts w:ascii="Arial" w:eastAsia="MS PGothic" w:hAnsi="Arial" w:cs="Arial"/>
          <w:b/>
          <w:sz w:val="20"/>
          <w:szCs w:val="18"/>
          <w:lang w:eastAsia="en-GB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284"/>
        <w:gridCol w:w="3250"/>
        <w:gridCol w:w="1360"/>
        <w:gridCol w:w="340"/>
        <w:gridCol w:w="1360"/>
        <w:gridCol w:w="340"/>
        <w:gridCol w:w="1360"/>
        <w:gridCol w:w="340"/>
        <w:gridCol w:w="1360"/>
        <w:gridCol w:w="940"/>
      </w:tblGrid>
      <w:tr w:rsidR="007F0642" w:rsidRPr="00DB0DB2" w:rsidTr="00240886">
        <w:trPr>
          <w:trHeight w:val="264"/>
        </w:trPr>
        <w:tc>
          <w:tcPr>
            <w:tcW w:w="10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642" w:rsidRDefault="007F0642" w:rsidP="00240886">
            <w:pPr>
              <w:rPr>
                <w:rFonts w:ascii="Times New Roman" w:eastAsia="MS PGothic" w:hAnsi="Times New Roman" w:cs="Times New Roman"/>
                <w:b/>
                <w:sz w:val="20"/>
                <w:szCs w:val="18"/>
                <w:lang w:eastAsia="en-GB"/>
              </w:rPr>
            </w:pPr>
          </w:p>
          <w:p w:rsidR="007F0642" w:rsidRDefault="007F0642" w:rsidP="00240886">
            <w:pPr>
              <w:rPr>
                <w:rFonts w:ascii="Times New Roman" w:eastAsia="MS PGothic" w:hAnsi="Times New Roman" w:cs="Times New Roman"/>
                <w:b/>
                <w:sz w:val="20"/>
                <w:szCs w:val="18"/>
                <w:lang w:eastAsia="en-GB"/>
              </w:rPr>
            </w:pPr>
            <w:r>
              <w:rPr>
                <w:rFonts w:ascii="Times New Roman" w:eastAsia="MS PGothic" w:hAnsi="Times New Roman" w:cs="Times New Roman"/>
                <w:b/>
                <w:sz w:val="20"/>
                <w:szCs w:val="18"/>
                <w:lang w:eastAsia="en-GB"/>
              </w:rPr>
              <w:t>Supplementary Table S1: Comparison of K6 Scores Between Those Who Did Or Did Not Respond To All Waves</w:t>
            </w:r>
          </w:p>
          <w:p w:rsidR="007F0642" w:rsidRPr="00D746EF" w:rsidRDefault="007F0642" w:rsidP="00240886">
            <w:pPr>
              <w:rPr>
                <w:rFonts w:ascii="Times New Roman" w:eastAsia="MS PGothic" w:hAnsi="Times New Roman" w:cs="Times New Roman"/>
                <w:b/>
                <w:sz w:val="20"/>
                <w:szCs w:val="18"/>
                <w:lang w:eastAsia="en-GB"/>
              </w:rPr>
            </w:pPr>
          </w:p>
        </w:tc>
      </w:tr>
      <w:tr w:rsidR="007F0642" w:rsidRPr="00DB0DB2" w:rsidTr="00240886">
        <w:trPr>
          <w:trHeight w:val="2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Sample 1: Private housing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Sample 2: Prefabricated housing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All waves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Not all waves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All waves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Not all waves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  <w:lang w:eastAsia="en-GB"/>
              </w:rPr>
            </w:pPr>
            <w:r w:rsidRPr="00DB0DB2">
              <w:rPr>
                <w:rFonts w:ascii="Arial" w:eastAsia="MS PGothic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proofErr w:type="gramStart"/>
            <w:r w:rsidRPr="00DB0DB2">
              <w:rPr>
                <w:rFonts w:eastAsia="MS PGothic" w:cstheme="minorHAnsi"/>
                <w:lang w:eastAsia="en-GB"/>
              </w:rPr>
              <w:t>n</w:t>
            </w:r>
            <w:proofErr w:type="gramEnd"/>
            <w:r w:rsidRPr="00DB0DB2">
              <w:rPr>
                <w:rFonts w:eastAsia="MS PGothic" w:cstheme="minorHAnsi"/>
                <w:lang w:eastAsia="en-GB"/>
              </w:rPr>
              <w:t xml:space="preserve"> (%)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proofErr w:type="gramStart"/>
            <w:r w:rsidRPr="00DB0DB2">
              <w:rPr>
                <w:rFonts w:eastAsia="MS PGothic" w:cstheme="minorHAnsi"/>
                <w:lang w:eastAsia="en-GB"/>
              </w:rPr>
              <w:t>n</w:t>
            </w:r>
            <w:proofErr w:type="gramEnd"/>
            <w:r w:rsidRPr="00DB0DB2">
              <w:rPr>
                <w:rFonts w:eastAsia="MS PGothic" w:cstheme="minorHAnsi"/>
                <w:lang w:eastAsia="en-GB"/>
              </w:rPr>
              <w:t xml:space="preserve"> (%)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proofErr w:type="gramStart"/>
            <w:r w:rsidRPr="00DB0DB2">
              <w:rPr>
                <w:rFonts w:eastAsia="MS PGothic" w:cstheme="minorHAnsi"/>
                <w:lang w:eastAsia="en-GB"/>
              </w:rPr>
              <w:t>n</w:t>
            </w:r>
            <w:proofErr w:type="gramEnd"/>
            <w:r w:rsidRPr="00DB0DB2">
              <w:rPr>
                <w:rFonts w:eastAsia="MS PGothic" w:cstheme="minorHAnsi"/>
                <w:lang w:eastAsia="en-GB"/>
              </w:rPr>
              <w:t xml:space="preserve"> (%)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proofErr w:type="gramStart"/>
            <w:r w:rsidRPr="00DB0DB2">
              <w:rPr>
                <w:rFonts w:eastAsia="MS PGothic" w:cstheme="minorHAnsi"/>
                <w:lang w:eastAsia="en-GB"/>
              </w:rPr>
              <w:t>n</w:t>
            </w:r>
            <w:proofErr w:type="gramEnd"/>
            <w:r w:rsidRPr="00DB0DB2">
              <w:rPr>
                <w:rFonts w:eastAsia="MS PGothic" w:cstheme="minorHAnsi"/>
                <w:lang w:eastAsia="en-GB"/>
              </w:rPr>
              <w:t xml:space="preserve"> (%)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5.54 (5.26)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5.18 (5.28)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[n=969]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[n=18,098]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4.50 (4.80)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4.57 (5.06)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4.90 (5.33)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4.95 (5.36)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[n=932]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[n=22,623]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[n=1,153]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[n=12,814]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4.18 (4.61)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4.28 (4.92)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4.50 (4.89)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4.75 (5.21)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[n=985]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[n=18,798]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[n=1,231]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[n=10,603]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4.16 (4.60)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4.13 (4.91)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4.58 (5.01)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4.68 (5.16)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[n=969]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[n=12,864]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[n=1,249]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[n=8,056]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3.86 (4.52)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3.93 (4.89)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4.26 (4.97)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4.38 (5.24)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[n=962]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[n=8,168]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[n=1,293]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[n=4,686]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wave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Mean K6 scores (SD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1</w:t>
            </w:r>
            <w:r w:rsidRPr="00DB0DB2">
              <w:rPr>
                <w:rFonts w:eastAsia="MS PGothic" w:cstheme="minorHAnsi"/>
                <w:lang w:eastAsia="en-GB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3.95 (4.57)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3.94 (4.72)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4.03 (4.81)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4.24 (5.16)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[No. of respondents to all six items]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[n=983]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[n=3,036]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[n=1,280]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 xml:space="preserve">   [n=1,989]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ascii="MS PGothic" w:eastAsia="MS PGothic" w:hAnsi="MS PGothic" w:cs="Times New Roman"/>
                <w:lang w:eastAsia="en-GB"/>
              </w:rPr>
            </w:pPr>
            <w:r w:rsidRPr="00DB0DB2">
              <w:rPr>
                <w:rFonts w:ascii="MS PGothic" w:eastAsia="MS PGothic" w:hAnsi="MS PGothic" w:cs="Times New Roman" w:hint="eastAsia"/>
                <w:lang w:eastAsia="en-GB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p-value</w:t>
            </w:r>
            <w:r w:rsidRPr="00DB0DB2">
              <w:rPr>
                <w:rFonts w:eastAsia="MS PGothic" w:cstheme="minorHAnsi"/>
                <w:vertAlign w:val="superscript"/>
                <w:lang w:eastAsia="en-GB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lang w:eastAsia="en-GB"/>
              </w:rPr>
            </w:pPr>
            <w:r w:rsidRPr="00DB0DB2">
              <w:rPr>
                <w:rFonts w:eastAsia="MS PGothic" w:cstheme="minorHAnsi"/>
                <w:lang w:eastAsia="en-GB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  <w:r w:rsidRPr="00DB0DB2">
              <w:rPr>
                <w:rFonts w:eastAsia="MS PGothic" w:cstheme="minorHAnsi"/>
                <w:i/>
                <w:iCs/>
                <w:lang w:eastAsia="en-GB"/>
              </w:rPr>
              <w:t>0.24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MS PGothic" w:cstheme="minorHAnsi"/>
                <w:i/>
                <w:iCs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746EF" w:rsidRDefault="007F0642" w:rsidP="00240886">
            <w:pPr>
              <w:spacing w:after="0" w:line="240" w:lineRule="auto"/>
              <w:rPr>
                <w:rFonts w:eastAsia="MS PGothic" w:cstheme="minorHAnsi"/>
                <w:sz w:val="20"/>
                <w:szCs w:val="20"/>
                <w:lang w:eastAsia="en-GB"/>
              </w:rPr>
            </w:pPr>
            <w:r w:rsidRPr="00D746EF">
              <w:rPr>
                <w:rFonts w:eastAsia="MS PGothic" w:cstheme="minorHAnsi"/>
                <w:sz w:val="20"/>
                <w:szCs w:val="20"/>
                <w:vertAlign w:val="superscript"/>
                <w:lang w:eastAsia="en-GB"/>
              </w:rPr>
              <w:t>1</w:t>
            </w:r>
            <w:r w:rsidRPr="00D746EF">
              <w:rPr>
                <w:rFonts w:eastAsia="MS PGothic" w:cstheme="minorHAnsi"/>
                <w:sz w:val="20"/>
                <w:szCs w:val="20"/>
                <w:lang w:eastAsia="en-GB"/>
              </w:rPr>
              <w:t>Standard deviation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F0642" w:rsidRPr="00DB0DB2" w:rsidTr="00240886">
        <w:trPr>
          <w:trHeight w:val="264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746EF" w:rsidRDefault="007F0642" w:rsidP="00240886">
            <w:pPr>
              <w:spacing w:after="0" w:line="240" w:lineRule="auto"/>
              <w:rPr>
                <w:rFonts w:eastAsia="MS PGothic" w:cstheme="minorHAnsi"/>
                <w:sz w:val="20"/>
                <w:szCs w:val="20"/>
                <w:lang w:eastAsia="en-GB"/>
              </w:rPr>
            </w:pPr>
            <w:r w:rsidRPr="00D746EF">
              <w:rPr>
                <w:rFonts w:eastAsia="MS PGothic" w:cstheme="minorHAnsi"/>
                <w:sz w:val="20"/>
                <w:szCs w:val="20"/>
                <w:vertAlign w:val="superscript"/>
                <w:lang w:eastAsia="en-GB"/>
              </w:rPr>
              <w:t>2</w:t>
            </w:r>
            <w:r w:rsidRPr="00D746EF">
              <w:rPr>
                <w:rFonts w:eastAsia="MS PGothic" w:cstheme="minorHAnsi"/>
                <w:sz w:val="20"/>
                <w:szCs w:val="20"/>
                <w:lang w:eastAsia="en-GB"/>
              </w:rPr>
              <w:t xml:space="preserve"> t-test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MS PGothic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42" w:rsidRPr="00DB0DB2" w:rsidRDefault="007F0642" w:rsidP="002408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7F0642" w:rsidRPr="00DB0DB2" w:rsidRDefault="007F0642" w:rsidP="007F0642">
      <w:pPr>
        <w:rPr>
          <w:rFonts w:ascii="Calibri" w:hAnsi="Calibri" w:cs="Calibri"/>
          <w:color w:val="000000"/>
          <w:lang w:val="en-US"/>
        </w:rPr>
      </w:pPr>
    </w:p>
    <w:p w:rsidR="007F0642" w:rsidRPr="00DB0DB2" w:rsidRDefault="007F0642" w:rsidP="007F0642">
      <w:pPr>
        <w:rPr>
          <w:rFonts w:ascii="Calibri" w:hAnsi="Calibri" w:cs="Calibri"/>
          <w:color w:val="000000"/>
          <w:lang w:val="en-US"/>
        </w:rPr>
      </w:pPr>
    </w:p>
    <w:p w:rsidR="007F0642" w:rsidRPr="00DB0DB2" w:rsidRDefault="007F0642" w:rsidP="007F0642">
      <w:pPr>
        <w:rPr>
          <w:rFonts w:ascii="Calibri" w:hAnsi="Calibri" w:cs="Calibri"/>
          <w:color w:val="000000"/>
          <w:lang w:val="en-US"/>
        </w:rPr>
      </w:pPr>
    </w:p>
    <w:p w:rsidR="007F0642" w:rsidRPr="00DB0DB2" w:rsidRDefault="007F0642" w:rsidP="007F0642">
      <w:pPr>
        <w:rPr>
          <w:rFonts w:ascii="Arial" w:eastAsia="MS PGothic" w:hAnsi="Arial" w:cs="Arial"/>
          <w:sz w:val="20"/>
          <w:szCs w:val="18"/>
          <w:lang w:eastAsia="en-GB"/>
        </w:rPr>
      </w:pPr>
    </w:p>
    <w:p w:rsidR="007F0642" w:rsidRDefault="007F0642" w:rsidP="007F0642">
      <w:pPr>
        <w:rPr>
          <w:rFonts w:ascii="Times New Roman" w:hAnsi="Times New Roman" w:cs="Times New Roman"/>
          <w:b/>
          <w:sz w:val="20"/>
          <w:szCs w:val="20"/>
        </w:rPr>
      </w:pPr>
      <w:r w:rsidRPr="00DB0DB2">
        <w:rPr>
          <w:rFonts w:ascii="Calibri" w:hAnsi="Calibri" w:cs="Calibri"/>
          <w:color w:val="000000"/>
          <w:lang w:val="en-US"/>
        </w:rPr>
        <w:br w:type="column"/>
      </w:r>
      <w:r w:rsidRPr="00D746E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 xml:space="preserve">Supplementary </w:t>
      </w:r>
      <w:r w:rsidRPr="00D746EF">
        <w:rPr>
          <w:rFonts w:ascii="Times New Roman" w:hAnsi="Times New Roman" w:cs="Times New Roman"/>
          <w:b/>
          <w:sz w:val="20"/>
          <w:szCs w:val="20"/>
        </w:rPr>
        <w:t>Table 2: Individual predictors of initial support and psychological distress (Sample 1, private housing only)</w:t>
      </w:r>
    </w:p>
    <w:p w:rsidR="007F0642" w:rsidRPr="00D746EF" w:rsidRDefault="007F0642" w:rsidP="007F064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18"/>
        <w:gridCol w:w="2137"/>
        <w:gridCol w:w="2217"/>
      </w:tblGrid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Effect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Estimate (b)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F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 xml:space="preserve">P value 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Wave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-.14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19.09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.0001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Sex (female)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0.99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17.21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.0001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 xml:space="preserve">Age 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 xml:space="preserve">0.29 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11.19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.001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Psychiatric history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.04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74.79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.0001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Spousal support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-1.06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15.62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.0001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Child support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-0.46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1.06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.31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Sibling support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.17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0.15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.70</w:t>
            </w:r>
          </w:p>
        </w:tc>
      </w:tr>
      <w:tr w:rsidR="007F0642" w:rsidRPr="00DB0DB2" w:rsidTr="00240886">
        <w:tc>
          <w:tcPr>
            <w:tcW w:w="2344" w:type="dxa"/>
          </w:tcPr>
          <w:p w:rsidR="007F0642" w:rsidRPr="00DB0DB2" w:rsidRDefault="007F0642" w:rsidP="00240886">
            <w:r w:rsidRPr="00DB0DB2">
              <w:t>Friend support</w:t>
            </w:r>
          </w:p>
        </w:tc>
        <w:tc>
          <w:tcPr>
            <w:tcW w:w="2318" w:type="dxa"/>
          </w:tcPr>
          <w:p w:rsidR="007F0642" w:rsidRPr="00DB0DB2" w:rsidRDefault="007F0642" w:rsidP="00240886">
            <w:r w:rsidRPr="00DB0DB2">
              <w:t>-0.55</w:t>
            </w:r>
          </w:p>
        </w:tc>
        <w:tc>
          <w:tcPr>
            <w:tcW w:w="2137" w:type="dxa"/>
          </w:tcPr>
          <w:p w:rsidR="007F0642" w:rsidRPr="00DB0DB2" w:rsidRDefault="007F0642" w:rsidP="00240886">
            <w:r w:rsidRPr="00DB0DB2">
              <w:t>3.84</w:t>
            </w:r>
          </w:p>
        </w:tc>
        <w:tc>
          <w:tcPr>
            <w:tcW w:w="2217" w:type="dxa"/>
          </w:tcPr>
          <w:p w:rsidR="007F0642" w:rsidRPr="00DB0DB2" w:rsidRDefault="007F0642" w:rsidP="00240886">
            <w:r w:rsidRPr="00DB0DB2">
              <w:t>.05</w:t>
            </w:r>
          </w:p>
        </w:tc>
      </w:tr>
    </w:tbl>
    <w:p w:rsidR="007F0642" w:rsidRPr="00DB0DB2" w:rsidRDefault="007F0642" w:rsidP="007F0642">
      <w:pPr>
        <w:tabs>
          <w:tab w:val="left" w:pos="1301"/>
        </w:tabs>
      </w:pPr>
      <w:r w:rsidRPr="00DB0DB2">
        <w:tab/>
      </w:r>
    </w:p>
    <w:p w:rsidR="007F0642" w:rsidRPr="00D746EF" w:rsidRDefault="007F0642" w:rsidP="007F0642">
      <w:pPr>
        <w:tabs>
          <w:tab w:val="left" w:pos="1301"/>
        </w:tabs>
        <w:rPr>
          <w:rFonts w:ascii="Times New Roman" w:hAnsi="Times New Roman" w:cs="Times New Roman"/>
          <w:sz w:val="20"/>
        </w:rPr>
      </w:pPr>
      <w:r w:rsidRPr="00D746EF">
        <w:rPr>
          <w:rFonts w:ascii="Times New Roman" w:hAnsi="Times New Roman" w:cs="Times New Roman"/>
          <w:i/>
          <w:sz w:val="20"/>
        </w:rPr>
        <w:t xml:space="preserve">Note: </w:t>
      </w:r>
      <w:r w:rsidRPr="00D746EF">
        <w:rPr>
          <w:rFonts w:ascii="Times New Roman" w:hAnsi="Times New Roman" w:cs="Times New Roman"/>
          <w:sz w:val="20"/>
        </w:rPr>
        <w:t>Two-level, random effect model (AIC 25487, BIC=25152, χ2 (3) = 2653.98 p&lt;.0001).</w:t>
      </w:r>
    </w:p>
    <w:p w:rsidR="007F0642" w:rsidRPr="00DB0DB2" w:rsidRDefault="007F0642" w:rsidP="007F0642"/>
    <w:p w:rsidR="007F0642" w:rsidRPr="00DB0DB2" w:rsidRDefault="007F0642" w:rsidP="007F0642"/>
    <w:p w:rsidR="007F0642" w:rsidRDefault="007F0642" w:rsidP="007F0642">
      <w:pPr>
        <w:rPr>
          <w:rFonts w:ascii="Calibri" w:hAnsi="Calibri" w:cs="Calibri"/>
          <w:color w:val="000000"/>
          <w:lang w:val="en-US"/>
        </w:rPr>
      </w:pPr>
    </w:p>
    <w:p w:rsidR="00D85AF8" w:rsidRPr="00FC4793" w:rsidRDefault="00D85AF8">
      <w:pPr>
        <w:rPr>
          <w:lang w:val="en-US"/>
        </w:rPr>
      </w:pPr>
    </w:p>
    <w:sectPr w:rsidR="00D85AF8" w:rsidRPr="00FC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3"/>
    <w:rsid w:val="004B3736"/>
    <w:rsid w:val="007F0642"/>
    <w:rsid w:val="00A234F8"/>
    <w:rsid w:val="00A94BE0"/>
    <w:rsid w:val="00D85AF8"/>
    <w:rsid w:val="00DE2CAC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EE113-461D-48E2-9E46-FEADC4F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4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42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9D633226</Template>
  <TotalTime>1</TotalTime>
  <Pages>4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Robin</dc:creator>
  <cp:keywords/>
  <dc:description/>
  <cp:lastModifiedBy>Goodwin, Robin</cp:lastModifiedBy>
  <cp:revision>2</cp:revision>
  <dcterms:created xsi:type="dcterms:W3CDTF">2019-06-17T14:37:00Z</dcterms:created>
  <dcterms:modified xsi:type="dcterms:W3CDTF">2019-06-17T14:37:00Z</dcterms:modified>
</cp:coreProperties>
</file>