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76" w:rsidRDefault="00715276" w:rsidP="00715276">
      <w:pPr>
        <w:rPr>
          <w:b/>
        </w:rPr>
      </w:pPr>
      <w:r>
        <w:rPr>
          <w:b/>
        </w:rPr>
        <w:t>Appendix 1: Individual level data extraction and linkage</w:t>
      </w:r>
    </w:p>
    <w:p w:rsidR="00715276" w:rsidRDefault="00715276" w:rsidP="00715276">
      <w:r w:rsidRPr="00AA2F97">
        <w:t>We linked routinely available person level data on use and cost of mental health care services in 2015, to need and supply predictors at the individual, area and GP practice level over 2013 and 2014, the two previous years</w:t>
      </w:r>
      <w:r w:rsidR="00DA26B1">
        <w:t xml:space="preserve">. We referred to </w:t>
      </w:r>
      <w:r w:rsidRPr="00AA2F97">
        <w:t xml:space="preserve">financial years (1 April to 31 March). Person level data were extracted </w:t>
      </w:r>
      <w:r>
        <w:t xml:space="preserve">from different datasets, as illustrated in this appendix, </w:t>
      </w:r>
      <w:r w:rsidRPr="00AA2F97">
        <w:t xml:space="preserve">and merged via unique NHS numbers by a team in </w:t>
      </w:r>
      <w:r w:rsidR="00DA26B1">
        <w:t xml:space="preserve">the NHS England </w:t>
      </w:r>
      <w:r w:rsidRPr="00AA2F97">
        <w:t>Operations &amp; Information Directorate.</w:t>
      </w:r>
      <w:r>
        <w:t xml:space="preserve"> </w:t>
      </w:r>
    </w:p>
    <w:p w:rsidR="00715276" w:rsidRPr="00AA2F97" w:rsidRDefault="00715276" w:rsidP="00715276">
      <w:pPr>
        <w:rPr>
          <w:i/>
          <w:u w:val="single"/>
        </w:rPr>
      </w:pPr>
      <w:r w:rsidRPr="00AA2F97">
        <w:rPr>
          <w:i/>
          <w:u w:val="single"/>
        </w:rPr>
        <w:t xml:space="preserve">Master Person Index </w:t>
      </w:r>
    </w:p>
    <w:p w:rsidR="00715276" w:rsidRDefault="00715276" w:rsidP="00715276">
      <w:r>
        <w:t xml:space="preserve">The Master Person Index (MPI) has been developed </w:t>
      </w:r>
      <w:r w:rsidRPr="005D4960">
        <w:t>within NHS England’s data services</w:t>
      </w:r>
      <w:r>
        <w:t xml:space="preserve"> and includes</w:t>
      </w:r>
      <w:r w:rsidRPr="005D4960">
        <w:t xml:space="preserve"> person level information from the National Health Applications and </w:t>
      </w:r>
      <w:r>
        <w:t>Infrastructure Services (NHAIS) for all patients registered</w:t>
      </w:r>
      <w:r w:rsidR="00DA26B1">
        <w:t>,</w:t>
      </w:r>
      <w:r>
        <w:t xml:space="preserve"> or who have been registered</w:t>
      </w:r>
      <w:r w:rsidR="00DA26B1">
        <w:t>,</w:t>
      </w:r>
      <w:r>
        <w:t xml:space="preserve"> with a GP in England and Wales </w:t>
      </w:r>
      <w:r>
        <w:fldChar w:fldCharType="begin"/>
      </w:r>
      <w:r w:rsidR="00B639B1">
        <w:instrText xml:space="preserve"> ADDIN EN.CITE &lt;EndNote&gt;&lt;Cite&gt;&lt;Author&gt;NHS Digital&lt;/Author&gt;&lt;Year&gt;2018&lt;/Year&gt;&lt;RecNum&gt;6&lt;/RecNum&gt;&lt;DisplayText&gt;[1]&lt;/DisplayText&gt;&lt;record&gt;&lt;rec-number&gt;6&lt;/rec-number&gt;&lt;foreign-keys&gt;&lt;key app="EN" db-id="dp5wv09e4d2ts4ep5p55tspyrzpavxadxxsr"&gt;6&lt;/key&gt;&lt;/foreign-keys&gt;&lt;ref-type name="Web Page"&gt;12&lt;/ref-type&gt;&lt;contributors&gt;&lt;authors&gt;&lt;author&gt;NHS Digital, &lt;/author&gt;&lt;/authors&gt;&lt;secondary-authors&gt;&lt;author&gt;NHS Digital&lt;/author&gt;&lt;/secondary-authors&gt;&lt;/contributors&gt;&lt;titles&gt;&lt;title&gt;National Health Applications and Infrastructure Services&lt;/title&gt;&lt;/titles&gt;&lt;dates&gt;&lt;year&gt;2018&lt;/year&gt;&lt;/dates&gt;&lt;urls&gt;&lt;related-urls&gt;&lt;url&gt;https://digital.nhs.uk/services/systems-and-service-delivery/national-health-application-and-infrastructure-services/national-health-application-and-infrastructure-services-nhais-more-services&lt;/url&gt;&lt;/related-urls&gt;&lt;/urls&gt;&lt;/record&gt;&lt;/Cite&gt;&lt;/EndNote&gt;</w:instrText>
      </w:r>
      <w:r>
        <w:fldChar w:fldCharType="separate"/>
      </w:r>
      <w:r w:rsidR="00443FA9">
        <w:rPr>
          <w:noProof/>
        </w:rPr>
        <w:t>[</w:t>
      </w:r>
      <w:hyperlink w:anchor="_ENREF_1" w:tooltip="NHS Digital, 2018 #6" w:history="1">
        <w:r w:rsidR="00C7295C">
          <w:rPr>
            <w:noProof/>
          </w:rPr>
          <w:t>1</w:t>
        </w:r>
      </w:hyperlink>
      <w:r w:rsidR="00443FA9">
        <w:rPr>
          <w:noProof/>
        </w:rPr>
        <w:t>]</w:t>
      </w:r>
      <w:r>
        <w:fldChar w:fldCharType="end"/>
      </w:r>
      <w:r>
        <w:t>. We retained o</w:t>
      </w:r>
      <w:r w:rsidRPr="00D413CC">
        <w:t xml:space="preserve">nly individuals registered with a GP practice </w:t>
      </w:r>
      <w:r>
        <w:t xml:space="preserve">in England </w:t>
      </w:r>
      <w:r w:rsidRPr="00D413CC">
        <w:t>and alive at 1 April 2015</w:t>
      </w:r>
      <w:r>
        <w:t>,</w:t>
      </w:r>
      <w:r w:rsidRPr="00E02A7F">
        <w:t xml:space="preserve"> therefore excluding all patients not active or who moved out of England</w:t>
      </w:r>
      <w:r w:rsidRPr="00181AEA">
        <w:t>.</w:t>
      </w:r>
      <w:r>
        <w:t xml:space="preserve"> We retained information at 1 April 2015 on age (derived from the month of birth), gender, GP practice of registration and LSOA of residence. </w:t>
      </w:r>
      <w:r w:rsidR="00776C16">
        <w:t xml:space="preserve">From the </w:t>
      </w:r>
      <w:r>
        <w:t xml:space="preserve">MPI </w:t>
      </w:r>
      <w:r w:rsidR="00776C16">
        <w:t xml:space="preserve">we derived </w:t>
      </w:r>
      <w:r>
        <w:t>a variable, based on the postcode</w:t>
      </w:r>
      <w:r w:rsidR="00776C16">
        <w:t xml:space="preserve"> and the age and gender of individuals co-residing</w:t>
      </w:r>
      <w:r>
        <w:t xml:space="preserve">, </w:t>
      </w:r>
      <w:r w:rsidR="00776C16">
        <w:t xml:space="preserve">which </w:t>
      </w:r>
      <w:r w:rsidR="00776C16" w:rsidRPr="00043960">
        <w:t>indicat</w:t>
      </w:r>
      <w:r w:rsidR="00776C16">
        <w:t>es</w:t>
      </w:r>
      <w:r w:rsidR="00776C16" w:rsidRPr="00043960">
        <w:t xml:space="preserve"> </w:t>
      </w:r>
      <w:r w:rsidRPr="00043960">
        <w:t xml:space="preserve">the composition of the household </w:t>
      </w:r>
      <w:r w:rsidR="00DA26B1">
        <w:t>that the individuals live in. We distinguished</w:t>
      </w:r>
      <w:r w:rsidRPr="00043960">
        <w:t xml:space="preserve"> </w:t>
      </w:r>
      <w:r w:rsidR="00DA26B1">
        <w:t xml:space="preserve">between: </w:t>
      </w:r>
      <w:r w:rsidRPr="00043960">
        <w:t>care home or other communal establishment</w:t>
      </w:r>
      <w:r>
        <w:t>;</w:t>
      </w:r>
      <w:r w:rsidRPr="00043960">
        <w:t xml:space="preserve"> multi-adult</w:t>
      </w:r>
      <w:r>
        <w:t>;</w:t>
      </w:r>
      <w:r w:rsidRPr="00043960">
        <w:t xml:space="preserve"> multi-adult</w:t>
      </w:r>
      <w:r>
        <w:t xml:space="preserve"> and one or more children;</w:t>
      </w:r>
      <w:r w:rsidRPr="00043960">
        <w:t xml:space="preserve"> two adults of the same </w:t>
      </w:r>
      <w:r>
        <w:t xml:space="preserve">gender; two adults </w:t>
      </w:r>
      <w:r w:rsidRPr="00043960">
        <w:t>o</w:t>
      </w:r>
      <w:r>
        <w:t>f</w:t>
      </w:r>
      <w:r w:rsidRPr="00043960">
        <w:t xml:space="preserve"> different gender</w:t>
      </w:r>
      <w:r>
        <w:t>; two adults and one or more children; one adult and one or more children; or</w:t>
      </w:r>
      <w:r w:rsidRPr="00043960">
        <w:t xml:space="preserve"> single person. </w:t>
      </w:r>
      <w:r w:rsidR="00DA26B1" w:rsidRPr="00DA26B1">
        <w:t xml:space="preserve">The 'care home' household type is based on residence in a care home categorised as such by the </w:t>
      </w:r>
      <w:r w:rsidR="00DA26B1">
        <w:t>Care Quality Commission (</w:t>
      </w:r>
      <w:r w:rsidR="00DA26B1" w:rsidRPr="00DA26B1">
        <w:t>CQC</w:t>
      </w:r>
      <w:r w:rsidR="00DA26B1">
        <w:t>)</w:t>
      </w:r>
      <w:r w:rsidR="00DA26B1" w:rsidRPr="00DA26B1">
        <w:t xml:space="preserve">, NHS Digital or other sources. </w:t>
      </w:r>
      <w:r w:rsidR="00DA26B1">
        <w:t>M</w:t>
      </w:r>
      <w:r w:rsidR="00DA26B1" w:rsidRPr="00DA26B1">
        <w:t>ulti-adult households m</w:t>
      </w:r>
      <w:r w:rsidR="00DA26B1">
        <w:t>ay capture a mix of young adult</w:t>
      </w:r>
      <w:r w:rsidR="00DA26B1" w:rsidRPr="00DA26B1">
        <w:t xml:space="preserve"> flat-shares along with those sharing for other reasons (such as supported living</w:t>
      </w:r>
      <w:r w:rsidR="00DA26B1">
        <w:t>)</w:t>
      </w:r>
      <w:r w:rsidR="00DA26B1" w:rsidRPr="00DA26B1">
        <w:t>.</w:t>
      </w:r>
    </w:p>
    <w:p w:rsidR="00715276" w:rsidRPr="00E44F11" w:rsidRDefault="00715276" w:rsidP="00715276">
      <w:pPr>
        <w:rPr>
          <w:i/>
          <w:u w:val="single"/>
        </w:rPr>
      </w:pPr>
      <w:r w:rsidRPr="00E44F11">
        <w:rPr>
          <w:i/>
          <w:u w:val="single"/>
        </w:rPr>
        <w:t>Mental health dataset</w:t>
      </w:r>
    </w:p>
    <w:p w:rsidR="00715276" w:rsidRDefault="00715276" w:rsidP="00715276">
      <w:r>
        <w:t xml:space="preserve">We derived information on the use of mental health services from two datasets: the Mental Health and Learning Disabilities Dataset (MHLDDS) covering 1 April 2014 to 31 December 2015 and the Mental Health Services Dataset (MHSDS) covering 1 January 2016 to 31 March 2016. </w:t>
      </w:r>
      <w:r w:rsidR="00DA26B1">
        <w:t xml:space="preserve">MHLDDS and MHSDS </w:t>
      </w:r>
      <w:r>
        <w:t xml:space="preserve">cover individuals in contact with secondary mental health and learning disability services, provided in hospitals, outpatient clinics and community </w:t>
      </w:r>
      <w:r>
        <w:fldChar w:fldCharType="begin"/>
      </w:r>
      <w:r w:rsidR="00B639B1">
        <w:instrText xml:space="preserve"> ADDIN EN.CITE &lt;EndNote&gt;&lt;Cite&gt;&lt;Author&gt;NHS Digital&lt;/Author&gt;&lt;Year&gt;2018&lt;/Year&gt;&lt;RecNum&gt;5&lt;/RecNum&gt;&lt;DisplayText&gt;[2]&lt;/DisplayText&gt;&lt;record&gt;&lt;rec-number&gt;5&lt;/rec-number&gt;&lt;foreign-keys&gt;&lt;key app="EN" db-id="dp5wv09e4d2ts4ep5p55tspyrzpavxadxxsr"&gt;5&lt;/key&gt;&lt;/foreign-keys&gt;&lt;ref-type name="Web Page"&gt;12&lt;/ref-type&gt;&lt;contributors&gt;&lt;authors&gt;&lt;author&gt;NHS Digital,&lt;/author&gt;&lt;/authors&gt;&lt;secondary-authors&gt;&lt;author&gt;NHS Digital &lt;/author&gt;&lt;/secondary-authors&gt;&lt;/contributors&gt;&lt;titles&gt;&lt;title&gt;Mental Health Services Datataset&lt;/title&gt;&lt;/titles&gt;&lt;dates&gt;&lt;year&gt;2018&lt;/year&gt;&lt;/dates&gt;&lt;urls&gt;&lt;related-urls&gt;&lt;url&gt;https://digital.nhs.uk/data-and-information/data-collections-and-data-sets/data-sets/mental-health-services-data-set&lt;/url&gt;&lt;/related-urls&gt;&lt;/urls&gt;&lt;/record&gt;&lt;/Cite&gt;&lt;/EndNote&gt;</w:instrText>
      </w:r>
      <w:r>
        <w:fldChar w:fldCharType="separate"/>
      </w:r>
      <w:r w:rsidR="00443FA9">
        <w:rPr>
          <w:noProof/>
        </w:rPr>
        <w:t>[</w:t>
      </w:r>
      <w:hyperlink w:anchor="_ENREF_2" w:tooltip="NHS Digital, 2018 #5" w:history="1">
        <w:r w:rsidR="00C7295C">
          <w:rPr>
            <w:noProof/>
          </w:rPr>
          <w:t>2</w:t>
        </w:r>
      </w:hyperlink>
      <w:r w:rsidR="00443FA9">
        <w:rPr>
          <w:noProof/>
        </w:rPr>
        <w:t>]</w:t>
      </w:r>
      <w:r>
        <w:fldChar w:fldCharType="end"/>
      </w:r>
      <w:r>
        <w:t>. Learning disabilities were not excluded as patients with learning disabilities received at least once care for mental health</w:t>
      </w:r>
      <w:r w:rsidR="00DA26B1">
        <w:t xml:space="preserve"> and e</w:t>
      </w:r>
      <w:r w:rsidRPr="00C74B98">
        <w:t xml:space="preserve">pisodes of care and contacts with care professionals due to </w:t>
      </w:r>
      <w:r>
        <w:t>learning disabilities</w:t>
      </w:r>
      <w:r w:rsidRPr="00C74B98">
        <w:t xml:space="preserve"> </w:t>
      </w:r>
      <w:r>
        <w:t xml:space="preserve">could </w:t>
      </w:r>
      <w:r w:rsidRPr="00C74B98">
        <w:t>not be</w:t>
      </w:r>
      <w:r>
        <w:t xml:space="preserve"> </w:t>
      </w:r>
      <w:r w:rsidR="00DA26B1">
        <w:t xml:space="preserve">identified </w:t>
      </w:r>
      <w:r>
        <w:t>in a consistent way. Episodes of care could</w:t>
      </w:r>
      <w:r w:rsidRPr="00C74B98">
        <w:t xml:space="preserve"> be identified through clinical intensity of inpatient care</w:t>
      </w:r>
      <w:r w:rsidR="00DA26B1">
        <w:t>,</w:t>
      </w:r>
      <w:r w:rsidRPr="00C74B98">
        <w:t xml:space="preserve"> treatment </w:t>
      </w:r>
      <w:r w:rsidR="00DA26B1">
        <w:t xml:space="preserve">function </w:t>
      </w:r>
      <w:r w:rsidRPr="00C74B98">
        <w:t xml:space="preserve">or specialty, while contacts of care through </w:t>
      </w:r>
      <w:r w:rsidR="00DA26B1">
        <w:t xml:space="preserve">the </w:t>
      </w:r>
      <w:r w:rsidRPr="00C74B98">
        <w:t>job role</w:t>
      </w:r>
      <w:r w:rsidR="00BC527E">
        <w:t xml:space="preserve"> or the</w:t>
      </w:r>
      <w:r w:rsidRPr="00C74B98">
        <w:t xml:space="preserve"> specialty of the care professional</w:t>
      </w:r>
      <w:r w:rsidR="00BC527E">
        <w:t>,</w:t>
      </w:r>
      <w:r w:rsidRPr="00C74B98">
        <w:t xml:space="preserve"> or </w:t>
      </w:r>
      <w:r w:rsidR="00BC527E">
        <w:t xml:space="preserve">through the </w:t>
      </w:r>
      <w:r w:rsidRPr="00C74B98">
        <w:t xml:space="preserve">main reason for referral. There would </w:t>
      </w:r>
      <w:r>
        <w:t xml:space="preserve">have been </w:t>
      </w:r>
      <w:r w:rsidRPr="00C74B98">
        <w:t>discrepanc</w:t>
      </w:r>
      <w:r>
        <w:t>ies</w:t>
      </w:r>
      <w:r w:rsidRPr="00C74B98">
        <w:t xml:space="preserve"> in the way that different providers complete these fields in the MH</w:t>
      </w:r>
      <w:r>
        <w:t xml:space="preserve">SDS and MHLDDS. </w:t>
      </w:r>
      <w:r w:rsidR="00BC527E">
        <w:t xml:space="preserve">Moreover, information </w:t>
      </w:r>
      <w:r>
        <w:t xml:space="preserve">on the </w:t>
      </w:r>
      <w:r w:rsidRPr="00C74B98">
        <w:t xml:space="preserve">main reason for referral </w:t>
      </w:r>
      <w:r>
        <w:t>wa</w:t>
      </w:r>
      <w:r w:rsidRPr="00C74B98">
        <w:t>s only available in the more recent data and poorly completed.</w:t>
      </w:r>
    </w:p>
    <w:p w:rsidR="00715276" w:rsidRDefault="00715276" w:rsidP="00715276">
      <w:r>
        <w:t>W</w:t>
      </w:r>
      <w:r w:rsidRPr="00FB37B3">
        <w:t xml:space="preserve">e </w:t>
      </w:r>
      <w:r>
        <w:t>used</w:t>
      </w:r>
      <w:r w:rsidRPr="00FB37B3">
        <w:t xml:space="preserve"> data from the MHSDS for the period between 1 January and 31 March 2016</w:t>
      </w:r>
      <w:r>
        <w:t xml:space="preserve"> only to quantify individual inpatient and community service use</w:t>
      </w:r>
      <w:r w:rsidRPr="00FB37B3">
        <w:t>.</w:t>
      </w:r>
      <w:r w:rsidRPr="007A5DFB">
        <w:t xml:space="preserve"> Due to disruptions during the transition from MHLLDS to MHSDS,</w:t>
      </w:r>
      <w:r>
        <w:t xml:space="preserve"> there was a drop in the quality of data reporting. While we could verify the reporting of the volume of service provided through </w:t>
      </w:r>
      <w:r w:rsidR="00BC527E" w:rsidRPr="00141539">
        <w:t>Secondary Uses Service</w:t>
      </w:r>
      <w:r>
        <w:t xml:space="preserve"> data, we could not verify the quality of other variables</w:t>
      </w:r>
      <w:r w:rsidR="00BC527E">
        <w:t>, which</w:t>
      </w:r>
      <w:r>
        <w:t xml:space="preserve"> we avoided using. </w:t>
      </w:r>
    </w:p>
    <w:p w:rsidR="00715276" w:rsidRDefault="00715276" w:rsidP="009B1C77">
      <w:r>
        <w:t xml:space="preserve">The total number of inpatient bed days </w:t>
      </w:r>
      <w:r w:rsidR="00BC527E">
        <w:t>per person was</w:t>
      </w:r>
      <w:r w:rsidR="00BC527E" w:rsidRPr="00991AA6">
        <w:t xml:space="preserve"> </w:t>
      </w:r>
      <w:r>
        <w:t>capped at 365</w:t>
      </w:r>
      <w:r w:rsidR="00BC527E">
        <w:t>. The total is calculated as the sum of bed days within each reported ward stay, which is</w:t>
      </w:r>
      <w:r>
        <w:t xml:space="preserve"> based on the reported start and end date of each ward stay, or, when these were missing, on the beginning or end of the financial year. We differentiated between intensive </w:t>
      </w:r>
      <w:r w:rsidRPr="00040B9F">
        <w:t>(intended clinical intensity codes 11, 51, 61)</w:t>
      </w:r>
      <w:r>
        <w:t xml:space="preserve"> and general (non-</w:t>
      </w:r>
      <w:r>
        <w:lastRenderedPageBreak/>
        <w:t>intensive intended clinical intensity codes 12, 52, 53, 62 and 63 or unknown intended clinical intensity code) care</w:t>
      </w:r>
      <w:r w:rsidR="00BC527E">
        <w:t xml:space="preserve">  </w:t>
      </w:r>
      <w:r w:rsidR="00BC527E">
        <w:fldChar w:fldCharType="begin"/>
      </w:r>
      <w:r w:rsidR="00B639B1">
        <w:instrText xml:space="preserve"> ADDIN EN.CITE &lt;EndNote&gt;&lt;Cite&gt;&lt;Author&gt;NHS Digital&lt;/Author&gt;&lt;Year&gt;2018&lt;/Year&gt;&lt;RecNum&gt;29&lt;/RecNum&gt;&lt;DisplayText&gt;[3]&lt;/DisplayText&gt;&lt;record&gt;&lt;rec-number&gt;29&lt;/rec-number&gt;&lt;foreign-keys&gt;&lt;key app="EN" db-id="dp5wv09e4d2ts4ep5p55tspyrzpavxadxxsr"&gt;29&lt;/key&gt;&lt;/foreign-keys&gt;&lt;ref-type name="Web Page"&gt;12&lt;/ref-type&gt;&lt;contributors&gt;&lt;authors&gt;&lt;author&gt;NHS Digital,&lt;/author&gt;&lt;/authors&gt;&lt;/contributors&gt;&lt;titles&gt;&lt;title&gt;NHS Data Dictionary, Intended Clinical Intensity Code&lt;/title&gt;&lt;/titles&gt;&lt;dates&gt;&lt;year&gt;2018&lt;/year&gt;&lt;/dates&gt;&lt;urls&gt;&lt;related-urls&gt;&lt;url&gt;http://www.datadictionary.nhs.uk/data_dictionary/data_field_notes/i/in/intended_clinical_care_intensity_code_(mental_health)_de.asp?query=intended%20intensity%20code&amp;amp;rank=1&amp;amp;shownav=1 ; http://www.datadictionary.nhs.uk/data_dictionary/attributes/c/cla/clinical_care_intensity_de.asp?shownav=1&lt;/url&gt;&lt;/related-urls&gt;&lt;/urls&gt;&lt;/record&gt;&lt;/Cite&gt;&lt;/EndNote&gt;</w:instrText>
      </w:r>
      <w:r w:rsidR="00BC527E">
        <w:fldChar w:fldCharType="separate"/>
      </w:r>
      <w:r w:rsidR="00B639B1">
        <w:rPr>
          <w:noProof/>
        </w:rPr>
        <w:t>[</w:t>
      </w:r>
      <w:hyperlink w:anchor="_ENREF_3" w:tooltip="NHS Digital, 2018 #29" w:history="1">
        <w:r w:rsidR="00C7295C">
          <w:rPr>
            <w:noProof/>
          </w:rPr>
          <w:t>3</w:t>
        </w:r>
      </w:hyperlink>
      <w:r w:rsidR="00B639B1">
        <w:rPr>
          <w:noProof/>
        </w:rPr>
        <w:t>]</w:t>
      </w:r>
      <w:r w:rsidR="00BC527E">
        <w:fldChar w:fldCharType="end"/>
      </w:r>
      <w:r>
        <w:t xml:space="preserve">. We excluded </w:t>
      </w:r>
      <w:r w:rsidRPr="00A41FA4">
        <w:t>bed days in low, medium and high security level ward</w:t>
      </w:r>
      <w:r>
        <w:t>s</w:t>
      </w:r>
      <w:r w:rsidRPr="00A41FA4">
        <w:t xml:space="preserve"> as these</w:t>
      </w:r>
      <w:r>
        <w:t xml:space="preserve"> are specialised services not commissioned</w:t>
      </w:r>
      <w:r w:rsidRPr="00A41FA4">
        <w:t xml:space="preserve"> </w:t>
      </w:r>
      <w:r w:rsidRPr="00E778E5">
        <w:t>by CCGs</w:t>
      </w:r>
      <w:r>
        <w:t xml:space="preserve"> </w:t>
      </w:r>
      <w:r>
        <w:fldChar w:fldCharType="begin"/>
      </w:r>
      <w:r w:rsidR="00B639B1">
        <w:instrText xml:space="preserve"> ADDIN EN.CITE &lt;EndNote&gt;&lt;Cite&gt;&lt;Author&gt;NHS England&lt;/Author&gt;&lt;Year&gt;2017&lt;/Year&gt;&lt;RecNum&gt;19&lt;/RecNum&gt;&lt;DisplayText&gt;[4]&lt;/DisplayText&gt;&lt;record&gt;&lt;rec-number&gt;19&lt;/rec-number&gt;&lt;foreign-keys&gt;&lt;key app="EN" db-id="dp5wv09e4d2ts4ep5p55tspyrzpavxadxxsr"&gt;19&lt;/key&gt;&lt;/foreign-keys&gt;&lt;ref-type name="Report"&gt;27&lt;/ref-type&gt;&lt;contributors&gt;&lt;authors&gt;&lt;author&gt;NHS England, &lt;/author&gt;&lt;/authors&gt;&lt;/contributors&gt;&lt;titles&gt;&lt;title&gt;Manual for Prescribed Specialised Services 2017/18&lt;/title&gt;&lt;/titles&gt;&lt;dates&gt;&lt;year&gt;2017&lt;/year&gt;&lt;/dates&gt;&lt;pub-location&gt;London&lt;/pub-location&gt;&lt;publisher&gt;NHS England Analytical Services (Finance)&lt;/publisher&gt;&lt;urls&gt;&lt;related-urls&gt;&lt;url&gt;https://www.england.nhs.uk/wp-content/uploads/2017/10/prescribed-specialised-services-manual.pdf&lt;/url&gt;&lt;/related-urls&gt;&lt;/urls&gt;&lt;/record&gt;&lt;/Cite&gt;&lt;/EndNote&gt;</w:instrText>
      </w:r>
      <w:r>
        <w:fldChar w:fldCharType="separate"/>
      </w:r>
      <w:r w:rsidR="00B639B1">
        <w:rPr>
          <w:noProof/>
        </w:rPr>
        <w:t>[</w:t>
      </w:r>
      <w:hyperlink w:anchor="_ENREF_4" w:tooltip="NHS England, 2017 #19" w:history="1">
        <w:r w:rsidR="00C7295C">
          <w:rPr>
            <w:noProof/>
          </w:rPr>
          <w:t>4</w:t>
        </w:r>
      </w:hyperlink>
      <w:r w:rsidR="00B639B1">
        <w:rPr>
          <w:noProof/>
        </w:rPr>
        <w:t>]</w:t>
      </w:r>
      <w:r>
        <w:fldChar w:fldCharType="end"/>
      </w:r>
      <w:r w:rsidRPr="00E778E5">
        <w:t xml:space="preserve">. </w:t>
      </w:r>
      <w:r>
        <w:t xml:space="preserve">We counted contacts with different types of health care professionals, including consultations face-to-face, by telephone, by web-cam or needing a translator and that were attended on time or attended late but the patient could be seen. Health care professionals were classified by pay band (two to nine) based, in order of priority, </w:t>
      </w:r>
      <w:r w:rsidRPr="00DF11E8">
        <w:t>on the</w:t>
      </w:r>
      <w:r>
        <w:t>ir</w:t>
      </w:r>
      <w:r w:rsidRPr="00DF11E8">
        <w:t xml:space="preserve"> job role</w:t>
      </w:r>
      <w:r>
        <w:t>, occupation code or specialty</w:t>
      </w:r>
      <w:r w:rsidR="007D7BFF">
        <w:rPr>
          <w:rStyle w:val="FootnoteReference"/>
        </w:rPr>
        <w:footnoteReference w:id="1"/>
      </w:r>
      <w:r>
        <w:t xml:space="preserve">. Each job role, </w:t>
      </w:r>
      <w:r w:rsidRPr="00DF11E8">
        <w:t>occupation code</w:t>
      </w:r>
      <w:r>
        <w:t xml:space="preserve"> and</w:t>
      </w:r>
      <w:r w:rsidRPr="00DF11E8">
        <w:t xml:space="preserve"> specialty</w:t>
      </w:r>
      <w:r>
        <w:t xml:space="preserve"> was attributed a pay band according to Agenda for Change </w:t>
      </w:r>
      <w:r>
        <w:fldChar w:fldCharType="begin"/>
      </w:r>
      <w:r w:rsidR="00C7295C">
        <w:instrText xml:space="preserve"> ADDIN EN.CITE &lt;EndNote&gt;&lt;Cite&gt;&lt;Author&gt;NHS Employers&lt;/Author&gt;&lt;Year&gt;2017&lt;/Year&gt;&lt;RecNum&gt;12&lt;/RecNum&gt;&lt;DisplayText&gt;[5]&lt;/DisplayText&gt;&lt;record&gt;&lt;rec-number&gt;12&lt;/rec-number&gt;&lt;foreign-keys&gt;&lt;key app="EN" db-id="dp5wv09e4d2ts4ep5p55tspyrzpavxadxxsr"&gt;12&lt;/key&gt;&lt;/foreign-keys&gt;&lt;ref-type name="Report"&gt;27&lt;/ref-type&gt;&lt;contributors&gt;&lt;authors&gt;&lt;author&gt;NHS Employers,&lt;/author&gt;&lt;/authors&gt;&lt;/contributors&gt;&lt;titles&gt;&lt;title&gt;Agenda for Change pay scales - Annual&lt;/title&gt;&lt;/titles&gt;&lt;dates&gt;&lt;year&gt;2017&lt;/year&gt;&lt;/dates&gt;&lt;pub-location&gt;London&lt;/pub-location&gt;&lt;publisher&gt;NHS Employers&lt;/publisher&gt;&lt;urls&gt;&lt;related-urls&gt;&lt;url&gt;http://www.nhsemployers.org/your-workforce/pay-and-reward/agenda-for-change/pay-scales/annual&lt;/url&gt;&lt;/related-urls&gt;&lt;/urls&gt;&lt;/record&gt;&lt;/Cite&gt;&lt;/EndNote&gt;</w:instrText>
      </w:r>
      <w:r>
        <w:fldChar w:fldCharType="separate"/>
      </w:r>
      <w:r w:rsidR="00B639B1">
        <w:rPr>
          <w:noProof/>
        </w:rPr>
        <w:t>[</w:t>
      </w:r>
      <w:hyperlink w:anchor="_ENREF_5" w:tooltip="NHS Employers, 2017 #12" w:history="1">
        <w:r w:rsidR="00C7295C">
          <w:rPr>
            <w:noProof/>
          </w:rPr>
          <w:t>5</w:t>
        </w:r>
      </w:hyperlink>
      <w:r w:rsidR="00B639B1">
        <w:rPr>
          <w:noProof/>
        </w:rPr>
        <w:t>]</w:t>
      </w:r>
      <w:r>
        <w:fldChar w:fldCharType="end"/>
      </w:r>
      <w:r>
        <w:t xml:space="preserve">, NHS job adverts, and the judgement of experienced NHS colleagues.  </w:t>
      </w:r>
    </w:p>
    <w:p w:rsidR="00715276" w:rsidRPr="00E44F11" w:rsidRDefault="00715276" w:rsidP="00715276">
      <w:pPr>
        <w:rPr>
          <w:i/>
          <w:u w:val="single"/>
        </w:rPr>
      </w:pPr>
      <w:r w:rsidRPr="00E44F11">
        <w:rPr>
          <w:i/>
          <w:u w:val="single"/>
        </w:rPr>
        <w:t xml:space="preserve">Improving Access to Psychological Therapies (IAPT) dataset </w:t>
      </w:r>
    </w:p>
    <w:p w:rsidR="00715276" w:rsidRDefault="00715276" w:rsidP="00715276">
      <w:r w:rsidRPr="00E44F11">
        <w:t>The Improving Access to Psychological Therapies (IAPT) Data Set collects information about adults in contact with psychological therapy services.</w:t>
      </w:r>
      <w:r>
        <w:t xml:space="preserve"> We counted the number of consultations face–to-face, by telephone, by webcam, or needing a translator, and that were attended or attended late, but the patient would be seen </w:t>
      </w:r>
      <w:r>
        <w:fldChar w:fldCharType="begin"/>
      </w:r>
      <w:r w:rsidR="00B639B1">
        <w:instrText xml:space="preserve"> ADDIN EN.CITE &lt;EndNote&gt;&lt;Cite&gt;&lt;Author&gt;NHS Digital&lt;/Author&gt;&lt;Year&gt;2018&lt;/Year&gt;&lt;RecNum&gt;14&lt;/RecNum&gt;&lt;DisplayText&gt;[6]&lt;/DisplayText&gt;&lt;record&gt;&lt;rec-number&gt;14&lt;/rec-number&gt;&lt;foreign-keys&gt;&lt;key app="EN" db-id="dp5wv09e4d2ts4ep5p55tspyrzpavxadxxsr"&gt;14&lt;/key&gt;&lt;/foreign-keys&gt;&lt;ref-type name="Web Page"&gt;12&lt;/ref-type&gt;&lt;contributors&gt;&lt;authors&gt;&lt;author&gt;NHS Digital,&lt;/author&gt;&lt;/authors&gt;&lt;/contributors&gt;&lt;titles&gt;&lt;title&gt;Improving Access to Psychological Therapies Data Set&lt;/title&gt;&lt;/titles&gt;&lt;dates&gt;&lt;year&gt;2018&lt;/year&gt;&lt;/dates&gt;&lt;urls&gt;&lt;related-urls&gt;&lt;url&gt;https://digital.nhs.uk/data-and-information/data-collections-and-data-sets/data-sets/improving-access-to-psychological-therapies-data-set&lt;/url&gt;&lt;/related-urls&gt;&lt;/urls&gt;&lt;/record&gt;&lt;/Cite&gt;&lt;/EndNote&gt;</w:instrText>
      </w:r>
      <w:r>
        <w:fldChar w:fldCharType="separate"/>
      </w:r>
      <w:r w:rsidR="00B639B1">
        <w:rPr>
          <w:noProof/>
        </w:rPr>
        <w:t>[</w:t>
      </w:r>
      <w:hyperlink w:anchor="_ENREF_6" w:tooltip="NHS Digital, 2018 #14" w:history="1">
        <w:r w:rsidR="00C7295C">
          <w:rPr>
            <w:noProof/>
          </w:rPr>
          <w:t>6</w:t>
        </w:r>
      </w:hyperlink>
      <w:r w:rsidR="00B639B1">
        <w:rPr>
          <w:noProof/>
        </w:rPr>
        <w:t>]</w:t>
      </w:r>
      <w:r>
        <w:fldChar w:fldCharType="end"/>
      </w:r>
      <w:r>
        <w:t>.</w:t>
      </w:r>
    </w:p>
    <w:p w:rsidR="00715276" w:rsidRPr="00E44F11" w:rsidRDefault="00715276" w:rsidP="00715276">
      <w:pPr>
        <w:rPr>
          <w:i/>
          <w:u w:val="single"/>
        </w:rPr>
      </w:pPr>
      <w:r w:rsidRPr="00E44F11">
        <w:rPr>
          <w:i/>
          <w:u w:val="single"/>
        </w:rPr>
        <w:t>Secondary Uses Service dataset</w:t>
      </w:r>
    </w:p>
    <w:p w:rsidR="00715276" w:rsidRDefault="00715276" w:rsidP="00715276">
      <w:pPr>
        <w:jc w:val="both"/>
      </w:pPr>
      <w:r w:rsidRPr="00141539">
        <w:t>The Secondary Uses Service (SUS) is the single, comprehensive repository for healthcare data in England.</w:t>
      </w:r>
      <w:r>
        <w:t xml:space="preserve"> We extracted information on physical health diagnoses from records of patients admitted to general and acute care hospitals </w:t>
      </w:r>
      <w:r>
        <w:fldChar w:fldCharType="begin"/>
      </w:r>
      <w:r w:rsidR="00B639B1">
        <w:instrText xml:space="preserve"> ADDIN EN.CITE &lt;EndNote&gt;&lt;Cite&gt;&lt;Author&gt;NHS Digital&lt;/Author&gt;&lt;Year&gt;2018&lt;/Year&gt;&lt;RecNum&gt;15&lt;/RecNum&gt;&lt;DisplayText&gt;[7]&lt;/DisplayText&gt;&lt;record&gt;&lt;rec-number&gt;15&lt;/rec-number&gt;&lt;foreign-keys&gt;&lt;key app="EN" db-id="dp5wv09e4d2ts4ep5p55tspyrzpavxadxxsr"&gt;15&lt;/key&gt;&lt;/foreign-keys&gt;&lt;ref-type name="Web Page"&gt;12&lt;/ref-type&gt;&lt;contributors&gt;&lt;authors&gt;&lt;author&gt;NHS Digital,&lt;/author&gt;&lt;/authors&gt;&lt;secondary-authors&gt;&lt;author&gt;NHS Digital&lt;/author&gt;&lt;/secondary-authors&gt;&lt;/contributors&gt;&lt;titles&gt;&lt;title&gt;Secondary Uses Service (SUS)&lt;/title&gt;&lt;/titles&gt;&lt;dates&gt;&lt;year&gt;2018&lt;/year&gt;&lt;/dates&gt;&lt;urls&gt;&lt;related-urls&gt;&lt;url&gt;https://digital.nhs.uk/services/secondary-uses-service-sus&lt;/url&gt;&lt;/related-urls&gt;&lt;/urls&gt;&lt;/record&gt;&lt;/Cite&gt;&lt;/EndNote&gt;</w:instrText>
      </w:r>
      <w:r>
        <w:fldChar w:fldCharType="separate"/>
      </w:r>
      <w:r w:rsidR="00B639B1">
        <w:rPr>
          <w:noProof/>
        </w:rPr>
        <w:t>[</w:t>
      </w:r>
      <w:hyperlink w:anchor="_ENREF_7" w:tooltip="NHS Digital, 2018 #15" w:history="1">
        <w:r w:rsidR="00C7295C">
          <w:rPr>
            <w:noProof/>
          </w:rPr>
          <w:t>7</w:t>
        </w:r>
      </w:hyperlink>
      <w:r w:rsidR="00B639B1">
        <w:rPr>
          <w:noProof/>
        </w:rPr>
        <w:t>]</w:t>
      </w:r>
      <w:r>
        <w:fldChar w:fldCharType="end"/>
      </w:r>
      <w:r>
        <w:t xml:space="preserve">. We generated seven flags that indicate if the person had been admitted </w:t>
      </w:r>
      <w:r w:rsidR="000571DC">
        <w:t xml:space="preserve">in 2013 or 2014 at least once </w:t>
      </w:r>
      <w:r>
        <w:t xml:space="preserve">with each of the following diagnoses </w:t>
      </w:r>
      <w:r w:rsidR="000571DC">
        <w:t xml:space="preserve">defined based on </w:t>
      </w:r>
      <w:r>
        <w:t xml:space="preserve">ICD-10 codes: viral hepatitis (B15-B19); symptoms and signs involving cognition, perception, emotional state and behaviour (R40-R46); poisoning by adverse effect of and under dosing of drugs, medicaments and biological substances (T36-T50); diabetes mellitus (E10-E14); endocrine nutritional and metabolic diseases (E15-E90); cerebrovascular diseases (I60-I69); and chronic lower respiratory diseases (J40-J47). We considered the primary or secondary diagnoses up </w:t>
      </w:r>
      <w:r w:rsidRPr="009A7204">
        <w:t xml:space="preserve">to the </w:t>
      </w:r>
      <w:r>
        <w:t>7</w:t>
      </w:r>
      <w:r w:rsidRPr="009A7204">
        <w:rPr>
          <w:vertAlign w:val="superscript"/>
        </w:rPr>
        <w:t>th</w:t>
      </w:r>
      <w:r w:rsidRPr="00EE3903">
        <w:t xml:space="preserve"> position</w:t>
      </w:r>
      <w:r>
        <w:t xml:space="preserve"> in total,</w:t>
      </w:r>
      <w:r w:rsidRPr="00EE3903">
        <w:t xml:space="preserve"> as in </w:t>
      </w:r>
      <w:r>
        <w:t xml:space="preserve">the formula for General and Acute care </w:t>
      </w:r>
      <w:r>
        <w:fldChar w:fldCharType="begin"/>
      </w:r>
      <w:r w:rsidR="00B639B1">
        <w:instrText xml:space="preserve"> ADDIN EN.CITE &lt;EndNote&gt;&lt;Cite&gt;&lt;Author&gt;Chaplin&lt;/Author&gt;&lt;Year&gt;2015&lt;/Year&gt;&lt;RecNum&gt;10&lt;/RecNum&gt;&lt;DisplayText&gt;[8]&lt;/DisplayText&gt;&lt;record&gt;&lt;rec-number&gt;10&lt;/rec-number&gt;&lt;foreign-keys&gt;&lt;key app="EN" db-id="dp5wv09e4d2ts4ep5p55tspyrzpavxadxxsr"&gt;10&lt;/key&gt;&lt;/foreign-keys&gt;&lt;ref-type name="Web Page"&gt;12&lt;/ref-type&gt;&lt;contributors&gt;&lt;authors&gt;&lt;author&gt;M. Chaplin &lt;/author&gt;&lt;author&gt;S. Beatson &lt;/author&gt;&lt;author&gt;Y.S. Lau&lt;/author&gt;&lt;author&gt;C. Davies &lt;/author&gt;&lt;author&gt;C. Smyth&lt;/author&gt;&lt;author&gt;J. Burrows &lt;/author&gt;&lt;author&gt;R. Weir&lt;/author&gt;&lt;author&gt;R. Tatarek-Gintowt &lt;/author&gt;&lt;/authors&gt;&lt;secondary-authors&gt;&lt;author&gt;NHS England, Analytical Services (Finance) – Allocations team&lt;/author&gt;&lt;/secondary-authors&gt;&lt;/contributors&gt;&lt;titles&gt;&lt;title&gt;Refreshing the Formulae for CCG Allocations For allocations to Clinical Commissioning Groups from 2016-17, Report on the methods and modelling&lt;/title&gt;&lt;/titles&gt;&lt;dates&gt;&lt;year&gt;2015&lt;/year&gt;&lt;/dates&gt;&lt;urls&gt;&lt;related-urls&gt;&lt;url&gt;https://www.england.nhs.uk/wp-content/uploads/2016/04/3-rep-elland-all-sections.pdf &lt;/url&gt;&lt;/related-urls&gt;&lt;/urls&gt;&lt;/record&gt;&lt;/Cite&gt;&lt;/EndNote&gt;</w:instrText>
      </w:r>
      <w:r>
        <w:fldChar w:fldCharType="separate"/>
      </w:r>
      <w:r w:rsidR="00B639B1">
        <w:rPr>
          <w:noProof/>
        </w:rPr>
        <w:t>[</w:t>
      </w:r>
      <w:hyperlink w:anchor="_ENREF_8" w:tooltip="Chaplin, 2015 #10" w:history="1">
        <w:r w:rsidR="00C7295C">
          <w:rPr>
            <w:noProof/>
          </w:rPr>
          <w:t>8</w:t>
        </w:r>
      </w:hyperlink>
      <w:r w:rsidR="00B639B1">
        <w:rPr>
          <w:noProof/>
        </w:rPr>
        <w:t>]</w:t>
      </w:r>
      <w:r>
        <w:fldChar w:fldCharType="end"/>
      </w:r>
      <w:r w:rsidRPr="00EE3903">
        <w:t>.</w:t>
      </w:r>
      <w:r>
        <w:t xml:space="preserve"> The selected diagnoses were either used in the PRAM review or known to be associated with severe mental illness </w:t>
      </w:r>
      <w:r>
        <w:fldChar w:fldCharType="begin"/>
      </w:r>
      <w:r w:rsidR="00B639B1">
        <w:instrText xml:space="preserve"> ADDIN EN.CITE &lt;EndNote&gt;&lt;Cite&gt;&lt;Author&gt;Public Health England&lt;/Author&gt;&lt;Year&gt;2018&lt;/Year&gt;&lt;RecNum&gt;20&lt;/RecNum&gt;&lt;DisplayText&gt;[9]&lt;/DisplayText&gt;&lt;record&gt;&lt;rec-number&gt;20&lt;/rec-number&gt;&lt;foreign-keys&gt;&lt;key app="EN" db-id="dp5wv09e4d2ts4ep5p55tspyrzpavxadxxsr"&gt;20&lt;/key&gt;&lt;/foreign-keys&gt;&lt;ref-type name="Report"&gt;27&lt;/ref-type&gt;&lt;contributors&gt;&lt;authors&gt;&lt;author&gt;Public Health England, &lt;/author&gt;&lt;/authors&gt;&lt;/contributors&gt;&lt;titles&gt;&lt;title&gt;Severe mental illness (SMI) and physical health inequalities: briefing&lt;/title&gt;&lt;/titles&gt;&lt;dates&gt;&lt;year&gt;2018&lt;/year&gt;&lt;/dates&gt;&lt;pub-location&gt;London, 27 September 2018&lt;/pub-location&gt;&lt;publisher&gt;Public Health England&lt;/publisher&gt;&lt;urls&gt;&lt;/urls&gt;&lt;/record&gt;&lt;/Cite&gt;&lt;/EndNote&gt;</w:instrText>
      </w:r>
      <w:r>
        <w:fldChar w:fldCharType="separate"/>
      </w:r>
      <w:r w:rsidR="00B639B1">
        <w:rPr>
          <w:noProof/>
        </w:rPr>
        <w:t>[</w:t>
      </w:r>
      <w:hyperlink w:anchor="_ENREF_9" w:tooltip="Public Health England, 2018 #20" w:history="1">
        <w:r w:rsidR="00C7295C">
          <w:rPr>
            <w:noProof/>
          </w:rPr>
          <w:t>9</w:t>
        </w:r>
      </w:hyperlink>
      <w:r w:rsidR="00B639B1">
        <w:rPr>
          <w:noProof/>
        </w:rPr>
        <w:t>]</w:t>
      </w:r>
      <w:r>
        <w:fldChar w:fldCharType="end"/>
      </w:r>
      <w:r>
        <w:t>.</w:t>
      </w:r>
    </w:p>
    <w:p w:rsidR="00715276" w:rsidRDefault="000571DC" w:rsidP="00715276">
      <w:r>
        <w:t>We used SUS data to verify and refine the mental health care service use reported i</w:t>
      </w:r>
      <w:r w:rsidR="0022086F">
        <w:t>n</w:t>
      </w:r>
      <w:r>
        <w:t xml:space="preserve"> the MHLDDS and MHSDS. </w:t>
      </w:r>
      <w:r w:rsidR="00715276">
        <w:t>For each individual w</w:t>
      </w:r>
      <w:r w:rsidR="00715276" w:rsidRPr="00BF53BB">
        <w:t xml:space="preserve">e extracted </w:t>
      </w:r>
      <w:r w:rsidR="00715276">
        <w:t>inpatient admissions and outpatient consultations from SUS admitted and outpatient care records related to mental health. We identified the spells of care</w:t>
      </w:r>
      <w:r w:rsidR="00715276" w:rsidRPr="008632DA">
        <w:t xml:space="preserve"> and </w:t>
      </w:r>
      <w:r w:rsidR="00715276">
        <w:t xml:space="preserve">the </w:t>
      </w:r>
      <w:r w:rsidR="00715276" w:rsidRPr="008632DA">
        <w:t>consultations</w:t>
      </w:r>
      <w:r w:rsidR="00715276">
        <w:t xml:space="preserve"> related to mental health (and their records) </w:t>
      </w:r>
      <w:r w:rsidR="00795869">
        <w:t xml:space="preserve">through </w:t>
      </w:r>
      <w:r w:rsidR="00715276">
        <w:t xml:space="preserve">the spell core Health Related Group (PA52Z, PA52B, PA52C, PA53A, PA53B, VC26Z, </w:t>
      </w:r>
      <w:proofErr w:type="gramStart"/>
      <w:r w:rsidR="00715276">
        <w:t>VC28Z</w:t>
      </w:r>
      <w:proofErr w:type="gramEnd"/>
      <w:r w:rsidR="00715276">
        <w:t>)</w:t>
      </w:r>
      <w:r w:rsidR="00795869">
        <w:t>,</w:t>
      </w:r>
      <w:r w:rsidR="00715276">
        <w:t xml:space="preserve"> the treatment function or </w:t>
      </w:r>
      <w:r w:rsidR="00795869">
        <w:t xml:space="preserve">the </w:t>
      </w:r>
      <w:r w:rsidR="00715276">
        <w:t xml:space="preserve">main specialty code (700, 710, 711, 712, 713, 715, 720, 721, 722, 723, 724, 725, 726, 727). We checked the overlap between inpatient stays and between outpatient consultations as reported in SUS and in the MHSDS </w:t>
      </w:r>
      <w:r w:rsidR="00795869">
        <w:t>(</w:t>
      </w:r>
      <w:r w:rsidR="00795869" w:rsidRPr="00795869">
        <w:t>1 January 2016 to 31 March 2016</w:t>
      </w:r>
      <w:r w:rsidR="00795869">
        <w:t xml:space="preserve">) </w:t>
      </w:r>
      <w:r w:rsidR="00715276">
        <w:t>or MHLDDS (</w:t>
      </w:r>
      <w:r w:rsidR="00795869">
        <w:t xml:space="preserve">1 April 2014 to 31 December </w:t>
      </w:r>
      <w:r w:rsidR="00795869">
        <w:lastRenderedPageBreak/>
        <w:t>2015)</w:t>
      </w:r>
      <w:r w:rsidR="00715276">
        <w:t>. We identified overlap by patient and by dates of inpatient stay admission and discharge, or by date of outpatient consultations.  We added the non-overlapping spells to the count of general inpatient bed days and the count of</w:t>
      </w:r>
      <w:r w:rsidR="00715276" w:rsidRPr="009875A5">
        <w:t xml:space="preserve"> non-overlapping outpatient consultations </w:t>
      </w:r>
      <w:r w:rsidR="00715276">
        <w:t>to the count of contacts with a health care professional in pay-band 7</w:t>
      </w:r>
      <w:r w:rsidR="00715276" w:rsidRPr="00BF53BB">
        <w:t>.</w:t>
      </w:r>
      <w:r w:rsidR="00715276">
        <w:t xml:space="preserve"> </w:t>
      </w:r>
    </w:p>
    <w:p w:rsidR="00715276" w:rsidRPr="00700A9B" w:rsidRDefault="00715276" w:rsidP="00715276">
      <w:pPr>
        <w:rPr>
          <w:i/>
          <w:u w:val="single"/>
        </w:rPr>
      </w:pPr>
      <w:r>
        <w:rPr>
          <w:i/>
          <w:u w:val="single"/>
        </w:rPr>
        <w:t>Ethnicity</w:t>
      </w:r>
    </w:p>
    <w:p w:rsidR="00715276" w:rsidRPr="00BF53BB" w:rsidRDefault="00715276" w:rsidP="00715276">
      <w:r>
        <w:t>E</w:t>
      </w:r>
      <w:r w:rsidRPr="005374B5">
        <w:t xml:space="preserve">thnicity </w:t>
      </w:r>
      <w:r>
        <w:t xml:space="preserve">was derived </w:t>
      </w:r>
      <w:r w:rsidR="00B639B1">
        <w:t xml:space="preserve">in order of priority </w:t>
      </w:r>
      <w:r w:rsidRPr="005374B5">
        <w:t xml:space="preserve">from </w:t>
      </w:r>
      <w:r>
        <w:t>SUS inpatient,</w:t>
      </w:r>
      <w:r w:rsidRPr="005374B5">
        <w:t xml:space="preserve"> </w:t>
      </w:r>
      <w:r w:rsidR="00B639B1">
        <w:t xml:space="preserve">SUS </w:t>
      </w:r>
      <w:r w:rsidRPr="005374B5">
        <w:t>outpatient</w:t>
      </w:r>
      <w:r w:rsidR="00B639B1">
        <w:t>, SUS</w:t>
      </w:r>
      <w:r w:rsidRPr="005374B5">
        <w:t xml:space="preserve"> Accident and Emergency, </w:t>
      </w:r>
      <w:r>
        <w:t>MHSDS, MHLDDS and IAPT records,</w:t>
      </w:r>
      <w:r w:rsidRPr="005374B5">
        <w:t xml:space="preserve"> for </w:t>
      </w:r>
      <w:r w:rsidR="00B639B1">
        <w:t xml:space="preserve">70% of </w:t>
      </w:r>
      <w:r>
        <w:t>individuals</w:t>
      </w:r>
      <w:r w:rsidRPr="005374B5">
        <w:t xml:space="preserve"> </w:t>
      </w:r>
      <w:r w:rsidR="00B639B1">
        <w:t xml:space="preserve">in the MPI </w:t>
      </w:r>
      <w:r w:rsidRPr="005374B5">
        <w:t xml:space="preserve">who used services </w:t>
      </w:r>
      <w:r w:rsidR="00B639B1">
        <w:t xml:space="preserve">and had a corresponding record </w:t>
      </w:r>
      <w:r w:rsidRPr="005374B5">
        <w:t>between 1 April 2013 and 31 March 2016</w:t>
      </w:r>
      <w:r w:rsidR="00B639B1">
        <w:t>. We</w:t>
      </w:r>
      <w:r>
        <w:t xml:space="preserve"> merged </w:t>
      </w:r>
      <w:r w:rsidR="00B639B1">
        <w:t xml:space="preserve">ethnicity </w:t>
      </w:r>
      <w:r>
        <w:t xml:space="preserve">with </w:t>
      </w:r>
      <w:r w:rsidR="00B639B1">
        <w:t xml:space="preserve">the </w:t>
      </w:r>
      <w:r w:rsidRPr="005374B5">
        <w:t>MPI records</w:t>
      </w:r>
      <w:r w:rsidR="00B639B1">
        <w:t xml:space="preserve"> and we </w:t>
      </w:r>
      <w:r>
        <w:t>derive</w:t>
      </w:r>
      <w:r w:rsidR="00B639B1">
        <w:t>d</w:t>
      </w:r>
      <w:r w:rsidRPr="005374B5">
        <w:t xml:space="preserve"> a set of </w:t>
      </w:r>
      <w:r w:rsidR="00B639B1">
        <w:t xml:space="preserve">binary </w:t>
      </w:r>
      <w:r>
        <w:t>indicators</w:t>
      </w:r>
      <w:r w:rsidRPr="005374B5">
        <w:t xml:space="preserve"> for ethnic </w:t>
      </w:r>
      <w:r>
        <w:t xml:space="preserve">group </w:t>
      </w:r>
      <w:r w:rsidRPr="005374B5">
        <w:t>categories</w:t>
      </w:r>
      <w:r>
        <w:t>. A</w:t>
      </w:r>
      <w:r w:rsidRPr="005374B5">
        <w:t xml:space="preserve"> value equal to the</w:t>
      </w:r>
      <w:r>
        <w:t xml:space="preserve"> LSOA</w:t>
      </w:r>
      <w:r w:rsidRPr="005374B5">
        <w:t xml:space="preserve"> proportion </w:t>
      </w:r>
      <w:r>
        <w:t xml:space="preserve">of residents </w:t>
      </w:r>
      <w:r w:rsidRPr="00BF53BB">
        <w:t>in each ethnic category</w:t>
      </w:r>
      <w:r w:rsidRPr="005374B5">
        <w:t xml:space="preserve"> </w:t>
      </w:r>
      <w:r>
        <w:t>was imputed f</w:t>
      </w:r>
      <w:r w:rsidRPr="005374B5">
        <w:t xml:space="preserve">or </w:t>
      </w:r>
      <w:r w:rsidR="00B639B1">
        <w:t xml:space="preserve">the </w:t>
      </w:r>
      <w:r>
        <w:t xml:space="preserve">30% of </w:t>
      </w:r>
      <w:r w:rsidRPr="005374B5">
        <w:t>individuals with missing information</w:t>
      </w:r>
      <w:r w:rsidR="00B639B1">
        <w:t xml:space="preserve"> on ethnicity</w:t>
      </w:r>
      <w:r w:rsidRPr="00BF53BB">
        <w:t xml:space="preserve">. </w:t>
      </w:r>
    </w:p>
    <w:p w:rsidR="00443FA9" w:rsidRDefault="00715276" w:rsidP="00715276">
      <w:pPr>
        <w:rPr>
          <w:b/>
        </w:rPr>
      </w:pPr>
      <w:r>
        <w:rPr>
          <w:b/>
        </w:rPr>
        <w:br w:type="page"/>
      </w:r>
    </w:p>
    <w:p w:rsidR="00443FA9" w:rsidRDefault="00443FA9" w:rsidP="00443FA9">
      <w:pPr>
        <w:jc w:val="center"/>
        <w:rPr>
          <w:b/>
        </w:rPr>
      </w:pPr>
      <w:r>
        <w:rPr>
          <w:b/>
        </w:rPr>
        <w:lastRenderedPageBreak/>
        <w:t>References</w:t>
      </w:r>
    </w:p>
    <w:p w:rsidR="00443FA9" w:rsidRDefault="00443FA9" w:rsidP="00443FA9"/>
    <w:p w:rsidR="00C7295C" w:rsidRPr="00C7295C" w:rsidRDefault="00443FA9" w:rsidP="00C7295C">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0" w:name="_ENREF_1"/>
      <w:r w:rsidR="00C7295C" w:rsidRPr="00C7295C">
        <w:rPr>
          <w:rFonts w:ascii="Calibri" w:hAnsi="Calibri"/>
          <w:noProof/>
        </w:rPr>
        <w:t>1.</w:t>
      </w:r>
      <w:r w:rsidR="00C7295C" w:rsidRPr="00C7295C">
        <w:rPr>
          <w:rFonts w:ascii="Calibri" w:hAnsi="Calibri"/>
          <w:noProof/>
        </w:rPr>
        <w:tab/>
        <w:t xml:space="preserve">NHS Digital. </w:t>
      </w:r>
      <w:r w:rsidR="00C7295C" w:rsidRPr="00C7295C">
        <w:rPr>
          <w:rFonts w:ascii="Calibri" w:hAnsi="Calibri"/>
          <w:i/>
          <w:noProof/>
        </w:rPr>
        <w:t>National Health Applications and Infrastructure Services</w:t>
      </w:r>
      <w:r w:rsidR="00C7295C" w:rsidRPr="00C7295C">
        <w:rPr>
          <w:rFonts w:ascii="Calibri" w:hAnsi="Calibri"/>
          <w:noProof/>
        </w:rPr>
        <w:t>. 2018; Available from: https://digital.nhs.uk/services/systems-and-service-delivery/national-health-application-and-infrastructure-services/national-health-application-and-infrastructure-services-nhais-more-services.</w:t>
      </w:r>
      <w:bookmarkEnd w:id="0"/>
    </w:p>
    <w:p w:rsidR="00C7295C" w:rsidRPr="00C7295C" w:rsidRDefault="00C7295C" w:rsidP="00C7295C">
      <w:pPr>
        <w:spacing w:after="0" w:line="240" w:lineRule="auto"/>
        <w:ind w:left="720" w:hanging="720"/>
        <w:rPr>
          <w:rFonts w:ascii="Calibri" w:hAnsi="Calibri"/>
          <w:noProof/>
        </w:rPr>
      </w:pPr>
      <w:bookmarkStart w:id="1" w:name="_ENREF_2"/>
      <w:r w:rsidRPr="00C7295C">
        <w:rPr>
          <w:rFonts w:ascii="Calibri" w:hAnsi="Calibri"/>
          <w:noProof/>
        </w:rPr>
        <w:t>2.</w:t>
      </w:r>
      <w:r w:rsidRPr="00C7295C">
        <w:rPr>
          <w:rFonts w:ascii="Calibri" w:hAnsi="Calibri"/>
          <w:noProof/>
        </w:rPr>
        <w:tab/>
        <w:t xml:space="preserve">NHS Digital. </w:t>
      </w:r>
      <w:r w:rsidRPr="00C7295C">
        <w:rPr>
          <w:rFonts w:ascii="Calibri" w:hAnsi="Calibri"/>
          <w:i/>
          <w:noProof/>
        </w:rPr>
        <w:t>Mental Health Services Datataset</w:t>
      </w:r>
      <w:r w:rsidRPr="00C7295C">
        <w:rPr>
          <w:rFonts w:ascii="Calibri" w:hAnsi="Calibri"/>
          <w:noProof/>
        </w:rPr>
        <w:t>. 2018; Available from: https://digital.nhs.uk/data-and-information/data-collections-and-data-sets/data-sets/mental-health-services-data-set.</w:t>
      </w:r>
      <w:bookmarkEnd w:id="1"/>
    </w:p>
    <w:p w:rsidR="00C7295C" w:rsidRPr="00C7295C" w:rsidRDefault="00C7295C" w:rsidP="00C7295C">
      <w:pPr>
        <w:spacing w:after="0" w:line="240" w:lineRule="auto"/>
        <w:ind w:left="720" w:hanging="720"/>
        <w:rPr>
          <w:rFonts w:ascii="Calibri" w:hAnsi="Calibri"/>
          <w:noProof/>
        </w:rPr>
      </w:pPr>
      <w:bookmarkStart w:id="2" w:name="_ENREF_3"/>
      <w:r w:rsidRPr="00C7295C">
        <w:rPr>
          <w:rFonts w:ascii="Calibri" w:hAnsi="Calibri"/>
          <w:noProof/>
        </w:rPr>
        <w:t>3.</w:t>
      </w:r>
      <w:r w:rsidRPr="00C7295C">
        <w:rPr>
          <w:rFonts w:ascii="Calibri" w:hAnsi="Calibri"/>
          <w:noProof/>
        </w:rPr>
        <w:tab/>
        <w:t xml:space="preserve">NHS Digital. </w:t>
      </w:r>
      <w:r w:rsidRPr="00C7295C">
        <w:rPr>
          <w:rFonts w:ascii="Calibri" w:hAnsi="Calibri"/>
          <w:i/>
          <w:noProof/>
        </w:rPr>
        <w:t>NHS Data Dictionary, Intended Clinical Intensity Code</w:t>
      </w:r>
      <w:r w:rsidRPr="00C7295C">
        <w:rPr>
          <w:rFonts w:ascii="Calibri" w:hAnsi="Calibri"/>
          <w:noProof/>
        </w:rPr>
        <w:t xml:space="preserve">. 2018; Available from: </w:t>
      </w:r>
      <w:hyperlink r:id="rId8" w:history="1">
        <w:r w:rsidRPr="00C7295C">
          <w:rPr>
            <w:rStyle w:val="Hyperlink"/>
            <w:rFonts w:ascii="Calibri" w:hAnsi="Calibri"/>
            <w:noProof/>
          </w:rPr>
          <w:t>http://www.datadictionary.nhs.uk/data_dictionary/data_field_notes/i/in/intended_clinical_care_intensity_code_(mental_health)_de.asp?query=intended%20intensity%20code&amp;rank=1&amp;shownav=1</w:t>
        </w:r>
      </w:hyperlink>
      <w:r w:rsidRPr="00C7295C">
        <w:rPr>
          <w:rFonts w:ascii="Calibri" w:hAnsi="Calibri"/>
          <w:noProof/>
        </w:rPr>
        <w:t xml:space="preserve"> ; </w:t>
      </w:r>
      <w:hyperlink r:id="rId9" w:history="1">
        <w:r w:rsidRPr="00C7295C">
          <w:rPr>
            <w:rStyle w:val="Hyperlink"/>
            <w:rFonts w:ascii="Calibri" w:hAnsi="Calibri"/>
            <w:noProof/>
          </w:rPr>
          <w:t>http://www.datadictionary.nhs.uk/data_dictionary/attributes/c/cla/clinical_care_intensity_de.asp?shownav=1</w:t>
        </w:r>
      </w:hyperlink>
      <w:r w:rsidRPr="00C7295C">
        <w:rPr>
          <w:rFonts w:ascii="Calibri" w:hAnsi="Calibri"/>
          <w:noProof/>
        </w:rPr>
        <w:t>.</w:t>
      </w:r>
      <w:bookmarkEnd w:id="2"/>
    </w:p>
    <w:p w:rsidR="00C7295C" w:rsidRPr="00C7295C" w:rsidRDefault="00C7295C" w:rsidP="00C7295C">
      <w:pPr>
        <w:spacing w:after="0" w:line="240" w:lineRule="auto"/>
        <w:ind w:left="720" w:hanging="720"/>
        <w:rPr>
          <w:rFonts w:ascii="Calibri" w:hAnsi="Calibri"/>
          <w:noProof/>
        </w:rPr>
      </w:pPr>
      <w:bookmarkStart w:id="3" w:name="_ENREF_4"/>
      <w:r w:rsidRPr="00C7295C">
        <w:rPr>
          <w:rFonts w:ascii="Calibri" w:hAnsi="Calibri"/>
          <w:noProof/>
        </w:rPr>
        <w:t>4.</w:t>
      </w:r>
      <w:r w:rsidRPr="00C7295C">
        <w:rPr>
          <w:rFonts w:ascii="Calibri" w:hAnsi="Calibri"/>
          <w:noProof/>
        </w:rPr>
        <w:tab/>
        <w:t xml:space="preserve">NHS England, </w:t>
      </w:r>
      <w:r w:rsidRPr="00C7295C">
        <w:rPr>
          <w:rFonts w:ascii="Calibri" w:hAnsi="Calibri"/>
          <w:i/>
          <w:noProof/>
        </w:rPr>
        <w:t>Manual for Prescribed Specialised Services 2017/18</w:t>
      </w:r>
      <w:r w:rsidRPr="00C7295C">
        <w:rPr>
          <w:rFonts w:ascii="Calibri" w:hAnsi="Calibri"/>
          <w:noProof/>
        </w:rPr>
        <w:t>, 2017, NHS England Analytical Services (Finance): London.</w:t>
      </w:r>
      <w:bookmarkEnd w:id="3"/>
    </w:p>
    <w:p w:rsidR="00C7295C" w:rsidRPr="00C7295C" w:rsidRDefault="00C7295C" w:rsidP="00C7295C">
      <w:pPr>
        <w:spacing w:after="0" w:line="240" w:lineRule="auto"/>
        <w:ind w:left="720" w:hanging="720"/>
        <w:rPr>
          <w:rFonts w:ascii="Calibri" w:hAnsi="Calibri"/>
          <w:noProof/>
        </w:rPr>
      </w:pPr>
      <w:bookmarkStart w:id="4" w:name="_ENREF_5"/>
      <w:r w:rsidRPr="00C7295C">
        <w:rPr>
          <w:rFonts w:ascii="Calibri" w:hAnsi="Calibri"/>
          <w:noProof/>
        </w:rPr>
        <w:t>5.</w:t>
      </w:r>
      <w:r w:rsidRPr="00C7295C">
        <w:rPr>
          <w:rFonts w:ascii="Calibri" w:hAnsi="Calibri"/>
          <w:noProof/>
        </w:rPr>
        <w:tab/>
        <w:t xml:space="preserve">NHS Employers, </w:t>
      </w:r>
      <w:r w:rsidRPr="00C7295C">
        <w:rPr>
          <w:rFonts w:ascii="Calibri" w:hAnsi="Calibri"/>
          <w:i/>
          <w:noProof/>
        </w:rPr>
        <w:t>Agenda for Change pay scales - Annual</w:t>
      </w:r>
      <w:r w:rsidRPr="00C7295C">
        <w:rPr>
          <w:rFonts w:ascii="Calibri" w:hAnsi="Calibri"/>
          <w:noProof/>
        </w:rPr>
        <w:t>, 2017, NHS Employers: London.</w:t>
      </w:r>
      <w:bookmarkEnd w:id="4"/>
    </w:p>
    <w:p w:rsidR="00C7295C" w:rsidRPr="00C7295C" w:rsidRDefault="00C7295C" w:rsidP="00C7295C">
      <w:pPr>
        <w:spacing w:after="0" w:line="240" w:lineRule="auto"/>
        <w:ind w:left="720" w:hanging="720"/>
        <w:rPr>
          <w:rFonts w:ascii="Calibri" w:hAnsi="Calibri"/>
          <w:noProof/>
        </w:rPr>
      </w:pPr>
      <w:bookmarkStart w:id="5" w:name="_ENREF_6"/>
      <w:r w:rsidRPr="00C7295C">
        <w:rPr>
          <w:rFonts w:ascii="Calibri" w:hAnsi="Calibri"/>
          <w:noProof/>
        </w:rPr>
        <w:t>6.</w:t>
      </w:r>
      <w:r w:rsidRPr="00C7295C">
        <w:rPr>
          <w:rFonts w:ascii="Calibri" w:hAnsi="Calibri"/>
          <w:noProof/>
        </w:rPr>
        <w:tab/>
        <w:t xml:space="preserve">NHS Digital. </w:t>
      </w:r>
      <w:r w:rsidRPr="00C7295C">
        <w:rPr>
          <w:rFonts w:ascii="Calibri" w:hAnsi="Calibri"/>
          <w:i/>
          <w:noProof/>
        </w:rPr>
        <w:t>Improving Access to Psychological Therapies Data Set</w:t>
      </w:r>
      <w:r w:rsidRPr="00C7295C">
        <w:rPr>
          <w:rFonts w:ascii="Calibri" w:hAnsi="Calibri"/>
          <w:noProof/>
        </w:rPr>
        <w:t>. 2018; Available from: https://digital.nhs.uk/data-and-information/data-collections-and-data-sets/data-sets/improving-access-to-psychological-therapies-data-set.</w:t>
      </w:r>
      <w:bookmarkEnd w:id="5"/>
    </w:p>
    <w:p w:rsidR="00C7295C" w:rsidRPr="00C7295C" w:rsidRDefault="00C7295C" w:rsidP="00C7295C">
      <w:pPr>
        <w:spacing w:after="0" w:line="240" w:lineRule="auto"/>
        <w:ind w:left="720" w:hanging="720"/>
        <w:rPr>
          <w:rFonts w:ascii="Calibri" w:hAnsi="Calibri"/>
          <w:noProof/>
        </w:rPr>
      </w:pPr>
      <w:bookmarkStart w:id="6" w:name="_ENREF_7"/>
      <w:r w:rsidRPr="00C7295C">
        <w:rPr>
          <w:rFonts w:ascii="Calibri" w:hAnsi="Calibri"/>
          <w:noProof/>
        </w:rPr>
        <w:t>7.</w:t>
      </w:r>
      <w:r w:rsidRPr="00C7295C">
        <w:rPr>
          <w:rFonts w:ascii="Calibri" w:hAnsi="Calibri"/>
          <w:noProof/>
        </w:rPr>
        <w:tab/>
        <w:t xml:space="preserve">NHS Digital. </w:t>
      </w:r>
      <w:r w:rsidRPr="00C7295C">
        <w:rPr>
          <w:rFonts w:ascii="Calibri" w:hAnsi="Calibri"/>
          <w:i/>
          <w:noProof/>
        </w:rPr>
        <w:t>Secondary Uses Service (SUS)</w:t>
      </w:r>
      <w:r w:rsidRPr="00C7295C">
        <w:rPr>
          <w:rFonts w:ascii="Calibri" w:hAnsi="Calibri"/>
          <w:noProof/>
        </w:rPr>
        <w:t>. 2018; Available from: https://digital.nhs.uk/services/secondary-uses-service-sus.</w:t>
      </w:r>
      <w:bookmarkEnd w:id="6"/>
    </w:p>
    <w:p w:rsidR="00C7295C" w:rsidRPr="00C7295C" w:rsidRDefault="00C7295C" w:rsidP="00C7295C">
      <w:pPr>
        <w:spacing w:after="0" w:line="240" w:lineRule="auto"/>
        <w:ind w:left="720" w:hanging="720"/>
        <w:rPr>
          <w:rFonts w:ascii="Calibri" w:hAnsi="Calibri"/>
          <w:noProof/>
        </w:rPr>
      </w:pPr>
      <w:bookmarkStart w:id="7" w:name="_ENREF_8"/>
      <w:r w:rsidRPr="00C7295C">
        <w:rPr>
          <w:rFonts w:ascii="Calibri" w:hAnsi="Calibri"/>
          <w:noProof/>
        </w:rPr>
        <w:t>8.</w:t>
      </w:r>
      <w:r w:rsidRPr="00C7295C">
        <w:rPr>
          <w:rFonts w:ascii="Calibri" w:hAnsi="Calibri"/>
          <w:noProof/>
        </w:rPr>
        <w:tab/>
        <w:t xml:space="preserve">Chaplin, M., et al. </w:t>
      </w:r>
      <w:r w:rsidRPr="00C7295C">
        <w:rPr>
          <w:rFonts w:ascii="Calibri" w:hAnsi="Calibri"/>
          <w:i/>
          <w:noProof/>
        </w:rPr>
        <w:t>Refreshing the Formulae for CCG Allocations For allocations to Clinical Commissioning Groups from 2016-17, Report on the methods and modelling</w:t>
      </w:r>
      <w:r w:rsidRPr="00C7295C">
        <w:rPr>
          <w:rFonts w:ascii="Calibri" w:hAnsi="Calibri"/>
          <w:noProof/>
        </w:rPr>
        <w:t>. 2015; Available from: https://</w:t>
      </w:r>
      <w:hyperlink r:id="rId10" w:history="1">
        <w:r w:rsidRPr="00C7295C">
          <w:rPr>
            <w:rStyle w:val="Hyperlink"/>
            <w:rFonts w:ascii="Calibri" w:hAnsi="Calibri"/>
            <w:noProof/>
          </w:rPr>
          <w:t>www.england.nhs.uk/wp-content/uploads/2016/04/3-rep-elland-all-sections.pdf</w:t>
        </w:r>
      </w:hyperlink>
      <w:r w:rsidRPr="00C7295C">
        <w:rPr>
          <w:rFonts w:ascii="Calibri" w:hAnsi="Calibri"/>
          <w:noProof/>
        </w:rPr>
        <w:t xml:space="preserve"> </w:t>
      </w:r>
      <w:bookmarkEnd w:id="7"/>
    </w:p>
    <w:p w:rsidR="00C7295C" w:rsidRPr="00C7295C" w:rsidRDefault="00C7295C" w:rsidP="00C7295C">
      <w:pPr>
        <w:spacing w:line="240" w:lineRule="auto"/>
        <w:ind w:left="720" w:hanging="720"/>
        <w:rPr>
          <w:rFonts w:ascii="Calibri" w:hAnsi="Calibri"/>
          <w:noProof/>
        </w:rPr>
      </w:pPr>
      <w:bookmarkStart w:id="8" w:name="_ENREF_9"/>
      <w:r w:rsidRPr="00C7295C">
        <w:rPr>
          <w:rFonts w:ascii="Calibri" w:hAnsi="Calibri"/>
          <w:noProof/>
        </w:rPr>
        <w:t>9.</w:t>
      </w:r>
      <w:r w:rsidRPr="00C7295C">
        <w:rPr>
          <w:rFonts w:ascii="Calibri" w:hAnsi="Calibri"/>
          <w:noProof/>
        </w:rPr>
        <w:tab/>
        <w:t xml:space="preserve">Public Health England, </w:t>
      </w:r>
      <w:r w:rsidRPr="00C7295C">
        <w:rPr>
          <w:rFonts w:ascii="Calibri" w:hAnsi="Calibri"/>
          <w:i/>
          <w:noProof/>
        </w:rPr>
        <w:t>Severe mental illness (SMI) and physical health inequalities: briefing</w:t>
      </w:r>
      <w:r w:rsidRPr="00C7295C">
        <w:rPr>
          <w:rFonts w:ascii="Calibri" w:hAnsi="Calibri"/>
          <w:noProof/>
        </w:rPr>
        <w:t>, 2018, Public Health England: London, 27 September 2018.</w:t>
      </w:r>
      <w:bookmarkEnd w:id="8"/>
    </w:p>
    <w:p w:rsidR="00C7295C" w:rsidRDefault="00C7295C" w:rsidP="00C7295C">
      <w:pPr>
        <w:spacing w:line="240" w:lineRule="auto"/>
        <w:rPr>
          <w:rFonts w:ascii="Calibri" w:hAnsi="Calibri"/>
          <w:noProof/>
        </w:rPr>
      </w:pPr>
    </w:p>
    <w:p w:rsidR="00443FA9" w:rsidRDefault="00443FA9" w:rsidP="00443FA9">
      <w:pPr>
        <w:rPr>
          <w:b/>
        </w:rPr>
      </w:pPr>
      <w:r>
        <w:fldChar w:fldCharType="end"/>
      </w:r>
    </w:p>
    <w:p w:rsidR="00443FA9" w:rsidRDefault="00443FA9" w:rsidP="00715276">
      <w:pPr>
        <w:rPr>
          <w:b/>
        </w:rPr>
      </w:pPr>
    </w:p>
    <w:p w:rsidR="00F00B8E" w:rsidRDefault="00F00B8E">
      <w:pPr>
        <w:spacing w:after="200" w:line="276" w:lineRule="auto"/>
        <w:rPr>
          <w:b/>
        </w:rPr>
      </w:pPr>
      <w:r>
        <w:rPr>
          <w:b/>
        </w:rPr>
        <w:br w:type="page"/>
      </w:r>
    </w:p>
    <w:p w:rsidR="00715276" w:rsidRDefault="00715276" w:rsidP="00715276">
      <w:pPr>
        <w:rPr>
          <w:b/>
        </w:rPr>
      </w:pPr>
      <w:r>
        <w:rPr>
          <w:b/>
        </w:rPr>
        <w:lastRenderedPageBreak/>
        <w:t>Appendix 2: Summary statistics</w:t>
      </w:r>
    </w:p>
    <w:p w:rsidR="00715276" w:rsidRDefault="00715276" w:rsidP="00715276">
      <w:pPr>
        <w:rPr>
          <w:b/>
        </w:rPr>
      </w:pPr>
      <w:r w:rsidRPr="003C12B9">
        <w:rPr>
          <w:b/>
        </w:rPr>
        <w:t xml:space="preserve">Table </w:t>
      </w:r>
      <w:r>
        <w:rPr>
          <w:b/>
        </w:rPr>
        <w:t>A1 - Mental health service use and cost (2015) and need and supply variables (</w:t>
      </w:r>
      <w:r w:rsidRPr="003C12B9">
        <w:rPr>
          <w:b/>
        </w:rPr>
        <w:t>201</w:t>
      </w:r>
      <w:r>
        <w:rPr>
          <w:b/>
        </w:rPr>
        <w:t>3</w:t>
      </w:r>
      <w:r w:rsidRPr="003C12B9">
        <w:rPr>
          <w:b/>
        </w:rPr>
        <w:t>-</w:t>
      </w:r>
      <w:r>
        <w:rPr>
          <w:b/>
        </w:rPr>
        <w:t>20</w:t>
      </w:r>
      <w:r w:rsidRPr="003C12B9">
        <w:rPr>
          <w:b/>
        </w:rPr>
        <w:t>1</w:t>
      </w:r>
      <w:r>
        <w:rPr>
          <w:b/>
        </w:rPr>
        <w:t>4)</w:t>
      </w:r>
    </w:p>
    <w:tbl>
      <w:tblPr>
        <w:tblW w:w="9923" w:type="dxa"/>
        <w:tblLook w:val="04A0" w:firstRow="1" w:lastRow="0" w:firstColumn="1" w:lastColumn="0" w:noHBand="0" w:noVBand="1"/>
      </w:tblPr>
      <w:tblGrid>
        <w:gridCol w:w="4678"/>
        <w:gridCol w:w="992"/>
        <w:gridCol w:w="709"/>
        <w:gridCol w:w="1107"/>
        <w:gridCol w:w="996"/>
        <w:gridCol w:w="581"/>
        <w:gridCol w:w="1107"/>
      </w:tblGrid>
      <w:tr w:rsidR="00715276" w:rsidRPr="003E4060" w:rsidTr="00DA26B1">
        <w:trPr>
          <w:trHeight w:val="300"/>
        </w:trPr>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715276" w:rsidRPr="00A0149C" w:rsidRDefault="00715276" w:rsidP="00DA26B1">
            <w:pPr>
              <w:spacing w:after="0" w:line="240" w:lineRule="auto"/>
              <w:rPr>
                <w:rFonts w:ascii="Times New Roman" w:eastAsia="Times New Roman" w:hAnsi="Times New Roman" w:cs="Times New Roman"/>
                <w:b/>
                <w:sz w:val="24"/>
                <w:szCs w:val="24"/>
                <w:lang w:eastAsia="en-GB"/>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All adults</w:t>
            </w:r>
          </w:p>
        </w:tc>
        <w:tc>
          <w:tcPr>
            <w:tcW w:w="2437" w:type="dxa"/>
            <w:gridSpan w:val="3"/>
            <w:tcBorders>
              <w:top w:val="single" w:sz="4" w:space="0" w:color="auto"/>
              <w:left w:val="single" w:sz="4" w:space="0" w:color="auto"/>
              <w:bottom w:val="single" w:sz="4" w:space="0" w:color="auto"/>
              <w:right w:val="nil"/>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Users only</w:t>
            </w:r>
          </w:p>
        </w:tc>
      </w:tr>
      <w:tr w:rsidR="00715276" w:rsidRPr="003E4060" w:rsidTr="00DA26B1">
        <w:trPr>
          <w:trHeight w:val="300"/>
        </w:trPr>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715276" w:rsidRPr="00A0149C" w:rsidRDefault="00715276" w:rsidP="00DA26B1">
            <w:pPr>
              <w:spacing w:after="0" w:line="240" w:lineRule="auto"/>
              <w:rPr>
                <w:rFonts w:ascii="Calibri" w:eastAsia="Times New Roman" w:hAnsi="Calibri" w:cs="Calibri"/>
                <w:b/>
                <w:color w:val="000000"/>
                <w:lang w:eastAsia="en-GB"/>
              </w:rPr>
            </w:pPr>
            <w:r w:rsidRPr="00A0149C">
              <w:rPr>
                <w:rFonts w:ascii="Calibri" w:eastAsia="Times New Roman" w:hAnsi="Calibri" w:cs="Calibri"/>
                <w:b/>
                <w:color w:val="000000"/>
                <w:lang w:eastAsia="en-GB"/>
              </w:rPr>
              <w:t xml:space="preserve">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Mean</w:t>
            </w:r>
          </w:p>
        </w:tc>
        <w:tc>
          <w:tcPr>
            <w:tcW w:w="709" w:type="dxa"/>
            <w:tcBorders>
              <w:top w:val="single" w:sz="4" w:space="0" w:color="auto"/>
              <w:left w:val="nil"/>
              <w:bottom w:val="single" w:sz="4" w:space="0" w:color="auto"/>
              <w:right w:val="nil"/>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Min</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Max</w:t>
            </w:r>
          </w:p>
        </w:tc>
        <w:tc>
          <w:tcPr>
            <w:tcW w:w="996" w:type="dxa"/>
            <w:tcBorders>
              <w:top w:val="single" w:sz="4" w:space="0" w:color="auto"/>
              <w:left w:val="single" w:sz="4" w:space="0" w:color="auto"/>
              <w:bottom w:val="single" w:sz="4" w:space="0" w:color="auto"/>
              <w:right w:val="nil"/>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Mean</w:t>
            </w:r>
          </w:p>
        </w:tc>
        <w:tc>
          <w:tcPr>
            <w:tcW w:w="581" w:type="dxa"/>
            <w:tcBorders>
              <w:top w:val="single" w:sz="4" w:space="0" w:color="auto"/>
              <w:left w:val="nil"/>
              <w:bottom w:val="single" w:sz="4" w:space="0" w:color="auto"/>
              <w:right w:val="nil"/>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Min</w:t>
            </w:r>
          </w:p>
        </w:tc>
        <w:tc>
          <w:tcPr>
            <w:tcW w:w="860" w:type="dxa"/>
            <w:tcBorders>
              <w:top w:val="single" w:sz="4" w:space="0" w:color="auto"/>
              <w:left w:val="nil"/>
              <w:bottom w:val="single" w:sz="4" w:space="0" w:color="auto"/>
              <w:right w:val="nil"/>
            </w:tcBorders>
            <w:shd w:val="clear" w:color="auto" w:fill="auto"/>
            <w:noWrap/>
            <w:vAlign w:val="bottom"/>
            <w:hideMark/>
          </w:tcPr>
          <w:p w:rsidR="00715276" w:rsidRPr="00A0149C" w:rsidRDefault="00715276" w:rsidP="00DA26B1">
            <w:pPr>
              <w:spacing w:after="0" w:line="240" w:lineRule="auto"/>
              <w:jc w:val="center"/>
              <w:rPr>
                <w:rFonts w:ascii="Calibri" w:eastAsia="Times New Roman" w:hAnsi="Calibri" w:cs="Calibri"/>
                <w:b/>
                <w:color w:val="000000"/>
                <w:lang w:eastAsia="en-GB"/>
              </w:rPr>
            </w:pPr>
            <w:r w:rsidRPr="00A0149C">
              <w:rPr>
                <w:rFonts w:ascii="Calibri" w:eastAsia="Times New Roman" w:hAnsi="Calibri" w:cs="Calibri"/>
                <w:b/>
                <w:color w:val="000000"/>
                <w:lang w:eastAsia="en-GB"/>
              </w:rPr>
              <w:t>Max</w:t>
            </w:r>
          </w:p>
        </w:tc>
      </w:tr>
      <w:tr w:rsidR="00715276" w:rsidRPr="003E4060" w:rsidTr="00DA26B1">
        <w:trPr>
          <w:trHeight w:val="300"/>
        </w:trPr>
        <w:tc>
          <w:tcPr>
            <w:tcW w:w="4678" w:type="dxa"/>
            <w:tcBorders>
              <w:top w:val="single" w:sz="4" w:space="0" w:color="auto"/>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r w:rsidRPr="003E4060">
              <w:rPr>
                <w:rFonts w:ascii="Calibri" w:eastAsia="Times New Roman" w:hAnsi="Calibri" w:cs="Calibri"/>
                <w:color w:val="000000"/>
                <w:lang w:eastAsia="en-GB"/>
              </w:rPr>
              <w:t>Mental Health care user</w:t>
            </w:r>
            <w:bookmarkStart w:id="9" w:name="_GoBack"/>
            <w:bookmarkEnd w:id="9"/>
          </w:p>
        </w:tc>
        <w:tc>
          <w:tcPr>
            <w:tcW w:w="992" w:type="dxa"/>
            <w:tcBorders>
              <w:top w:val="single" w:sz="4" w:space="0" w:color="auto"/>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0.040</w:t>
            </w:r>
          </w:p>
        </w:tc>
        <w:tc>
          <w:tcPr>
            <w:tcW w:w="709" w:type="dxa"/>
            <w:tcBorders>
              <w:top w:val="single" w:sz="4" w:space="0" w:color="auto"/>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single" w:sz="4" w:space="0" w:color="auto"/>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single" w:sz="4" w:space="0" w:color="auto"/>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p>
        </w:tc>
        <w:tc>
          <w:tcPr>
            <w:tcW w:w="581" w:type="dxa"/>
            <w:tcBorders>
              <w:top w:val="single" w:sz="4" w:space="0" w:color="auto"/>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860" w:type="dxa"/>
            <w:tcBorders>
              <w:top w:val="single" w:sz="4" w:space="0" w:color="auto"/>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r w:rsidRPr="003E4060">
              <w:rPr>
                <w:rFonts w:ascii="Calibri" w:eastAsia="Times New Roman" w:hAnsi="Calibri" w:cs="Calibri"/>
                <w:color w:val="000000"/>
                <w:lang w:eastAsia="en-GB"/>
              </w:rPr>
              <w:t>C</w:t>
            </w:r>
            <w:r>
              <w:rPr>
                <w:rFonts w:ascii="Calibri" w:eastAsia="Times New Roman" w:hAnsi="Calibri" w:cs="Calibri"/>
                <w:color w:val="000000"/>
                <w:lang w:eastAsia="en-GB"/>
              </w:rPr>
              <w:t>ost (£) per person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8</w:t>
            </w:r>
            <w:r>
              <w:rPr>
                <w:rFonts w:ascii="Calibri" w:eastAsia="Times New Roman" w:hAnsi="Calibri" w:cs="Calibri"/>
                <w:color w:val="000000"/>
                <w:lang w:eastAsia="en-GB"/>
              </w:rPr>
              <w:t>0.598</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1,040,963</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2,008.46</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94</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1,040,963</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r w:rsidRPr="003E4060">
              <w:rPr>
                <w:rFonts w:ascii="Calibri" w:eastAsia="Times New Roman" w:hAnsi="Calibri" w:cs="Calibri"/>
                <w:color w:val="000000"/>
                <w:lang w:eastAsia="en-GB"/>
              </w:rPr>
              <w:t>Male</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0.49</w:t>
            </w:r>
            <w:r>
              <w:rPr>
                <w:rFonts w:ascii="Calibri" w:eastAsia="Times New Roman" w:hAnsi="Calibri" w:cs="Calibri"/>
                <w:color w:val="000000"/>
                <w:lang w:eastAsia="en-GB"/>
              </w:rPr>
              <w:t>3</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0.40</w:t>
            </w:r>
            <w:r>
              <w:rPr>
                <w:rFonts w:ascii="Calibri" w:eastAsia="Times New Roman" w:hAnsi="Calibri" w:cs="Calibri"/>
                <w:color w:val="000000"/>
                <w:lang w:eastAsia="en-GB"/>
              </w:rPr>
              <w:t>6</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Age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20-24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0.08</w:t>
            </w:r>
            <w:r>
              <w:rPr>
                <w:rFonts w:ascii="Calibri" w:eastAsia="Times New Roman" w:hAnsi="Calibri" w:cs="Calibri"/>
                <w:color w:val="000000"/>
                <w:lang w:eastAsia="en-GB"/>
              </w:rPr>
              <w:t>2</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0.10</w:t>
            </w:r>
            <w:r>
              <w:rPr>
                <w:rFonts w:ascii="Calibri" w:eastAsia="Times New Roman" w:hAnsi="Calibri" w:cs="Calibri"/>
                <w:color w:val="000000"/>
                <w:lang w:eastAsia="en-GB"/>
              </w:rPr>
              <w:t>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25-29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0.09</w:t>
            </w:r>
            <w:r>
              <w:rPr>
                <w:rFonts w:ascii="Calibri" w:eastAsia="Times New Roman" w:hAnsi="Calibri" w:cs="Calibri"/>
                <w:color w:val="000000"/>
                <w:lang w:eastAsia="en-GB"/>
              </w:rPr>
              <w:t>1</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0.10</w:t>
            </w:r>
            <w:r>
              <w:rPr>
                <w:rFonts w:ascii="Calibri" w:eastAsia="Times New Roman" w:hAnsi="Calibri" w:cs="Calibri"/>
                <w:color w:val="000000"/>
                <w:lang w:eastAsia="en-GB"/>
              </w:rPr>
              <w:t>4</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30-34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0.093</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0.09</w:t>
            </w:r>
            <w:r>
              <w:rPr>
                <w:rFonts w:ascii="Calibri" w:eastAsia="Times New Roman" w:hAnsi="Calibri" w:cs="Calibri"/>
                <w:color w:val="000000"/>
                <w:lang w:eastAsia="en-GB"/>
              </w:rPr>
              <w:t>9</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35-39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0.08</w:t>
            </w:r>
            <w:r>
              <w:rPr>
                <w:rFonts w:ascii="Calibri" w:eastAsia="Times New Roman" w:hAnsi="Calibri" w:cs="Calibri"/>
                <w:color w:val="000000"/>
                <w:lang w:eastAsia="en-GB"/>
              </w:rPr>
              <w:t>6</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0.08</w:t>
            </w:r>
            <w:r>
              <w:rPr>
                <w:rFonts w:ascii="Calibri" w:eastAsia="Times New Roman" w:hAnsi="Calibri" w:cs="Calibri"/>
                <w:color w:val="000000"/>
                <w:lang w:eastAsia="en-GB"/>
              </w:rPr>
              <w:t>9</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40-44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0.089</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0.09</w:t>
            </w:r>
            <w:r>
              <w:rPr>
                <w:rFonts w:ascii="Calibri" w:eastAsia="Times New Roman" w:hAnsi="Calibri" w:cs="Calibri"/>
                <w:color w:val="000000"/>
                <w:lang w:eastAsia="en-GB"/>
              </w:rPr>
              <w:t>3</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45-49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0.09</w:t>
            </w:r>
            <w:r>
              <w:rPr>
                <w:rFonts w:ascii="Calibri" w:eastAsia="Times New Roman" w:hAnsi="Calibri" w:cs="Calibri"/>
                <w:color w:val="000000"/>
                <w:lang w:eastAsia="en-GB"/>
              </w:rPr>
              <w:t>4</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0.091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50-54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0.090</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0.08</w:t>
            </w:r>
            <w:r>
              <w:rPr>
                <w:rFonts w:ascii="Calibri" w:eastAsia="Times New Roman" w:hAnsi="Calibri" w:cs="Calibri"/>
                <w:color w:val="000000"/>
                <w:lang w:eastAsia="en-GB"/>
              </w:rPr>
              <w:t>4</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55-59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0.07</w:t>
            </w:r>
            <w:r>
              <w:rPr>
                <w:rFonts w:ascii="Calibri" w:eastAsia="Times New Roman" w:hAnsi="Calibri" w:cs="Calibri"/>
                <w:color w:val="000000"/>
                <w:lang w:eastAsia="en-GB"/>
              </w:rPr>
              <w:t>7</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0.063</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60-64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0.068</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0.04</w:t>
            </w:r>
            <w:r>
              <w:rPr>
                <w:rFonts w:ascii="Calibri" w:eastAsia="Times New Roman" w:hAnsi="Calibri" w:cs="Calibri"/>
                <w:color w:val="000000"/>
                <w:lang w:eastAsia="en-GB"/>
              </w:rPr>
              <w:t>5</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65-69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w:t>
            </w:r>
            <w:r>
              <w:rPr>
                <w:rFonts w:ascii="Calibri" w:eastAsia="Times New Roman" w:hAnsi="Calibri" w:cs="Calibri"/>
                <w:color w:val="000000"/>
                <w:lang w:eastAsia="en-GB"/>
              </w:rPr>
              <w:t>70</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0.04</w:t>
            </w:r>
            <w:r>
              <w:rPr>
                <w:rFonts w:ascii="Calibri" w:eastAsia="Times New Roman" w:hAnsi="Calibri" w:cs="Calibri"/>
                <w:color w:val="000000"/>
                <w:lang w:eastAsia="en-GB"/>
              </w:rPr>
              <w:t>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70-74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0.053</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0.03</w:t>
            </w:r>
            <w:r>
              <w:rPr>
                <w:rFonts w:ascii="Calibri" w:eastAsia="Times New Roman" w:hAnsi="Calibri" w:cs="Calibri"/>
                <w:color w:val="000000"/>
                <w:lang w:eastAsia="en-GB"/>
              </w:rPr>
              <w:t>8</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75-79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0.042</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0.04</w:t>
            </w:r>
            <w:r>
              <w:rPr>
                <w:rFonts w:ascii="Calibri" w:eastAsia="Times New Roman" w:hAnsi="Calibri" w:cs="Calibri"/>
                <w:color w:val="000000"/>
                <w:lang w:eastAsia="en-GB"/>
              </w:rPr>
              <w:t>5</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80-84 years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0.03</w:t>
            </w:r>
            <w:r>
              <w:rPr>
                <w:rFonts w:ascii="Calibri" w:eastAsia="Times New Roman" w:hAnsi="Calibri" w:cs="Calibri"/>
                <w:color w:val="000000"/>
                <w:lang w:eastAsia="en-GB"/>
              </w:rPr>
              <w:t>2</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0.048</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 xml:space="preserve">85 years or older </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0.035</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0.06</w:t>
            </w:r>
            <w:r>
              <w:rPr>
                <w:rFonts w:ascii="Calibri" w:eastAsia="Times New Roman" w:hAnsi="Calibri" w:cs="Calibri"/>
                <w:color w:val="000000"/>
                <w:lang w:eastAsia="en-GB"/>
              </w:rPr>
              <w:t>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r w:rsidRPr="003E4060">
              <w:rPr>
                <w:rFonts w:ascii="Calibri" w:eastAsia="Times New Roman" w:hAnsi="Calibri" w:cs="Calibri"/>
                <w:color w:val="000000"/>
                <w:lang w:eastAsia="en-GB"/>
              </w:rPr>
              <w:t>Ethnicity</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rPr>
                <w:rFonts w:ascii="Calibri" w:eastAsia="Times New Roman" w:hAnsi="Calibri" w:cs="Calibri"/>
                <w:color w:val="000000"/>
                <w:lang w:eastAsia="en-GB"/>
              </w:rPr>
            </w:pP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Times New Roman" w:eastAsia="Times New Roman" w:hAnsi="Times New Roman" w:cs="Times New Roman"/>
                <w:sz w:val="20"/>
                <w:szCs w:val="20"/>
                <w:lang w:eastAsia="en-GB"/>
              </w:rPr>
            </w:pP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White British</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0.71</w:t>
            </w:r>
            <w:r>
              <w:rPr>
                <w:rFonts w:ascii="Calibri" w:eastAsia="Times New Roman" w:hAnsi="Calibri" w:cs="Calibri"/>
                <w:color w:val="000000"/>
                <w:lang w:eastAsia="en-GB"/>
              </w:rPr>
              <w:t>9</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0.80</w:t>
            </w:r>
            <w:r>
              <w:rPr>
                <w:rFonts w:ascii="Calibri" w:eastAsia="Times New Roman" w:hAnsi="Calibri" w:cs="Calibri"/>
                <w:color w:val="000000"/>
                <w:lang w:eastAsia="en-GB"/>
              </w:rPr>
              <w:t>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Irish</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0.006</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8</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Any other White background</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0.05</w:t>
            </w:r>
            <w:r>
              <w:rPr>
                <w:rFonts w:ascii="Calibri" w:eastAsia="Times New Roman" w:hAnsi="Calibri" w:cs="Calibri"/>
                <w:color w:val="000000"/>
                <w:lang w:eastAsia="en-GB"/>
              </w:rPr>
              <w:t>2</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0.04</w:t>
            </w:r>
            <w:r>
              <w:rPr>
                <w:rFonts w:ascii="Calibri" w:eastAsia="Times New Roman" w:hAnsi="Calibri" w:cs="Calibri"/>
                <w:color w:val="000000"/>
                <w:lang w:eastAsia="en-GB"/>
              </w:rPr>
              <w:t>3</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White and Black Caribbean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3</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4</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White and Black African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0.001</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White and Asian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0.002</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0.002</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Any other mixed background</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5</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0.005</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Indian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0.02</w:t>
            </w:r>
            <w:r>
              <w:rPr>
                <w:rFonts w:ascii="Calibri" w:eastAsia="Times New Roman" w:hAnsi="Calibri" w:cs="Calibri"/>
                <w:color w:val="000000"/>
                <w:lang w:eastAsia="en-GB"/>
              </w:rPr>
              <w:t>2</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0.016</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Pakistani</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0.017</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w:t>
            </w:r>
            <w:r>
              <w:rPr>
                <w:rFonts w:ascii="Calibri" w:eastAsia="Times New Roman" w:hAnsi="Calibri" w:cs="Calibri"/>
                <w:color w:val="000000"/>
                <w:lang w:eastAsia="en-GB"/>
              </w:rPr>
              <w:t>4</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Bangladeshi</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6</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5</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Any other Asian background</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w:t>
            </w:r>
            <w:r>
              <w:rPr>
                <w:rFonts w:ascii="Calibri" w:eastAsia="Times New Roman" w:hAnsi="Calibri" w:cs="Calibri"/>
                <w:color w:val="000000"/>
                <w:lang w:eastAsia="en-GB"/>
              </w:rPr>
              <w:t>4</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w:t>
            </w:r>
            <w:r>
              <w:rPr>
                <w:rFonts w:ascii="Calibri" w:eastAsia="Times New Roman" w:hAnsi="Calibri" w:cs="Calibri"/>
                <w:color w:val="000000"/>
                <w:lang w:eastAsia="en-GB"/>
              </w:rPr>
              <w:t>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Caribbean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w:t>
            </w:r>
            <w:r>
              <w:rPr>
                <w:rFonts w:ascii="Calibri" w:eastAsia="Times New Roman" w:hAnsi="Calibri" w:cs="Calibri"/>
                <w:color w:val="000000"/>
                <w:lang w:eastAsia="en-GB"/>
              </w:rPr>
              <w:t>10</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w:t>
            </w:r>
            <w:r>
              <w:rPr>
                <w:rFonts w:ascii="Calibri" w:eastAsia="Times New Roman" w:hAnsi="Calibri" w:cs="Calibri"/>
                <w:color w:val="000000"/>
                <w:lang w:eastAsia="en-GB"/>
              </w:rPr>
              <w:t>4</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African</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0.014</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0.011</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Any other Black background</w:t>
            </w:r>
          </w:p>
        </w:tc>
        <w:tc>
          <w:tcPr>
            <w:tcW w:w="992"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0.007</w:t>
            </w:r>
          </w:p>
        </w:tc>
        <w:tc>
          <w:tcPr>
            <w:tcW w:w="709"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w:t>
            </w:r>
            <w:r>
              <w:rPr>
                <w:rFonts w:ascii="Calibri" w:eastAsia="Times New Roman" w:hAnsi="Calibri" w:cs="Calibri"/>
                <w:color w:val="000000"/>
                <w:lang w:eastAsia="en-GB"/>
              </w:rPr>
              <w:t>9</w:t>
            </w:r>
          </w:p>
        </w:tc>
        <w:tc>
          <w:tcPr>
            <w:tcW w:w="581"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Chinese</w:t>
            </w:r>
          </w:p>
        </w:tc>
        <w:tc>
          <w:tcPr>
            <w:tcW w:w="992" w:type="dxa"/>
            <w:tcBorders>
              <w:top w:val="nil"/>
              <w:left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0.004</w:t>
            </w:r>
          </w:p>
        </w:tc>
        <w:tc>
          <w:tcPr>
            <w:tcW w:w="709" w:type="dxa"/>
            <w:tcBorders>
              <w:top w:val="nil"/>
              <w:left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0.002</w:t>
            </w:r>
          </w:p>
        </w:tc>
        <w:tc>
          <w:tcPr>
            <w:tcW w:w="581" w:type="dxa"/>
            <w:tcBorders>
              <w:top w:val="nil"/>
              <w:left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r w:rsidR="00715276" w:rsidRPr="003E4060" w:rsidTr="00DA26B1">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715276" w:rsidRPr="003E4060" w:rsidRDefault="00715276" w:rsidP="00DA26B1">
            <w:pPr>
              <w:spacing w:after="0" w:line="240" w:lineRule="auto"/>
              <w:ind w:firstLine="176"/>
              <w:rPr>
                <w:rFonts w:ascii="Calibri" w:eastAsia="Times New Roman" w:hAnsi="Calibri" w:cs="Calibri"/>
                <w:color w:val="000000"/>
                <w:lang w:eastAsia="en-GB"/>
              </w:rPr>
            </w:pPr>
            <w:r w:rsidRPr="003E4060">
              <w:rPr>
                <w:rFonts w:ascii="Calibri" w:eastAsia="Times New Roman" w:hAnsi="Calibri" w:cs="Calibri"/>
                <w:color w:val="000000"/>
                <w:lang w:eastAsia="en-GB"/>
              </w:rPr>
              <w:t>Any other ethnic group</w:t>
            </w:r>
          </w:p>
        </w:tc>
        <w:tc>
          <w:tcPr>
            <w:tcW w:w="992" w:type="dxa"/>
            <w:tcBorders>
              <w:top w:val="nil"/>
              <w:left w:val="single" w:sz="4" w:space="0" w:color="auto"/>
              <w:bottom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0.02</w:t>
            </w:r>
            <w:r>
              <w:rPr>
                <w:rFonts w:ascii="Calibri" w:eastAsia="Times New Roman" w:hAnsi="Calibri" w:cs="Calibri"/>
                <w:color w:val="000000"/>
                <w:lang w:eastAsia="en-GB"/>
              </w:rPr>
              <w:t>2</w:t>
            </w:r>
          </w:p>
        </w:tc>
        <w:tc>
          <w:tcPr>
            <w:tcW w:w="709" w:type="dxa"/>
            <w:tcBorders>
              <w:top w:val="nil"/>
              <w:left w:val="nil"/>
              <w:bottom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1107" w:type="dxa"/>
            <w:tcBorders>
              <w:top w:val="nil"/>
              <w:left w:val="nil"/>
              <w:bottom w:val="single" w:sz="4" w:space="0" w:color="auto"/>
              <w:right w:val="single" w:sz="4" w:space="0" w:color="auto"/>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c>
          <w:tcPr>
            <w:tcW w:w="996" w:type="dxa"/>
            <w:tcBorders>
              <w:top w:val="nil"/>
              <w:left w:val="single" w:sz="4" w:space="0" w:color="auto"/>
              <w:bottom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0.0</w:t>
            </w:r>
            <w:r>
              <w:rPr>
                <w:rFonts w:ascii="Calibri" w:eastAsia="Times New Roman" w:hAnsi="Calibri" w:cs="Calibri"/>
                <w:color w:val="000000"/>
                <w:lang w:eastAsia="en-GB"/>
              </w:rPr>
              <w:t>20</w:t>
            </w:r>
          </w:p>
        </w:tc>
        <w:tc>
          <w:tcPr>
            <w:tcW w:w="581" w:type="dxa"/>
            <w:tcBorders>
              <w:top w:val="nil"/>
              <w:left w:val="nil"/>
              <w:bottom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0</w:t>
            </w:r>
          </w:p>
        </w:tc>
        <w:tc>
          <w:tcPr>
            <w:tcW w:w="860" w:type="dxa"/>
            <w:tcBorders>
              <w:top w:val="nil"/>
              <w:left w:val="nil"/>
              <w:bottom w:val="single" w:sz="4" w:space="0" w:color="auto"/>
              <w:right w:val="nil"/>
            </w:tcBorders>
            <w:shd w:val="clear" w:color="auto" w:fill="auto"/>
            <w:noWrap/>
            <w:vAlign w:val="bottom"/>
            <w:hideMark/>
          </w:tcPr>
          <w:p w:rsidR="00715276" w:rsidRPr="003E4060" w:rsidRDefault="00715276" w:rsidP="00DA26B1">
            <w:pPr>
              <w:spacing w:after="0" w:line="240" w:lineRule="auto"/>
              <w:jc w:val="center"/>
              <w:rPr>
                <w:rFonts w:ascii="Calibri" w:eastAsia="Times New Roman" w:hAnsi="Calibri" w:cs="Calibri"/>
                <w:color w:val="000000"/>
                <w:lang w:eastAsia="en-GB"/>
              </w:rPr>
            </w:pPr>
            <w:r w:rsidRPr="003E4060">
              <w:rPr>
                <w:rFonts w:ascii="Calibri" w:eastAsia="Times New Roman" w:hAnsi="Calibri" w:cs="Calibri"/>
                <w:color w:val="000000"/>
                <w:lang w:eastAsia="en-GB"/>
              </w:rPr>
              <w:t>1</w:t>
            </w:r>
          </w:p>
        </w:tc>
      </w:tr>
    </w:tbl>
    <w:p w:rsidR="00715276" w:rsidRDefault="00715276" w:rsidP="00715276">
      <w:pPr>
        <w:rPr>
          <w:b/>
        </w:rPr>
      </w:pPr>
    </w:p>
    <w:p w:rsidR="00715276" w:rsidRDefault="00715276" w:rsidP="00715276">
      <w:pPr>
        <w:rPr>
          <w:b/>
        </w:rPr>
      </w:pPr>
    </w:p>
    <w:p w:rsidR="00715276" w:rsidRDefault="00715276" w:rsidP="00715276">
      <w:pPr>
        <w:rPr>
          <w:b/>
        </w:rPr>
      </w:pPr>
    </w:p>
    <w:p w:rsidR="00715276" w:rsidRDefault="00715276" w:rsidP="00715276">
      <w:pPr>
        <w:rPr>
          <w:b/>
        </w:rPr>
      </w:pPr>
      <w:r>
        <w:rPr>
          <w:b/>
        </w:rPr>
        <w:lastRenderedPageBreak/>
        <w:t>Table A1 –Mental health service use and cost (2015) and need and supply variables (2013-2014</w:t>
      </w:r>
      <w:proofErr w:type="gramStart"/>
      <w:r>
        <w:rPr>
          <w:b/>
        </w:rPr>
        <w:t xml:space="preserve">) </w:t>
      </w:r>
      <w:r>
        <w:t xml:space="preserve"> </w:t>
      </w:r>
      <w:r>
        <w:rPr>
          <w:b/>
        </w:rPr>
        <w:t>(</w:t>
      </w:r>
      <w:proofErr w:type="gramEnd"/>
      <w:r>
        <w:rPr>
          <w:b/>
        </w:rPr>
        <w:t>continued)</w:t>
      </w:r>
    </w:p>
    <w:tbl>
      <w:tblPr>
        <w:tblW w:w="9781" w:type="dxa"/>
        <w:tblLook w:val="04A0" w:firstRow="1" w:lastRow="0" w:firstColumn="1" w:lastColumn="0" w:noHBand="0" w:noVBand="1"/>
      </w:tblPr>
      <w:tblGrid>
        <w:gridCol w:w="4678"/>
        <w:gridCol w:w="992"/>
        <w:gridCol w:w="718"/>
        <w:gridCol w:w="842"/>
        <w:gridCol w:w="1164"/>
        <w:gridCol w:w="718"/>
        <w:gridCol w:w="830"/>
      </w:tblGrid>
      <w:tr w:rsidR="00715276" w:rsidTr="00DA26B1">
        <w:trPr>
          <w:trHeight w:val="300"/>
        </w:trPr>
        <w:tc>
          <w:tcPr>
            <w:tcW w:w="4678" w:type="dxa"/>
            <w:tcBorders>
              <w:top w:val="single" w:sz="4" w:space="0" w:color="auto"/>
              <w:bottom w:val="single" w:sz="4" w:space="0" w:color="auto"/>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p>
        </w:tc>
        <w:tc>
          <w:tcPr>
            <w:tcW w:w="2552" w:type="dxa"/>
            <w:gridSpan w:val="3"/>
            <w:tcBorders>
              <w:top w:val="single" w:sz="4" w:space="0" w:color="auto"/>
              <w:left w:val="single" w:sz="4" w:space="0" w:color="auto"/>
              <w:bottom w:val="single" w:sz="4" w:space="0" w:color="auto"/>
              <w:right w:val="single" w:sz="4" w:space="0" w:color="auto"/>
            </w:tcBorders>
            <w:noWrap/>
            <w:vAlign w:val="bottom"/>
            <w:hideMark/>
          </w:tcPr>
          <w:p w:rsidR="00715276" w:rsidRDefault="00715276" w:rsidP="00DA26B1">
            <w:pPr>
              <w:spacing w:after="0"/>
              <w:jc w:val="center"/>
              <w:rPr>
                <w:sz w:val="20"/>
                <w:szCs w:val="20"/>
                <w:lang w:eastAsia="en-GB"/>
              </w:rPr>
            </w:pPr>
            <w:r w:rsidRPr="00A0149C">
              <w:rPr>
                <w:rFonts w:ascii="Calibri" w:eastAsia="Times New Roman" w:hAnsi="Calibri" w:cs="Calibri"/>
                <w:b/>
                <w:color w:val="000000"/>
                <w:lang w:eastAsia="en-GB"/>
              </w:rPr>
              <w:t>All adults</w:t>
            </w:r>
          </w:p>
        </w:tc>
        <w:tc>
          <w:tcPr>
            <w:tcW w:w="2551" w:type="dxa"/>
            <w:gridSpan w:val="3"/>
            <w:tcBorders>
              <w:top w:val="single" w:sz="4" w:space="0" w:color="auto"/>
              <w:left w:val="single" w:sz="4" w:space="0" w:color="auto"/>
              <w:bottom w:val="single" w:sz="4" w:space="0" w:color="auto"/>
            </w:tcBorders>
            <w:noWrap/>
            <w:vAlign w:val="bottom"/>
            <w:hideMark/>
          </w:tcPr>
          <w:p w:rsidR="00715276" w:rsidRDefault="00715276" w:rsidP="00DA26B1">
            <w:pPr>
              <w:spacing w:after="0"/>
              <w:jc w:val="center"/>
              <w:rPr>
                <w:sz w:val="20"/>
                <w:szCs w:val="20"/>
                <w:lang w:eastAsia="en-GB"/>
              </w:rPr>
            </w:pPr>
            <w:r w:rsidRPr="00A0149C">
              <w:rPr>
                <w:rFonts w:ascii="Calibri" w:eastAsia="Times New Roman" w:hAnsi="Calibri" w:cs="Calibri"/>
                <w:b/>
                <w:color w:val="000000"/>
                <w:lang w:eastAsia="en-GB"/>
              </w:rPr>
              <w:t>Users only</w:t>
            </w:r>
          </w:p>
        </w:tc>
      </w:tr>
      <w:tr w:rsidR="00715276" w:rsidTr="00DA26B1">
        <w:trPr>
          <w:trHeight w:val="300"/>
        </w:trPr>
        <w:tc>
          <w:tcPr>
            <w:tcW w:w="4678" w:type="dxa"/>
            <w:tcBorders>
              <w:top w:val="single" w:sz="4" w:space="0" w:color="auto"/>
              <w:bottom w:val="single" w:sz="4" w:space="0" w:color="auto"/>
              <w:right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c>
          <w:tcPr>
            <w:tcW w:w="992" w:type="dxa"/>
            <w:tcBorders>
              <w:top w:val="single" w:sz="4" w:space="0" w:color="auto"/>
              <w:left w:val="single" w:sz="4" w:space="0" w:color="auto"/>
              <w:bottom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r w:rsidRPr="00A0149C">
              <w:rPr>
                <w:rFonts w:ascii="Calibri" w:eastAsia="Times New Roman" w:hAnsi="Calibri" w:cs="Calibri"/>
                <w:b/>
                <w:color w:val="000000"/>
                <w:lang w:eastAsia="en-GB"/>
              </w:rPr>
              <w:t>Mean</w:t>
            </w:r>
          </w:p>
        </w:tc>
        <w:tc>
          <w:tcPr>
            <w:tcW w:w="718" w:type="dxa"/>
            <w:tcBorders>
              <w:top w:val="single" w:sz="4" w:space="0" w:color="auto"/>
              <w:bottom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r w:rsidRPr="00A0149C">
              <w:rPr>
                <w:rFonts w:ascii="Calibri" w:eastAsia="Times New Roman" w:hAnsi="Calibri" w:cs="Calibri"/>
                <w:b/>
                <w:color w:val="000000"/>
                <w:lang w:eastAsia="en-GB"/>
              </w:rPr>
              <w:t>Min</w:t>
            </w:r>
          </w:p>
        </w:tc>
        <w:tc>
          <w:tcPr>
            <w:tcW w:w="842" w:type="dxa"/>
            <w:tcBorders>
              <w:top w:val="single" w:sz="4" w:space="0" w:color="auto"/>
              <w:bottom w:val="single" w:sz="4" w:space="0" w:color="auto"/>
              <w:right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r w:rsidRPr="00A0149C">
              <w:rPr>
                <w:rFonts w:ascii="Calibri" w:eastAsia="Times New Roman" w:hAnsi="Calibri" w:cs="Calibri"/>
                <w:b/>
                <w:color w:val="000000"/>
                <w:lang w:eastAsia="en-GB"/>
              </w:rPr>
              <w:t>Max</w:t>
            </w:r>
          </w:p>
        </w:tc>
        <w:tc>
          <w:tcPr>
            <w:tcW w:w="1164" w:type="dxa"/>
            <w:tcBorders>
              <w:top w:val="single" w:sz="4" w:space="0" w:color="auto"/>
              <w:left w:val="single" w:sz="4" w:space="0" w:color="auto"/>
              <w:bottom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r w:rsidRPr="00A0149C">
              <w:rPr>
                <w:rFonts w:ascii="Calibri" w:eastAsia="Times New Roman" w:hAnsi="Calibri" w:cs="Calibri"/>
                <w:b/>
                <w:color w:val="000000"/>
                <w:lang w:eastAsia="en-GB"/>
              </w:rPr>
              <w:t>Mean</w:t>
            </w:r>
          </w:p>
        </w:tc>
        <w:tc>
          <w:tcPr>
            <w:tcW w:w="718" w:type="dxa"/>
            <w:tcBorders>
              <w:top w:val="single" w:sz="4" w:space="0" w:color="auto"/>
              <w:bottom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r w:rsidRPr="00A0149C">
              <w:rPr>
                <w:rFonts w:ascii="Calibri" w:eastAsia="Times New Roman" w:hAnsi="Calibri" w:cs="Calibri"/>
                <w:b/>
                <w:color w:val="000000"/>
                <w:lang w:eastAsia="en-GB"/>
              </w:rPr>
              <w:t>Min</w:t>
            </w:r>
          </w:p>
        </w:tc>
        <w:tc>
          <w:tcPr>
            <w:tcW w:w="669" w:type="dxa"/>
            <w:tcBorders>
              <w:top w:val="single" w:sz="4" w:space="0" w:color="auto"/>
              <w:bottom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r w:rsidRPr="00A0149C">
              <w:rPr>
                <w:rFonts w:ascii="Calibri" w:eastAsia="Times New Roman" w:hAnsi="Calibri" w:cs="Calibri"/>
                <w:b/>
                <w:color w:val="000000"/>
                <w:lang w:eastAsia="en-GB"/>
              </w:rPr>
              <w:t>Max</w:t>
            </w:r>
          </w:p>
        </w:tc>
      </w:tr>
      <w:tr w:rsidR="00715276" w:rsidTr="00DA26B1">
        <w:trPr>
          <w:trHeight w:val="300"/>
        </w:trPr>
        <w:tc>
          <w:tcPr>
            <w:tcW w:w="4678" w:type="dxa"/>
            <w:tcBorders>
              <w:top w:val="single" w:sz="4" w:space="0" w:color="auto"/>
              <w:right w:val="single" w:sz="4" w:space="0" w:color="auto"/>
            </w:tcBorders>
            <w:noWrap/>
            <w:vAlign w:val="bottom"/>
          </w:tcPr>
          <w:p w:rsidR="00715276" w:rsidRDefault="00715276" w:rsidP="00DA26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Physical health diagnoses</w:t>
            </w:r>
          </w:p>
        </w:tc>
        <w:tc>
          <w:tcPr>
            <w:tcW w:w="992" w:type="dxa"/>
            <w:tcBorders>
              <w:top w:val="single" w:sz="4" w:space="0" w:color="auto"/>
              <w:left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c>
          <w:tcPr>
            <w:tcW w:w="718" w:type="dxa"/>
            <w:tcBorders>
              <w:top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c>
          <w:tcPr>
            <w:tcW w:w="842" w:type="dxa"/>
            <w:tcBorders>
              <w:top w:val="single" w:sz="4" w:space="0" w:color="auto"/>
              <w:right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c>
          <w:tcPr>
            <w:tcW w:w="1164" w:type="dxa"/>
            <w:tcBorders>
              <w:top w:val="single" w:sz="4" w:space="0" w:color="auto"/>
              <w:left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c>
          <w:tcPr>
            <w:tcW w:w="718" w:type="dxa"/>
            <w:tcBorders>
              <w:top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c>
          <w:tcPr>
            <w:tcW w:w="669" w:type="dxa"/>
            <w:tcBorders>
              <w:top w:val="single" w:sz="4" w:space="0" w:color="auto"/>
            </w:tcBorders>
            <w:noWrap/>
            <w:vAlign w:val="bottom"/>
          </w:tcPr>
          <w:p w:rsidR="00715276" w:rsidRDefault="00715276" w:rsidP="00DA26B1">
            <w:pPr>
              <w:spacing w:after="0" w:line="240" w:lineRule="auto"/>
              <w:jc w:val="center"/>
              <w:rPr>
                <w:rFonts w:ascii="Calibri" w:eastAsia="Times New Roman" w:hAnsi="Calibri" w:cs="Calibri"/>
                <w:color w:val="000000"/>
                <w:lang w:eastAsia="en-GB"/>
              </w:rPr>
            </w:pP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318" w:hanging="142"/>
              <w:rPr>
                <w:rFonts w:ascii="Calibri" w:eastAsia="Times New Roman" w:hAnsi="Calibri" w:cs="Calibri"/>
                <w:color w:val="000000"/>
                <w:lang w:eastAsia="en-GB"/>
              </w:rPr>
            </w:pPr>
            <w:r>
              <w:rPr>
                <w:rFonts w:ascii="Calibri" w:eastAsia="Times New Roman" w:hAnsi="Calibri" w:cs="Calibri"/>
                <w:color w:val="000000"/>
                <w:lang w:eastAsia="en-GB"/>
              </w:rPr>
              <w:t>Viral hepatitis (ICD-10 codes B15-B19)</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0.001</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0.002</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318" w:hanging="142"/>
              <w:rPr>
                <w:rFonts w:ascii="Calibri" w:eastAsia="Times New Roman" w:hAnsi="Calibri" w:cs="Calibri"/>
                <w:color w:val="000000"/>
                <w:lang w:eastAsia="en-GB"/>
              </w:rPr>
            </w:pPr>
            <w:r>
              <w:rPr>
                <w:rFonts w:ascii="Calibri" w:eastAsia="Times New Roman" w:hAnsi="Calibri" w:cs="Calibri"/>
                <w:color w:val="000000"/>
                <w:lang w:eastAsia="en-GB"/>
              </w:rPr>
              <w:t>Symptoms and signs involving cognition, perception, emotional state and behaviour (ICD-10 codes R40-R46)</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0.005</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0.027</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318" w:hanging="142"/>
              <w:rPr>
                <w:rFonts w:ascii="Calibri" w:eastAsia="Times New Roman" w:hAnsi="Calibri" w:cs="Calibri"/>
                <w:color w:val="000000"/>
                <w:lang w:eastAsia="en-GB"/>
              </w:rPr>
            </w:pPr>
            <w:r>
              <w:rPr>
                <w:rFonts w:ascii="Calibri" w:eastAsia="Times New Roman" w:hAnsi="Calibri" w:cs="Calibri"/>
                <w:color w:val="000000"/>
                <w:lang w:eastAsia="en-GB"/>
              </w:rPr>
              <w:t>Poisoning by drugs, medicaments and biological substances (ICD-10 codes T36-T50)</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0.002</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0.018</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Pr="00A0149C" w:rsidRDefault="00715276" w:rsidP="00DA26B1">
            <w:pPr>
              <w:spacing w:after="0" w:line="240" w:lineRule="auto"/>
              <w:ind w:left="318" w:hanging="142"/>
              <w:rPr>
                <w:rFonts w:ascii="Calibri" w:eastAsia="Times New Roman" w:hAnsi="Calibri" w:cs="Calibri"/>
                <w:color w:val="000000"/>
                <w:lang w:val="pt-PT" w:eastAsia="en-GB"/>
              </w:rPr>
            </w:pPr>
            <w:r w:rsidRPr="00A0149C">
              <w:rPr>
                <w:rFonts w:ascii="Calibri" w:eastAsia="Times New Roman" w:hAnsi="Calibri" w:cs="Calibri"/>
                <w:color w:val="000000"/>
                <w:lang w:val="pt-PT" w:eastAsia="en-GB"/>
              </w:rPr>
              <w:t xml:space="preserve">Diabetes </w:t>
            </w:r>
            <w:proofErr w:type="spellStart"/>
            <w:r w:rsidRPr="00A0149C">
              <w:rPr>
                <w:rFonts w:ascii="Calibri" w:eastAsia="Times New Roman" w:hAnsi="Calibri" w:cs="Calibri"/>
                <w:color w:val="000000"/>
                <w:lang w:val="pt-PT" w:eastAsia="en-GB"/>
              </w:rPr>
              <w:t>mellitus</w:t>
            </w:r>
            <w:proofErr w:type="spellEnd"/>
            <w:r w:rsidRPr="00A0149C">
              <w:rPr>
                <w:rFonts w:ascii="Calibri" w:eastAsia="Times New Roman" w:hAnsi="Calibri" w:cs="Calibri"/>
                <w:color w:val="000000"/>
                <w:lang w:val="pt-PT" w:eastAsia="en-GB"/>
              </w:rPr>
              <w:t xml:space="preserve"> (ICD-10 </w:t>
            </w:r>
            <w:proofErr w:type="spellStart"/>
            <w:r w:rsidRPr="00A0149C">
              <w:rPr>
                <w:rFonts w:ascii="Calibri" w:eastAsia="Times New Roman" w:hAnsi="Calibri" w:cs="Calibri"/>
                <w:color w:val="000000"/>
                <w:lang w:val="pt-PT" w:eastAsia="en-GB"/>
              </w:rPr>
              <w:t>codes</w:t>
            </w:r>
            <w:proofErr w:type="spellEnd"/>
            <w:r w:rsidRPr="00A0149C">
              <w:rPr>
                <w:rFonts w:ascii="Calibri" w:eastAsia="Times New Roman" w:hAnsi="Calibri" w:cs="Calibri"/>
                <w:color w:val="000000"/>
                <w:lang w:val="pt-PT" w:eastAsia="en-GB"/>
              </w:rPr>
              <w:t xml:space="preserve"> E10-E14)</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0.020</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0.037</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318" w:hanging="142"/>
              <w:rPr>
                <w:rFonts w:ascii="Calibri" w:eastAsia="Times New Roman" w:hAnsi="Calibri" w:cs="Calibri"/>
                <w:color w:val="000000"/>
                <w:lang w:eastAsia="en-GB"/>
              </w:rPr>
            </w:pPr>
            <w:r>
              <w:rPr>
                <w:rFonts w:ascii="Calibri" w:eastAsia="Times New Roman" w:hAnsi="Calibri" w:cs="Calibri"/>
                <w:color w:val="000000"/>
                <w:lang w:eastAsia="en-GB"/>
              </w:rPr>
              <w:t>Endocrine nutritional and metabolic diseases (ICD-10 codes E15-E90)</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0.029</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0.053</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318" w:hanging="142"/>
              <w:rPr>
                <w:rFonts w:ascii="Calibri" w:eastAsia="Times New Roman" w:hAnsi="Calibri" w:cs="Calibri"/>
                <w:color w:val="000000"/>
                <w:lang w:eastAsia="en-GB"/>
              </w:rPr>
            </w:pPr>
            <w:r>
              <w:rPr>
                <w:rFonts w:ascii="Calibri" w:eastAsia="Times New Roman" w:hAnsi="Calibri" w:cs="Calibri"/>
                <w:color w:val="000000"/>
                <w:lang w:eastAsia="en-GB"/>
              </w:rPr>
              <w:t>Cerebrovascular diseases (ICD-10 codes I60-I69)</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0.003</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0.009</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318" w:hanging="142"/>
              <w:rPr>
                <w:rFonts w:ascii="Calibri" w:eastAsia="Times New Roman" w:hAnsi="Calibri" w:cs="Calibri"/>
                <w:color w:val="000000"/>
                <w:lang w:eastAsia="en-GB"/>
              </w:rPr>
            </w:pPr>
            <w:r>
              <w:rPr>
                <w:rFonts w:ascii="Calibri" w:eastAsia="Times New Roman" w:hAnsi="Calibri" w:cs="Calibri"/>
                <w:color w:val="000000"/>
                <w:lang w:eastAsia="en-GB"/>
              </w:rPr>
              <w:t>Chronic lower respiratory diseases (ICD-10 codes J40-J47)</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0.030</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0.061</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Household type</w:t>
            </w:r>
          </w:p>
        </w:tc>
        <w:tc>
          <w:tcPr>
            <w:tcW w:w="992" w:type="dxa"/>
            <w:tcBorders>
              <w:left w:val="single" w:sz="4" w:space="0" w:color="auto"/>
            </w:tcBorders>
            <w:noWrap/>
            <w:vAlign w:val="bottom"/>
            <w:hideMark/>
          </w:tcPr>
          <w:p w:rsidR="00715276" w:rsidRDefault="00715276" w:rsidP="00DA26B1">
            <w:pPr>
              <w:jc w:val="center"/>
              <w:rPr>
                <w:rFonts w:ascii="Calibri" w:eastAsia="Times New Roman" w:hAnsi="Calibri" w:cs="Calibri"/>
                <w:color w:val="00000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842" w:type="dxa"/>
            <w:tcBorders>
              <w:right w:val="single" w:sz="4" w:space="0" w:color="auto"/>
            </w:tcBorders>
            <w:noWrap/>
            <w:vAlign w:val="bottom"/>
            <w:hideMark/>
          </w:tcPr>
          <w:p w:rsidR="00715276" w:rsidRDefault="00715276" w:rsidP="00DA26B1">
            <w:pPr>
              <w:spacing w:after="0"/>
              <w:jc w:val="center"/>
              <w:rPr>
                <w:sz w:val="20"/>
                <w:szCs w:val="20"/>
                <w:lang w:eastAsia="en-GB"/>
              </w:rPr>
            </w:pPr>
          </w:p>
        </w:tc>
        <w:tc>
          <w:tcPr>
            <w:tcW w:w="1164" w:type="dxa"/>
            <w:tcBorders>
              <w:left w:val="single" w:sz="4" w:space="0" w:color="auto"/>
            </w:tcBorders>
            <w:noWrap/>
            <w:vAlign w:val="bottom"/>
            <w:hideMark/>
          </w:tcPr>
          <w:p w:rsidR="00715276" w:rsidRDefault="00715276" w:rsidP="00DA26B1">
            <w:pPr>
              <w:spacing w:after="0"/>
              <w:jc w:val="center"/>
              <w:rPr>
                <w:sz w:val="20"/>
                <w:szCs w:val="2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669" w:type="dxa"/>
            <w:noWrap/>
            <w:vAlign w:val="bottom"/>
            <w:hideMark/>
          </w:tcPr>
          <w:p w:rsidR="00715276" w:rsidRDefault="00715276" w:rsidP="00DA26B1">
            <w:pPr>
              <w:spacing w:after="0"/>
              <w:jc w:val="center"/>
              <w:rPr>
                <w:sz w:val="20"/>
                <w:szCs w:val="20"/>
                <w:lang w:eastAsia="en-GB"/>
              </w:rPr>
            </w:pP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Care home</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0.005</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0.027</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Missing</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0.061</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0.050</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Multi-adult</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0.254</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0.218</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Multi-adult and one or more children</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0.123</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0.095</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Multi-child</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0.000</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0.000</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Other communal</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0.014</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0.014</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One adults and one or more children</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0.024</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0.041</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Single person</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0.132</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0.212</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Two adults and one or more children</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0.130</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0.114</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Two adults of different gender (base category)</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0.223</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0.187</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Two adults of the same gender</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0.033</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0.044</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ind w:left="176"/>
              <w:rPr>
                <w:rFonts w:ascii="Calibri" w:eastAsia="Times New Roman" w:hAnsi="Calibri" w:cs="Calibri"/>
                <w:color w:val="000000"/>
                <w:lang w:eastAsia="en-GB"/>
              </w:rPr>
            </w:pPr>
          </w:p>
        </w:tc>
        <w:tc>
          <w:tcPr>
            <w:tcW w:w="992" w:type="dxa"/>
            <w:tcBorders>
              <w:left w:val="single" w:sz="4" w:space="0" w:color="auto"/>
            </w:tcBorders>
            <w:noWrap/>
            <w:vAlign w:val="bottom"/>
            <w:hideMark/>
          </w:tcPr>
          <w:p w:rsidR="00715276" w:rsidRDefault="00715276" w:rsidP="00DA26B1">
            <w:pPr>
              <w:spacing w:after="0"/>
              <w:jc w:val="center"/>
              <w:rPr>
                <w:sz w:val="20"/>
                <w:szCs w:val="2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842" w:type="dxa"/>
            <w:tcBorders>
              <w:right w:val="single" w:sz="4" w:space="0" w:color="auto"/>
            </w:tcBorders>
            <w:noWrap/>
            <w:vAlign w:val="bottom"/>
            <w:hideMark/>
          </w:tcPr>
          <w:p w:rsidR="00715276" w:rsidRDefault="00715276" w:rsidP="00DA26B1">
            <w:pPr>
              <w:spacing w:after="0"/>
              <w:jc w:val="center"/>
              <w:rPr>
                <w:sz w:val="20"/>
                <w:szCs w:val="20"/>
                <w:lang w:eastAsia="en-GB"/>
              </w:rPr>
            </w:pPr>
          </w:p>
        </w:tc>
        <w:tc>
          <w:tcPr>
            <w:tcW w:w="1164" w:type="dxa"/>
            <w:tcBorders>
              <w:left w:val="single" w:sz="4" w:space="0" w:color="auto"/>
            </w:tcBorders>
            <w:noWrap/>
            <w:vAlign w:val="bottom"/>
            <w:hideMark/>
          </w:tcPr>
          <w:p w:rsidR="00715276" w:rsidRDefault="00715276" w:rsidP="00DA26B1">
            <w:pPr>
              <w:spacing w:after="0"/>
              <w:jc w:val="center"/>
              <w:rPr>
                <w:sz w:val="20"/>
                <w:szCs w:val="2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669" w:type="dxa"/>
            <w:noWrap/>
            <w:vAlign w:val="bottom"/>
            <w:hideMark/>
          </w:tcPr>
          <w:p w:rsidR="00715276" w:rsidRDefault="00715276" w:rsidP="00DA26B1">
            <w:pPr>
              <w:spacing w:after="0"/>
              <w:jc w:val="center"/>
              <w:rPr>
                <w:sz w:val="20"/>
                <w:szCs w:val="20"/>
                <w:lang w:eastAsia="en-GB"/>
              </w:rPr>
            </w:pP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Attributed variables</w:t>
            </w:r>
          </w:p>
        </w:tc>
        <w:tc>
          <w:tcPr>
            <w:tcW w:w="992" w:type="dxa"/>
            <w:tcBorders>
              <w:left w:val="single" w:sz="4" w:space="0" w:color="auto"/>
            </w:tcBorders>
            <w:noWrap/>
            <w:vAlign w:val="bottom"/>
            <w:hideMark/>
          </w:tcPr>
          <w:p w:rsidR="00715276" w:rsidRDefault="00715276" w:rsidP="00DA26B1">
            <w:pPr>
              <w:jc w:val="center"/>
              <w:rPr>
                <w:rFonts w:ascii="Calibri" w:eastAsia="Times New Roman" w:hAnsi="Calibri" w:cs="Calibri"/>
                <w:color w:val="00000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842" w:type="dxa"/>
            <w:tcBorders>
              <w:right w:val="single" w:sz="4" w:space="0" w:color="auto"/>
            </w:tcBorders>
            <w:noWrap/>
            <w:vAlign w:val="bottom"/>
            <w:hideMark/>
          </w:tcPr>
          <w:p w:rsidR="00715276" w:rsidRDefault="00715276" w:rsidP="00DA26B1">
            <w:pPr>
              <w:spacing w:after="0"/>
              <w:jc w:val="center"/>
              <w:rPr>
                <w:sz w:val="20"/>
                <w:szCs w:val="20"/>
                <w:lang w:eastAsia="en-GB"/>
              </w:rPr>
            </w:pPr>
          </w:p>
        </w:tc>
        <w:tc>
          <w:tcPr>
            <w:tcW w:w="1164" w:type="dxa"/>
            <w:tcBorders>
              <w:left w:val="single" w:sz="4" w:space="0" w:color="auto"/>
            </w:tcBorders>
            <w:noWrap/>
            <w:vAlign w:val="bottom"/>
            <w:hideMark/>
          </w:tcPr>
          <w:p w:rsidR="00715276" w:rsidRDefault="00715276" w:rsidP="00DA26B1">
            <w:pPr>
              <w:spacing w:after="0"/>
              <w:jc w:val="center"/>
              <w:rPr>
                <w:sz w:val="20"/>
                <w:szCs w:val="2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669" w:type="dxa"/>
            <w:noWrap/>
            <w:vAlign w:val="bottom"/>
            <w:hideMark/>
          </w:tcPr>
          <w:p w:rsidR="00715276" w:rsidRDefault="00715276" w:rsidP="00DA26B1">
            <w:pPr>
              <w:spacing w:after="0"/>
              <w:jc w:val="center"/>
              <w:rPr>
                <w:sz w:val="20"/>
                <w:szCs w:val="20"/>
                <w:lang w:eastAsia="en-GB"/>
              </w:rPr>
            </w:pP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Need</w:t>
            </w:r>
          </w:p>
        </w:tc>
        <w:tc>
          <w:tcPr>
            <w:tcW w:w="992" w:type="dxa"/>
            <w:tcBorders>
              <w:left w:val="single" w:sz="4" w:space="0" w:color="auto"/>
            </w:tcBorders>
            <w:noWrap/>
            <w:vAlign w:val="bottom"/>
            <w:hideMark/>
          </w:tcPr>
          <w:p w:rsidR="00715276" w:rsidRDefault="00715276" w:rsidP="00DA26B1">
            <w:pPr>
              <w:jc w:val="center"/>
              <w:rPr>
                <w:rFonts w:ascii="Calibri" w:eastAsia="Times New Roman" w:hAnsi="Calibri" w:cs="Calibri"/>
                <w:color w:val="00000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842" w:type="dxa"/>
            <w:tcBorders>
              <w:right w:val="single" w:sz="4" w:space="0" w:color="auto"/>
            </w:tcBorders>
            <w:noWrap/>
            <w:vAlign w:val="bottom"/>
            <w:hideMark/>
          </w:tcPr>
          <w:p w:rsidR="00715276" w:rsidRDefault="00715276" w:rsidP="00DA26B1">
            <w:pPr>
              <w:spacing w:after="0"/>
              <w:jc w:val="center"/>
              <w:rPr>
                <w:sz w:val="20"/>
                <w:szCs w:val="20"/>
                <w:lang w:eastAsia="en-GB"/>
              </w:rPr>
            </w:pPr>
          </w:p>
        </w:tc>
        <w:tc>
          <w:tcPr>
            <w:tcW w:w="1164" w:type="dxa"/>
            <w:tcBorders>
              <w:left w:val="single" w:sz="4" w:space="0" w:color="auto"/>
            </w:tcBorders>
            <w:noWrap/>
            <w:vAlign w:val="bottom"/>
            <w:hideMark/>
          </w:tcPr>
          <w:p w:rsidR="00715276" w:rsidRDefault="00715276" w:rsidP="00DA26B1">
            <w:pPr>
              <w:spacing w:after="0"/>
              <w:jc w:val="center"/>
              <w:rPr>
                <w:sz w:val="20"/>
                <w:szCs w:val="2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669" w:type="dxa"/>
            <w:noWrap/>
            <w:vAlign w:val="bottom"/>
            <w:hideMark/>
          </w:tcPr>
          <w:p w:rsidR="00715276" w:rsidRDefault="00715276" w:rsidP="00DA26B1">
            <w:pPr>
              <w:spacing w:after="0"/>
              <w:jc w:val="center"/>
              <w:rPr>
                <w:sz w:val="20"/>
                <w:szCs w:val="20"/>
                <w:lang w:eastAsia="en-GB"/>
              </w:rPr>
            </w:pP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Proportion in LSOA receiving out of work benefits</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0.088</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0.001</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0.490</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0.101</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0.001</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0.490</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Registered with Student GP practice</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0.018</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0.016</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ind w:left="176"/>
              <w:rPr>
                <w:rFonts w:ascii="Calibri" w:eastAsia="Times New Roman" w:hAnsi="Calibri" w:cs="Calibri"/>
                <w:color w:val="000000"/>
                <w:lang w:eastAsia="en-GB"/>
              </w:rPr>
            </w:pPr>
            <w:r>
              <w:rPr>
                <w:rFonts w:ascii="Calibri" w:eastAsia="Times New Roman" w:hAnsi="Calibri" w:cs="Calibri"/>
                <w:color w:val="000000"/>
                <w:lang w:eastAsia="en-GB"/>
              </w:rPr>
              <w:t xml:space="preserve">Prevalence (%) of Severe Mental Illness in GP practice </w:t>
            </w:r>
          </w:p>
        </w:tc>
        <w:tc>
          <w:tcPr>
            <w:tcW w:w="992"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0.881</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0.059</w:t>
            </w:r>
          </w:p>
        </w:tc>
        <w:tc>
          <w:tcPr>
            <w:tcW w:w="842" w:type="dxa"/>
            <w:tcBorders>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15.567</w:t>
            </w:r>
          </w:p>
        </w:tc>
        <w:tc>
          <w:tcPr>
            <w:tcW w:w="1164" w:type="dxa"/>
            <w:tcBorders>
              <w:lef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0.927</w:t>
            </w:r>
          </w:p>
        </w:tc>
        <w:tc>
          <w:tcPr>
            <w:tcW w:w="718"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0.059</w:t>
            </w:r>
          </w:p>
        </w:tc>
        <w:tc>
          <w:tcPr>
            <w:tcW w:w="669" w:type="dxa"/>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15.567</w:t>
            </w:r>
          </w:p>
        </w:tc>
      </w:tr>
      <w:tr w:rsidR="00715276" w:rsidTr="00DA26B1">
        <w:trPr>
          <w:trHeight w:val="300"/>
        </w:trPr>
        <w:tc>
          <w:tcPr>
            <w:tcW w:w="4678" w:type="dxa"/>
            <w:tcBorders>
              <w:right w:val="single" w:sz="4" w:space="0" w:color="auto"/>
            </w:tcBorders>
            <w:noWrap/>
            <w:vAlign w:val="bottom"/>
            <w:hideMark/>
          </w:tcPr>
          <w:p w:rsidR="00715276" w:rsidRDefault="00715276" w:rsidP="00DA26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Supply</w:t>
            </w:r>
          </w:p>
        </w:tc>
        <w:tc>
          <w:tcPr>
            <w:tcW w:w="992" w:type="dxa"/>
            <w:tcBorders>
              <w:left w:val="single" w:sz="4" w:space="0" w:color="auto"/>
            </w:tcBorders>
            <w:noWrap/>
            <w:vAlign w:val="bottom"/>
            <w:hideMark/>
          </w:tcPr>
          <w:p w:rsidR="00715276" w:rsidRDefault="00715276" w:rsidP="00DA26B1">
            <w:pPr>
              <w:jc w:val="center"/>
              <w:rPr>
                <w:rFonts w:ascii="Calibri" w:eastAsia="Times New Roman" w:hAnsi="Calibri" w:cs="Calibri"/>
                <w:color w:val="00000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842" w:type="dxa"/>
            <w:tcBorders>
              <w:right w:val="single" w:sz="4" w:space="0" w:color="auto"/>
            </w:tcBorders>
            <w:noWrap/>
            <w:vAlign w:val="bottom"/>
            <w:hideMark/>
          </w:tcPr>
          <w:p w:rsidR="00715276" w:rsidRDefault="00715276" w:rsidP="00DA26B1">
            <w:pPr>
              <w:spacing w:after="0"/>
              <w:jc w:val="center"/>
              <w:rPr>
                <w:sz w:val="20"/>
                <w:szCs w:val="20"/>
                <w:lang w:eastAsia="en-GB"/>
              </w:rPr>
            </w:pPr>
          </w:p>
        </w:tc>
        <w:tc>
          <w:tcPr>
            <w:tcW w:w="1164" w:type="dxa"/>
            <w:tcBorders>
              <w:left w:val="single" w:sz="4" w:space="0" w:color="auto"/>
            </w:tcBorders>
            <w:noWrap/>
            <w:vAlign w:val="bottom"/>
            <w:hideMark/>
          </w:tcPr>
          <w:p w:rsidR="00715276" w:rsidRDefault="00715276" w:rsidP="00DA26B1">
            <w:pPr>
              <w:spacing w:after="0"/>
              <w:jc w:val="center"/>
              <w:rPr>
                <w:sz w:val="20"/>
                <w:szCs w:val="20"/>
                <w:lang w:eastAsia="en-GB"/>
              </w:rPr>
            </w:pPr>
          </w:p>
        </w:tc>
        <w:tc>
          <w:tcPr>
            <w:tcW w:w="718" w:type="dxa"/>
            <w:noWrap/>
            <w:vAlign w:val="bottom"/>
            <w:hideMark/>
          </w:tcPr>
          <w:p w:rsidR="00715276" w:rsidRDefault="00715276" w:rsidP="00DA26B1">
            <w:pPr>
              <w:spacing w:after="0"/>
              <w:jc w:val="center"/>
              <w:rPr>
                <w:sz w:val="20"/>
                <w:szCs w:val="20"/>
                <w:lang w:eastAsia="en-GB"/>
              </w:rPr>
            </w:pPr>
          </w:p>
        </w:tc>
        <w:tc>
          <w:tcPr>
            <w:tcW w:w="669" w:type="dxa"/>
            <w:noWrap/>
            <w:vAlign w:val="bottom"/>
            <w:hideMark/>
          </w:tcPr>
          <w:p w:rsidR="00715276" w:rsidRDefault="00715276" w:rsidP="00DA26B1">
            <w:pPr>
              <w:spacing w:after="0"/>
              <w:jc w:val="center"/>
              <w:rPr>
                <w:sz w:val="20"/>
                <w:szCs w:val="20"/>
                <w:lang w:eastAsia="en-GB"/>
              </w:rPr>
            </w:pPr>
          </w:p>
        </w:tc>
      </w:tr>
      <w:tr w:rsidR="00715276" w:rsidTr="00DA26B1">
        <w:trPr>
          <w:trHeight w:val="300"/>
        </w:trPr>
        <w:tc>
          <w:tcPr>
            <w:tcW w:w="4678" w:type="dxa"/>
            <w:tcBorders>
              <w:bottom w:val="single" w:sz="4" w:space="0" w:color="auto"/>
              <w:right w:val="single" w:sz="4" w:space="0" w:color="auto"/>
            </w:tcBorders>
            <w:noWrap/>
            <w:vAlign w:val="bottom"/>
            <w:hideMark/>
          </w:tcPr>
          <w:p w:rsidR="00715276" w:rsidRDefault="00715276" w:rsidP="00DA26B1">
            <w:pPr>
              <w:spacing w:after="0" w:line="240" w:lineRule="auto"/>
              <w:ind w:firstLine="176"/>
              <w:rPr>
                <w:rFonts w:ascii="Calibri" w:eastAsia="Times New Roman" w:hAnsi="Calibri" w:cs="Calibri"/>
                <w:color w:val="000000"/>
                <w:lang w:eastAsia="en-GB"/>
              </w:rPr>
            </w:pPr>
            <w:r>
              <w:rPr>
                <w:rFonts w:ascii="Calibri" w:eastAsia="Times New Roman" w:hAnsi="Calibri" w:cs="Calibri"/>
                <w:color w:val="000000"/>
                <w:lang w:eastAsia="en-GB"/>
              </w:rPr>
              <w:t>Drive time to closest mental health trust (mins)</w:t>
            </w:r>
          </w:p>
        </w:tc>
        <w:tc>
          <w:tcPr>
            <w:tcW w:w="992" w:type="dxa"/>
            <w:tcBorders>
              <w:left w:val="single" w:sz="4" w:space="0" w:color="auto"/>
              <w:bottom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22.606</w:t>
            </w:r>
          </w:p>
        </w:tc>
        <w:tc>
          <w:tcPr>
            <w:tcW w:w="718" w:type="dxa"/>
            <w:tcBorders>
              <w:bottom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0.28</w:t>
            </w:r>
          </w:p>
        </w:tc>
        <w:tc>
          <w:tcPr>
            <w:tcW w:w="842" w:type="dxa"/>
            <w:tcBorders>
              <w:bottom w:val="single" w:sz="4" w:space="0" w:color="auto"/>
              <w:right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105.83</w:t>
            </w:r>
          </w:p>
        </w:tc>
        <w:tc>
          <w:tcPr>
            <w:tcW w:w="1164" w:type="dxa"/>
            <w:tcBorders>
              <w:left w:val="single" w:sz="4" w:space="0" w:color="auto"/>
              <w:bottom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22.084</w:t>
            </w:r>
          </w:p>
        </w:tc>
        <w:tc>
          <w:tcPr>
            <w:tcW w:w="718" w:type="dxa"/>
            <w:tcBorders>
              <w:bottom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0.280</w:t>
            </w:r>
          </w:p>
        </w:tc>
        <w:tc>
          <w:tcPr>
            <w:tcW w:w="669" w:type="dxa"/>
            <w:tcBorders>
              <w:bottom w:val="single" w:sz="4" w:space="0" w:color="auto"/>
            </w:tcBorders>
            <w:noWrap/>
            <w:vAlign w:val="bottom"/>
            <w:hideMark/>
          </w:tcPr>
          <w:p w:rsidR="00715276" w:rsidRDefault="00715276" w:rsidP="00DA26B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105.83</w:t>
            </w:r>
          </w:p>
        </w:tc>
      </w:tr>
    </w:tbl>
    <w:p w:rsidR="00715276" w:rsidRDefault="00715276" w:rsidP="00715276">
      <w:pPr>
        <w:rPr>
          <w:b/>
        </w:rPr>
      </w:pPr>
    </w:p>
    <w:p w:rsidR="00715276" w:rsidRDefault="00715276" w:rsidP="00715276">
      <w:pPr>
        <w:rPr>
          <w:b/>
        </w:rPr>
      </w:pPr>
    </w:p>
    <w:p w:rsidR="00715276" w:rsidRDefault="00715276" w:rsidP="00715276">
      <w:pPr>
        <w:spacing w:after="200" w:line="276" w:lineRule="auto"/>
        <w:rPr>
          <w:b/>
          <w:noProof/>
          <w:lang w:eastAsia="en-GB"/>
        </w:rPr>
      </w:pPr>
      <w:r>
        <w:rPr>
          <w:b/>
          <w:noProof/>
          <w:lang w:eastAsia="en-GB"/>
        </w:rPr>
        <w:br w:type="page"/>
      </w:r>
    </w:p>
    <w:p w:rsidR="00715276" w:rsidRDefault="00715276" w:rsidP="00715276">
      <w:pPr>
        <w:spacing w:after="200" w:line="276" w:lineRule="auto"/>
        <w:rPr>
          <w:b/>
          <w:noProof/>
          <w:lang w:eastAsia="en-GB"/>
        </w:rPr>
      </w:pPr>
      <w:r>
        <w:rPr>
          <w:b/>
          <w:noProof/>
          <w:lang w:eastAsia="en-GB"/>
        </w:rPr>
        <w:lastRenderedPageBreak/>
        <w:t>Appendix 3: CCG Need Indices</w:t>
      </w:r>
    </w:p>
    <w:tbl>
      <w:tblPr>
        <w:tblW w:w="8753" w:type="dxa"/>
        <w:tblInd w:w="93" w:type="dxa"/>
        <w:tblLook w:val="04A0" w:firstRow="1" w:lastRow="0" w:firstColumn="1" w:lastColumn="0" w:noHBand="0" w:noVBand="1"/>
      </w:tblPr>
      <w:tblGrid>
        <w:gridCol w:w="1433"/>
        <w:gridCol w:w="5800"/>
        <w:gridCol w:w="1520"/>
      </w:tblGrid>
      <w:tr w:rsidR="00715276" w:rsidRPr="003104DE" w:rsidTr="00DA26B1">
        <w:trPr>
          <w:trHeight w:val="33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76" w:rsidRPr="003104DE" w:rsidRDefault="00715276" w:rsidP="00DA26B1">
            <w:pPr>
              <w:spacing w:after="0" w:line="240" w:lineRule="auto"/>
              <w:jc w:val="center"/>
              <w:rPr>
                <w:rFonts w:ascii="Calibri" w:eastAsia="Times New Roman" w:hAnsi="Calibri" w:cs="Times New Roman"/>
                <w:b/>
                <w:bCs/>
                <w:color w:val="000000"/>
                <w:sz w:val="20"/>
                <w:szCs w:val="20"/>
                <w:lang w:eastAsia="en-GB"/>
              </w:rPr>
            </w:pPr>
            <w:r w:rsidRPr="003104DE">
              <w:rPr>
                <w:rFonts w:ascii="Calibri" w:eastAsia="Times New Roman" w:hAnsi="Calibri" w:cs="Times New Roman"/>
                <w:b/>
                <w:bCs/>
                <w:color w:val="000000"/>
                <w:sz w:val="20"/>
                <w:szCs w:val="20"/>
                <w:lang w:eastAsia="en-GB"/>
              </w:rPr>
              <w:t>CCG code</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715276" w:rsidRPr="003104DE" w:rsidRDefault="00715276" w:rsidP="00DA26B1">
            <w:pPr>
              <w:spacing w:after="0" w:line="240" w:lineRule="auto"/>
              <w:jc w:val="center"/>
              <w:rPr>
                <w:rFonts w:ascii="Calibri" w:eastAsia="Times New Roman" w:hAnsi="Calibri" w:cs="Times New Roman"/>
                <w:b/>
                <w:bCs/>
                <w:color w:val="000000"/>
                <w:sz w:val="20"/>
                <w:szCs w:val="20"/>
                <w:lang w:eastAsia="en-GB"/>
              </w:rPr>
            </w:pPr>
            <w:r w:rsidRPr="003104DE">
              <w:rPr>
                <w:rFonts w:ascii="Calibri" w:eastAsia="Times New Roman" w:hAnsi="Calibri" w:cs="Times New Roman"/>
                <w:b/>
                <w:bCs/>
                <w:color w:val="000000"/>
                <w:sz w:val="20"/>
                <w:szCs w:val="20"/>
                <w:lang w:eastAsia="en-GB"/>
              </w:rPr>
              <w:t>CCG Name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15276" w:rsidRPr="003104DE" w:rsidRDefault="00715276" w:rsidP="00DA26B1">
            <w:pPr>
              <w:spacing w:after="0" w:line="240" w:lineRule="auto"/>
              <w:jc w:val="center"/>
              <w:rPr>
                <w:rFonts w:ascii="Calibri" w:eastAsia="Times New Roman" w:hAnsi="Calibri" w:cs="Times New Roman"/>
                <w:b/>
                <w:bCs/>
                <w:color w:val="000000"/>
                <w:sz w:val="20"/>
                <w:szCs w:val="20"/>
                <w:lang w:eastAsia="en-GB"/>
              </w:rPr>
            </w:pPr>
            <w:r w:rsidRPr="003104DE">
              <w:rPr>
                <w:rFonts w:ascii="Calibri" w:eastAsia="Times New Roman" w:hAnsi="Calibri" w:cs="Times New Roman"/>
                <w:b/>
                <w:bCs/>
                <w:color w:val="000000"/>
                <w:sz w:val="20"/>
                <w:szCs w:val="20"/>
                <w:lang w:eastAsia="en-GB"/>
              </w:rPr>
              <w:t>Need Index</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10C</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Surrey Heath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0.65</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04N</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Rushcliffe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99H</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Surrey Downs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09Y</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North West Surrey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14Y</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Buckinghamshire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03W</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East Leicestershire and Rutland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09X</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Horsham and Mid Sussex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15A</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Berkshire West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0.71</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10J</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North Hampshire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0.71</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99F</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Castle Point and Rochford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0.72</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09N</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Guildford and Waverley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0.72</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99M</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North East Hampshire and Farnham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0.73</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06Q</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Mid Essex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0.74</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99J</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West Kent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0.74</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11A</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West Hampshire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0.74</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99D</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South Lincolnshire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0.75</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08J</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Kingston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0.75</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15D</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Berkshire East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0.75</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06Y</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South Norfolk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0.76</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09L</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East Surrey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0.77</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06N</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Herts Valleys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0.77</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08P</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Richmond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04Q</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South West Lincolnshire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07G</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Thurrock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05R</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South Warwickshire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07H</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West Essex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10K</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Fareham and Gosport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09H</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Crawley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08F</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Havering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0.78</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03E</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Harrogate and Rural District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04V</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West Leicestershire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07K</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West Suffolk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0.79</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03Q</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Vale of York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05V</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Stafford and Surrounds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99E</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Basildon and Brentwood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05D</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East Staffordshire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03D</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 xml:space="preserve">NHS Hambleton, </w:t>
            </w:r>
            <w:proofErr w:type="spellStart"/>
            <w:r w:rsidRPr="003104DE">
              <w:rPr>
                <w:rFonts w:ascii="Calibri" w:eastAsia="Times New Roman" w:hAnsi="Calibri" w:cs="Times New Roman"/>
                <w:color w:val="000000"/>
                <w:sz w:val="20"/>
                <w:szCs w:val="20"/>
                <w:lang w:eastAsia="en-GB"/>
              </w:rPr>
              <w:t>Richmondshire</w:t>
            </w:r>
            <w:proofErr w:type="spellEnd"/>
            <w:r w:rsidRPr="003104DE">
              <w:rPr>
                <w:rFonts w:ascii="Calibri" w:eastAsia="Times New Roman" w:hAnsi="Calibri" w:cs="Times New Roman"/>
                <w:color w:val="000000"/>
                <w:sz w:val="20"/>
                <w:szCs w:val="20"/>
                <w:lang w:eastAsia="en-GB"/>
              </w:rPr>
              <w:t xml:space="preserve"> and Whitby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99N</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Wiltshire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06K</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East and North Hertfordshire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05Q</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 xml:space="preserve">NHS South East Staffordshire and </w:t>
            </w:r>
            <w:proofErr w:type="spellStart"/>
            <w:r w:rsidRPr="003104DE">
              <w:rPr>
                <w:rFonts w:ascii="Calibri" w:eastAsia="Times New Roman" w:hAnsi="Calibri" w:cs="Times New Roman"/>
                <w:color w:val="000000"/>
                <w:sz w:val="20"/>
                <w:szCs w:val="20"/>
                <w:lang w:eastAsia="en-GB"/>
              </w:rPr>
              <w:t>Seisdon</w:t>
            </w:r>
            <w:proofErr w:type="spellEnd"/>
            <w:r w:rsidRPr="003104DE">
              <w:rPr>
                <w:rFonts w:ascii="Calibri" w:eastAsia="Times New Roman" w:hAnsi="Calibri" w:cs="Times New Roman"/>
                <w:color w:val="000000"/>
                <w:sz w:val="20"/>
                <w:szCs w:val="20"/>
                <w:lang w:eastAsia="en-GB"/>
              </w:rPr>
              <w:t xml:space="preserve"> Peninsula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0.80</w:t>
            </w:r>
          </w:p>
        </w:tc>
      </w:tr>
      <w:tr w:rsidR="00715276" w:rsidRPr="003104DE"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01C</w:t>
            </w:r>
          </w:p>
        </w:tc>
        <w:tc>
          <w:tcPr>
            <w:tcW w:w="580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Eastern Cheshire CCG</w:t>
            </w:r>
          </w:p>
        </w:tc>
        <w:tc>
          <w:tcPr>
            <w:tcW w:w="1520" w:type="dxa"/>
            <w:tcBorders>
              <w:top w:val="nil"/>
              <w:left w:val="nil"/>
              <w:bottom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0.81</w:t>
            </w:r>
          </w:p>
        </w:tc>
      </w:tr>
      <w:tr w:rsidR="00715276" w:rsidRPr="003104DE"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07Q</w:t>
            </w:r>
          </w:p>
        </w:tc>
        <w:tc>
          <w:tcPr>
            <w:tcW w:w="5800" w:type="dxa"/>
            <w:tcBorders>
              <w:top w:val="nil"/>
              <w:left w:val="nil"/>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Bromley CCG</w:t>
            </w:r>
          </w:p>
        </w:tc>
        <w:tc>
          <w:tcPr>
            <w:tcW w:w="1520" w:type="dxa"/>
            <w:tcBorders>
              <w:top w:val="nil"/>
              <w:left w:val="nil"/>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0.81</w:t>
            </w:r>
          </w:p>
        </w:tc>
      </w:tr>
      <w:tr w:rsidR="00715276" w:rsidRPr="003104DE" w:rsidTr="00DA26B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07N</w:t>
            </w:r>
          </w:p>
        </w:tc>
        <w:tc>
          <w:tcPr>
            <w:tcW w:w="5800" w:type="dxa"/>
            <w:tcBorders>
              <w:top w:val="nil"/>
              <w:left w:val="nil"/>
              <w:bottom w:val="single" w:sz="4" w:space="0" w:color="auto"/>
              <w:right w:val="single" w:sz="4" w:space="0" w:color="auto"/>
            </w:tcBorders>
            <w:shd w:val="clear" w:color="auto" w:fill="auto"/>
            <w:noWrap/>
            <w:vAlign w:val="bottom"/>
            <w:hideMark/>
          </w:tcPr>
          <w:p w:rsidR="00715276" w:rsidRPr="003104DE" w:rsidRDefault="00715276" w:rsidP="00DA26B1">
            <w:pPr>
              <w:spacing w:after="0" w:line="240" w:lineRule="auto"/>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NHS Bexley CCG</w:t>
            </w:r>
          </w:p>
        </w:tc>
        <w:tc>
          <w:tcPr>
            <w:tcW w:w="1520" w:type="dxa"/>
            <w:tcBorders>
              <w:top w:val="nil"/>
              <w:left w:val="nil"/>
              <w:bottom w:val="single" w:sz="4" w:space="0" w:color="auto"/>
              <w:right w:val="single" w:sz="4" w:space="0" w:color="auto"/>
            </w:tcBorders>
            <w:shd w:val="clear" w:color="auto" w:fill="auto"/>
            <w:noWrap/>
            <w:vAlign w:val="bottom"/>
            <w:hideMark/>
          </w:tcPr>
          <w:p w:rsidR="00715276" w:rsidRPr="003104DE" w:rsidRDefault="00715276" w:rsidP="00DA26B1">
            <w:pPr>
              <w:spacing w:after="0" w:line="240" w:lineRule="auto"/>
              <w:jc w:val="center"/>
              <w:rPr>
                <w:rFonts w:ascii="Calibri" w:eastAsia="Times New Roman" w:hAnsi="Calibri" w:cs="Times New Roman"/>
                <w:color w:val="000000"/>
                <w:sz w:val="20"/>
                <w:szCs w:val="20"/>
                <w:lang w:eastAsia="en-GB"/>
              </w:rPr>
            </w:pPr>
            <w:r w:rsidRPr="003104DE">
              <w:rPr>
                <w:rFonts w:ascii="Calibri" w:eastAsia="Times New Roman" w:hAnsi="Calibri" w:cs="Times New Roman"/>
                <w:color w:val="000000"/>
                <w:sz w:val="20"/>
                <w:szCs w:val="20"/>
                <w:lang w:eastAsia="en-GB"/>
              </w:rPr>
              <w:t>0.81</w:t>
            </w:r>
          </w:p>
        </w:tc>
      </w:tr>
      <w:tr w:rsidR="00715276" w:rsidRPr="00FF5A3B" w:rsidTr="00DA26B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lastRenderedPageBreak/>
              <w:t>CCG code</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CCG Name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Need Index</w:t>
            </w:r>
          </w:p>
        </w:tc>
      </w:tr>
      <w:tr w:rsidR="00715276" w:rsidRPr="00FF5A3B" w:rsidTr="00DA26B1">
        <w:trPr>
          <w:trHeight w:val="300"/>
        </w:trPr>
        <w:tc>
          <w:tcPr>
            <w:tcW w:w="1433" w:type="dxa"/>
            <w:tcBorders>
              <w:top w:val="single" w:sz="4" w:space="0" w:color="auto"/>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99K</w:t>
            </w:r>
          </w:p>
        </w:tc>
        <w:tc>
          <w:tcPr>
            <w:tcW w:w="5800" w:type="dxa"/>
            <w:tcBorders>
              <w:top w:val="single" w:sz="4" w:space="0" w:color="auto"/>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High Weald Lewes Havens CCG</w:t>
            </w:r>
          </w:p>
        </w:tc>
        <w:tc>
          <w:tcPr>
            <w:tcW w:w="1520" w:type="dxa"/>
            <w:tcBorders>
              <w:top w:val="single" w:sz="4" w:space="0" w:color="auto"/>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0.81</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11E</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Bath and North East Somerset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0.81</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04Y</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Cannock Chase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0.81</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06F</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Bedfordshire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09C</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Ashford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05T</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South Worcestershire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10Q</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Oxfordshire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10V</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South Eastern Hampshire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09W</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Medway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0.83</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05J</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Redditch and Bromsgrove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0.83</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09J</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 xml:space="preserve">NHS Dartford, Gravesham and </w:t>
            </w:r>
            <w:proofErr w:type="spellStart"/>
            <w:r w:rsidRPr="00FF5A3B">
              <w:rPr>
                <w:rFonts w:ascii="Calibri" w:eastAsia="Times New Roman" w:hAnsi="Calibri" w:cs="Times New Roman"/>
                <w:color w:val="000000"/>
                <w:sz w:val="20"/>
                <w:szCs w:val="20"/>
                <w:lang w:eastAsia="en-GB"/>
              </w:rPr>
              <w:t>Swanley</w:t>
            </w:r>
            <w:proofErr w:type="spellEnd"/>
            <w:r w:rsidRPr="00FF5A3B">
              <w:rPr>
                <w:rFonts w:ascii="Calibri" w:eastAsia="Times New Roman" w:hAnsi="Calibri" w:cs="Times New Roman"/>
                <w:color w:val="000000"/>
                <w:sz w:val="20"/>
                <w:szCs w:val="20"/>
                <w:lang w:eastAsia="en-GB"/>
              </w:rPr>
              <w:t xml:space="preserv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0.84</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06L</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Ipswich and East Suffolk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0.84</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04F</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Milton Keynes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0.85</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05H</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Warwickshire North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0.85</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08G</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Hillingdon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0.86</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02Y</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East Riding of Yorkshire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0.86</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08T</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Sutton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0.86</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11M</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Gloucestershire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0.87</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05F</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Herefordshire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0.87</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04L</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Nottingham North and East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0.87</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02D</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Vale Royal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08E</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Harrow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02A</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Trafford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04H</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Newark &amp; Sherwood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05N</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Shropshire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08N</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Redbridge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06H</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Cambridgeshire and Peterborough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0.88</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12D</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Swindon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0.89</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04M</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Nottingham West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0.89</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04G</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Nene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0.89</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00X</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 xml:space="preserve">NHS Chorley and South </w:t>
            </w:r>
            <w:proofErr w:type="spellStart"/>
            <w:r w:rsidRPr="00FF5A3B">
              <w:rPr>
                <w:rFonts w:ascii="Calibri" w:eastAsia="Times New Roman" w:hAnsi="Calibri" w:cs="Times New Roman"/>
                <w:color w:val="000000"/>
                <w:sz w:val="20"/>
                <w:szCs w:val="20"/>
                <w:lang w:eastAsia="en-GB"/>
              </w:rPr>
              <w:t>Ribble</w:t>
            </w:r>
            <w:proofErr w:type="spellEnd"/>
            <w:r w:rsidRPr="00FF5A3B">
              <w:rPr>
                <w:rFonts w:ascii="Calibri" w:eastAsia="Times New Roman" w:hAnsi="Calibri" w:cs="Times New Roman"/>
                <w:color w:val="000000"/>
                <w:sz w:val="20"/>
                <w:szCs w:val="20"/>
                <w:lang w:eastAsia="en-GB"/>
              </w:rPr>
              <w:t xml:space="preserv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0.89</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01R</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South Cheshire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0.89</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06V</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North Norfolk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0.90</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06D</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Wyre Forest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0.90</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03K</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North Lincolnshire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0.90</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08R</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Merton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0.91</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11X</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Somerset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0.91</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10D</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Swale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02F</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West Cheshire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0.92</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07M</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Barnet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0.93</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01W</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Stockport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0.93</w:t>
            </w:r>
          </w:p>
        </w:tc>
      </w:tr>
      <w:tr w:rsidR="00715276" w:rsidRPr="00FF5A3B" w:rsidTr="00DA26B1">
        <w:trPr>
          <w:trHeight w:val="300"/>
        </w:trPr>
        <w:tc>
          <w:tcPr>
            <w:tcW w:w="1433" w:type="dxa"/>
            <w:tcBorders>
              <w:top w:val="nil"/>
              <w:left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02G</w:t>
            </w:r>
          </w:p>
        </w:tc>
        <w:tc>
          <w:tcPr>
            <w:tcW w:w="580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West Lancashire CCG</w:t>
            </w:r>
          </w:p>
        </w:tc>
        <w:tc>
          <w:tcPr>
            <w:tcW w:w="1520" w:type="dxa"/>
            <w:tcBorders>
              <w:top w:val="nil"/>
              <w:left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0.93</w:t>
            </w:r>
          </w:p>
        </w:tc>
      </w:tr>
      <w:tr w:rsidR="00715276" w:rsidRPr="00FF5A3B" w:rsidTr="00DA26B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02E</w:t>
            </w:r>
          </w:p>
        </w:tc>
        <w:tc>
          <w:tcPr>
            <w:tcW w:w="5800"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NHS Warrington CCG</w:t>
            </w:r>
          </w:p>
        </w:tc>
        <w:tc>
          <w:tcPr>
            <w:tcW w:w="1520"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sz w:val="20"/>
                <w:szCs w:val="20"/>
                <w:lang w:eastAsia="en-GB"/>
              </w:rPr>
            </w:pPr>
            <w:r w:rsidRPr="00FF5A3B">
              <w:rPr>
                <w:rFonts w:ascii="Calibri" w:eastAsia="Times New Roman" w:hAnsi="Calibri" w:cs="Times New Roman"/>
                <w:color w:val="000000"/>
                <w:sz w:val="20"/>
                <w:szCs w:val="20"/>
                <w:lang w:eastAsia="en-GB"/>
              </w:rPr>
              <w:t>0.94</w:t>
            </w:r>
          </w:p>
        </w:tc>
      </w:tr>
    </w:tbl>
    <w:p w:rsidR="00715276" w:rsidRDefault="00715276" w:rsidP="00715276">
      <w:pPr>
        <w:spacing w:after="200" w:line="276" w:lineRule="auto"/>
        <w:rPr>
          <w:b/>
          <w:noProof/>
          <w:lang w:eastAsia="en-GB"/>
        </w:rPr>
      </w:pPr>
    </w:p>
    <w:tbl>
      <w:tblPr>
        <w:tblW w:w="8804" w:type="dxa"/>
        <w:tblInd w:w="93" w:type="dxa"/>
        <w:tblLook w:val="04A0" w:firstRow="1" w:lastRow="0" w:firstColumn="1" w:lastColumn="0" w:noHBand="0" w:noVBand="1"/>
      </w:tblPr>
      <w:tblGrid>
        <w:gridCol w:w="1433"/>
        <w:gridCol w:w="5800"/>
        <w:gridCol w:w="1571"/>
      </w:tblGrid>
      <w:tr w:rsidR="00715276" w:rsidRPr="00FF5A3B" w:rsidTr="00DA26B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lastRenderedPageBreak/>
              <w:t>CCG code</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CCG Name</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Need Index</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09G</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Coastal West Sussex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05G</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 Staffordshire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11J</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Dorset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99P</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Northern, Eastern and Western Devon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07J</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West Norfolk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02N</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Airedale, </w:t>
            </w:r>
            <w:proofErr w:type="spellStart"/>
            <w:r w:rsidRPr="00FF5A3B">
              <w:rPr>
                <w:rFonts w:ascii="Calibri" w:eastAsia="Times New Roman" w:hAnsi="Calibri" w:cs="Times New Roman"/>
                <w:color w:val="000000"/>
                <w:lang w:eastAsia="en-GB"/>
              </w:rPr>
              <w:t>Wharfedale</w:t>
            </w:r>
            <w:proofErr w:type="spellEnd"/>
            <w:r w:rsidRPr="00FF5A3B">
              <w:rPr>
                <w:rFonts w:ascii="Calibri" w:eastAsia="Times New Roman" w:hAnsi="Calibri" w:cs="Times New Roman"/>
                <w:color w:val="000000"/>
                <w:lang w:eastAsia="en-GB"/>
              </w:rPr>
              <w:t xml:space="preserve"> and Craven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15C</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Bristol, North Somerset and South Gloucestershire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07Y</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Hounslow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02Q</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Bassetlaw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26A</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Derbyshire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04D</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Lincolnshire West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09E</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Canterbury and Coastal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03V</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Corby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11N</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w:t>
            </w:r>
            <w:proofErr w:type="spellStart"/>
            <w:r w:rsidRPr="00FF5A3B">
              <w:rPr>
                <w:rFonts w:ascii="Calibri" w:eastAsia="Times New Roman" w:hAnsi="Calibri" w:cs="Times New Roman"/>
                <w:color w:val="000000"/>
                <w:lang w:eastAsia="en-GB"/>
              </w:rPr>
              <w:t>Kernow</w:t>
            </w:r>
            <w:proofErr w:type="spellEnd"/>
            <w:r w:rsidRPr="00FF5A3B">
              <w:rPr>
                <w:rFonts w:ascii="Calibri" w:eastAsia="Times New Roman" w:hAnsi="Calibri" w:cs="Times New Roman"/>
                <w:color w:val="000000"/>
                <w:lang w:eastAsia="en-GB"/>
              </w:rPr>
              <w:t xml:space="preserve">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01E</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Greater Preston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05C</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Dudley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05A</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Coventry and Rugby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02M</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Fylde &amp; Wyre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03T</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Lincolnshire East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00V</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Bury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10R</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Portsmouth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03J</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 Kirklees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06T</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 East Essex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05X</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Telford and Wrekin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00J</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 Durham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01H</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Cumbria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07L</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Barking and Dagenham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02H</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Wigan Borough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00Y</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Oldham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03L</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Rotherham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03A</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Greater Huddersfield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02T</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Calderdale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00L</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Northumberland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03R</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Wakefield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02X</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Doncaster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10A</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 Kent Coast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00T</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Bolton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09F</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Eastbourne, </w:t>
            </w:r>
            <w:proofErr w:type="spellStart"/>
            <w:r w:rsidRPr="00FF5A3B">
              <w:rPr>
                <w:rFonts w:ascii="Calibri" w:eastAsia="Times New Roman" w:hAnsi="Calibri" w:cs="Times New Roman"/>
                <w:color w:val="000000"/>
                <w:lang w:eastAsia="en-GB"/>
              </w:rPr>
              <w:t>Hailsham</w:t>
            </w:r>
            <w:proofErr w:type="spellEnd"/>
            <w:r w:rsidRPr="00FF5A3B">
              <w:rPr>
                <w:rFonts w:ascii="Calibri" w:eastAsia="Times New Roman" w:hAnsi="Calibri" w:cs="Times New Roman"/>
                <w:color w:val="000000"/>
                <w:lang w:eastAsia="en-GB"/>
              </w:rPr>
              <w:t xml:space="preserve"> and Seaford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05Y</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Walsall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04E</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Mansfield and Ashfield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06P</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Luton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06M</w:t>
            </w:r>
          </w:p>
        </w:tc>
        <w:tc>
          <w:tcPr>
            <w:tcW w:w="5800"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Great Yarmouth and Waveney CCG</w:t>
            </w:r>
          </w:p>
        </w:tc>
        <w:tc>
          <w:tcPr>
            <w:tcW w:w="1571"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r w:rsidR="00715276" w:rsidRPr="00FF5A3B" w:rsidTr="00DA26B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03H</w:t>
            </w:r>
          </w:p>
        </w:tc>
        <w:tc>
          <w:tcPr>
            <w:tcW w:w="5800"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 East Lincolnshire CCG</w:t>
            </w:r>
          </w:p>
        </w:tc>
        <w:tc>
          <w:tcPr>
            <w:tcW w:w="1571"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1.05</w:t>
            </w:r>
          </w:p>
        </w:tc>
      </w:tr>
    </w:tbl>
    <w:p w:rsidR="00715276" w:rsidRDefault="00715276" w:rsidP="00715276">
      <w:pPr>
        <w:spacing w:after="200" w:line="276" w:lineRule="auto"/>
        <w:rPr>
          <w:b/>
          <w:noProof/>
          <w:lang w:eastAsia="en-GB"/>
        </w:rPr>
      </w:pPr>
    </w:p>
    <w:tbl>
      <w:tblPr>
        <w:tblW w:w="8804" w:type="dxa"/>
        <w:tblInd w:w="93" w:type="dxa"/>
        <w:tblLook w:val="04A0" w:firstRow="1" w:lastRow="0" w:firstColumn="1" w:lastColumn="0" w:noHBand="0" w:noVBand="1"/>
      </w:tblPr>
      <w:tblGrid>
        <w:gridCol w:w="1433"/>
        <w:gridCol w:w="5812"/>
        <w:gridCol w:w="1559"/>
      </w:tblGrid>
      <w:tr w:rsidR="00715276" w:rsidRPr="00FF5A3B" w:rsidTr="00DA26B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lastRenderedPageBreak/>
              <w:t>CCG code</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CCG Name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Need Index</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01V</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Southport and Formby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01K</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Morecambe Bay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99C</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North Tyneside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03M</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Scarborough and Ryedale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01Y</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Tameside and Glossop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10L</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Isle of Wight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99Q</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 Devon and Torbay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06W</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Norwich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10X</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Southampton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02P</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Barnsley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03N</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Sheffield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07X</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Enfield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02R</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Bradford Districts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08X</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w:t>
            </w:r>
            <w:proofErr w:type="spellStart"/>
            <w:r w:rsidRPr="00FF5A3B">
              <w:rPr>
                <w:rFonts w:ascii="Calibri" w:eastAsia="Times New Roman" w:hAnsi="Calibri" w:cs="Times New Roman"/>
                <w:color w:val="000000"/>
                <w:lang w:eastAsia="en-GB"/>
              </w:rPr>
              <w:t>Wandsworth</w:t>
            </w:r>
            <w:proofErr w:type="spellEnd"/>
            <w:r w:rsidRPr="00FF5A3B">
              <w:rPr>
                <w:rFonts w:ascii="Calibri" w:eastAsia="Times New Roman" w:hAnsi="Calibri" w:cs="Times New Roman"/>
                <w:color w:val="000000"/>
                <w:lang w:eastAsia="en-GB"/>
              </w:rPr>
              <w:t xml:space="preserv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01A</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East Lancashire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15F</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Leeds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00K</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Hartlepool and </w:t>
            </w:r>
            <w:proofErr w:type="spellStart"/>
            <w:r w:rsidRPr="00FF5A3B">
              <w:rPr>
                <w:rFonts w:ascii="Calibri" w:eastAsia="Times New Roman" w:hAnsi="Calibri" w:cs="Times New Roman"/>
                <w:color w:val="000000"/>
                <w:lang w:eastAsia="en-GB"/>
              </w:rPr>
              <w:t>Stockton-on-Tees</w:t>
            </w:r>
            <w:proofErr w:type="spellEnd"/>
            <w:r w:rsidRPr="00FF5A3B">
              <w:rPr>
                <w:rFonts w:ascii="Calibri" w:eastAsia="Times New Roman" w:hAnsi="Calibri" w:cs="Times New Roman"/>
                <w:color w:val="000000"/>
                <w:lang w:eastAsia="en-GB"/>
              </w:rPr>
              <w:t xml:space="preserv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01D</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Heywood, Middleton and Rochdale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04C</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Leicester City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1.12</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00C</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Darlington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1.12</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00P</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Sunderland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01F</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w:t>
            </w:r>
            <w:proofErr w:type="spellStart"/>
            <w:r w:rsidRPr="00FF5A3B">
              <w:rPr>
                <w:rFonts w:ascii="Calibri" w:eastAsia="Times New Roman" w:hAnsi="Calibri" w:cs="Times New Roman"/>
                <w:color w:val="000000"/>
                <w:lang w:eastAsia="en-GB"/>
              </w:rPr>
              <w:t>Halton</w:t>
            </w:r>
            <w:proofErr w:type="spellEnd"/>
            <w:r w:rsidRPr="00FF5A3B">
              <w:rPr>
                <w:rFonts w:ascii="Calibri" w:eastAsia="Times New Roman" w:hAnsi="Calibri" w:cs="Times New Roman"/>
                <w:color w:val="000000"/>
                <w:lang w:eastAsia="en-GB"/>
              </w:rPr>
              <w:t xml:space="preserv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99G</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Southend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07W</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Ealing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15E</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Birmingham and Solihull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01X</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St Helens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08A</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Greenwich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05W</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Stoke on Trent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01T</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 Sefton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1.19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13T</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Newcastle Gateshead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00Q</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Blackburn with </w:t>
            </w:r>
            <w:proofErr w:type="spellStart"/>
            <w:r w:rsidRPr="00FF5A3B">
              <w:rPr>
                <w:rFonts w:ascii="Calibri" w:eastAsia="Times New Roman" w:hAnsi="Calibri" w:cs="Times New Roman"/>
                <w:color w:val="000000"/>
                <w:lang w:eastAsia="en-GB"/>
              </w:rPr>
              <w:t>Darwen</w:t>
            </w:r>
            <w:proofErr w:type="spellEnd"/>
            <w:r w:rsidRPr="00FF5A3B">
              <w:rPr>
                <w:rFonts w:ascii="Calibri" w:eastAsia="Times New Roman" w:hAnsi="Calibri" w:cs="Times New Roman"/>
                <w:color w:val="000000"/>
                <w:lang w:eastAsia="en-GB"/>
              </w:rPr>
              <w:t xml:space="preserv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12F</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Wirral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07V</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Croydon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09D</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Brighton and Hove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00D</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Durham Dales, Easington and Sedgefield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09P</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Hastings and Rother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02W</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Bradford City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03F</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Hull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08W</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Waltham Forest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01J</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 xml:space="preserve">NHS </w:t>
            </w:r>
            <w:proofErr w:type="spellStart"/>
            <w:r w:rsidRPr="00FF5A3B">
              <w:rPr>
                <w:rFonts w:ascii="Calibri" w:eastAsia="Times New Roman" w:hAnsi="Calibri" w:cs="Times New Roman"/>
                <w:color w:val="000000"/>
                <w:lang w:eastAsia="en-GB"/>
              </w:rPr>
              <w:t>Knowsley</w:t>
            </w:r>
            <w:proofErr w:type="spellEnd"/>
            <w:r w:rsidRPr="00FF5A3B">
              <w:rPr>
                <w:rFonts w:ascii="Calibri" w:eastAsia="Times New Roman" w:hAnsi="Calibri" w:cs="Times New Roman"/>
                <w:color w:val="000000"/>
                <w:lang w:eastAsia="en-GB"/>
              </w:rPr>
              <w:t xml:space="preserv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08M</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Newham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06A</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Wolverhampton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1.25</w:t>
            </w:r>
          </w:p>
        </w:tc>
      </w:tr>
      <w:tr w:rsidR="00715276" w:rsidRPr="00FF5A3B" w:rsidTr="00DA26B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04K</w:t>
            </w:r>
          </w:p>
        </w:tc>
        <w:tc>
          <w:tcPr>
            <w:tcW w:w="5812"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Nottingham City CCG</w:t>
            </w:r>
          </w:p>
        </w:tc>
        <w:tc>
          <w:tcPr>
            <w:tcW w:w="1559"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1.26</w:t>
            </w:r>
          </w:p>
        </w:tc>
      </w:tr>
    </w:tbl>
    <w:p w:rsidR="00715276" w:rsidRDefault="00715276" w:rsidP="00715276">
      <w:pPr>
        <w:spacing w:after="200" w:line="276" w:lineRule="auto"/>
        <w:rPr>
          <w:b/>
          <w:noProof/>
          <w:lang w:eastAsia="en-GB"/>
        </w:rPr>
      </w:pPr>
    </w:p>
    <w:tbl>
      <w:tblPr>
        <w:tblW w:w="8804" w:type="dxa"/>
        <w:tblInd w:w="93" w:type="dxa"/>
        <w:tblLook w:val="04A0" w:firstRow="1" w:lastRow="0" w:firstColumn="1" w:lastColumn="0" w:noHBand="0" w:noVBand="1"/>
      </w:tblPr>
      <w:tblGrid>
        <w:gridCol w:w="1433"/>
        <w:gridCol w:w="5812"/>
        <w:gridCol w:w="1559"/>
      </w:tblGrid>
      <w:tr w:rsidR="00715276" w:rsidRPr="00FF5A3B" w:rsidTr="00DA26B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lastRenderedPageBreak/>
              <w:t>CCG code</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CCG Name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5276" w:rsidRPr="00FF5A3B" w:rsidRDefault="00715276" w:rsidP="00DA26B1">
            <w:pPr>
              <w:spacing w:after="0" w:line="240" w:lineRule="auto"/>
              <w:jc w:val="center"/>
              <w:rPr>
                <w:rFonts w:ascii="Calibri" w:eastAsia="Times New Roman" w:hAnsi="Calibri" w:cs="Times New Roman"/>
                <w:b/>
                <w:bCs/>
                <w:color w:val="000000"/>
                <w:lang w:eastAsia="en-GB"/>
              </w:rPr>
            </w:pPr>
            <w:r w:rsidRPr="00FF5A3B">
              <w:rPr>
                <w:rFonts w:ascii="Calibri" w:eastAsia="Times New Roman" w:hAnsi="Calibri" w:cs="Times New Roman"/>
                <w:b/>
                <w:bCs/>
                <w:color w:val="000000"/>
                <w:lang w:eastAsia="en-GB"/>
              </w:rPr>
              <w:t>Need Index</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10E</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Thanet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00N</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 Tyneside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01G</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Salford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00M</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 Tees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08V</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Tower Hamlets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1.28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07P</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Brent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1.31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14L</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Manchester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1.33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08D</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Haringey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1.34</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05L</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Sandwell and West Birmingham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1.37</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09A</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Central London (Westminster)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1.39</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08C</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Hammersmith and Fulham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1.40</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07R</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Camden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1.41</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99A</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Liverpool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1.46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08Y</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West London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1.48</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08L</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Lewisham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1.52</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00R</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Blackpool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1.53</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07T</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City and Hackney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08K</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Lambeth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1.56</w:t>
            </w:r>
          </w:p>
        </w:tc>
      </w:tr>
      <w:tr w:rsidR="00715276" w:rsidRPr="00FF5A3B" w:rsidTr="00DA26B1">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08H</w:t>
            </w:r>
          </w:p>
        </w:tc>
        <w:tc>
          <w:tcPr>
            <w:tcW w:w="5812"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Islington CCG</w:t>
            </w:r>
          </w:p>
        </w:tc>
        <w:tc>
          <w:tcPr>
            <w:tcW w:w="1559" w:type="dxa"/>
            <w:tcBorders>
              <w:top w:val="nil"/>
              <w:left w:val="nil"/>
              <w:bottom w:val="nil"/>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1.62</w:t>
            </w:r>
          </w:p>
        </w:tc>
      </w:tr>
      <w:tr w:rsidR="00715276" w:rsidRPr="00FF5A3B" w:rsidTr="00DA26B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08Q</w:t>
            </w:r>
          </w:p>
        </w:tc>
        <w:tc>
          <w:tcPr>
            <w:tcW w:w="5812"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NHS Southwark CCG</w:t>
            </w:r>
          </w:p>
        </w:tc>
        <w:tc>
          <w:tcPr>
            <w:tcW w:w="1559" w:type="dxa"/>
            <w:tcBorders>
              <w:top w:val="nil"/>
              <w:left w:val="nil"/>
              <w:bottom w:val="single" w:sz="4" w:space="0" w:color="auto"/>
              <w:right w:val="single" w:sz="4" w:space="0" w:color="auto"/>
            </w:tcBorders>
            <w:shd w:val="clear" w:color="auto" w:fill="auto"/>
            <w:noWrap/>
            <w:vAlign w:val="bottom"/>
            <w:hideMark/>
          </w:tcPr>
          <w:p w:rsidR="00715276" w:rsidRPr="00FF5A3B" w:rsidRDefault="00715276" w:rsidP="00DA26B1">
            <w:pPr>
              <w:spacing w:after="0" w:line="240" w:lineRule="auto"/>
              <w:jc w:val="center"/>
              <w:rPr>
                <w:rFonts w:ascii="Calibri" w:eastAsia="Times New Roman" w:hAnsi="Calibri" w:cs="Times New Roman"/>
                <w:color w:val="000000"/>
                <w:lang w:eastAsia="en-GB"/>
              </w:rPr>
            </w:pPr>
            <w:r w:rsidRPr="00FF5A3B">
              <w:rPr>
                <w:rFonts w:ascii="Calibri" w:eastAsia="Times New Roman" w:hAnsi="Calibri" w:cs="Times New Roman"/>
                <w:color w:val="000000"/>
                <w:lang w:eastAsia="en-GB"/>
              </w:rPr>
              <w:t>1.62</w:t>
            </w:r>
          </w:p>
        </w:tc>
      </w:tr>
    </w:tbl>
    <w:p w:rsidR="00715276" w:rsidRDefault="00715276" w:rsidP="00715276">
      <w:pPr>
        <w:spacing w:after="200" w:line="276" w:lineRule="auto"/>
        <w:rPr>
          <w:b/>
        </w:rPr>
      </w:pPr>
    </w:p>
    <w:p w:rsidR="00715276" w:rsidRDefault="00715276" w:rsidP="00715276">
      <w:pPr>
        <w:spacing w:after="200" w:line="276" w:lineRule="auto"/>
        <w:rPr>
          <w:b/>
        </w:rPr>
      </w:pPr>
    </w:p>
    <w:p w:rsidR="00715276" w:rsidRDefault="00715276" w:rsidP="00715276">
      <w:pPr>
        <w:spacing w:after="200" w:line="276" w:lineRule="auto"/>
        <w:rPr>
          <w:b/>
        </w:rPr>
      </w:pPr>
    </w:p>
    <w:p w:rsidR="00443FA9" w:rsidRDefault="00443FA9"/>
    <w:p w:rsidR="00B05D1E" w:rsidRDefault="00B05D1E"/>
    <w:sectPr w:rsidR="00B05D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B1" w:rsidRDefault="00DA26B1" w:rsidP="00715276">
      <w:pPr>
        <w:spacing w:after="0" w:line="240" w:lineRule="auto"/>
      </w:pPr>
      <w:r>
        <w:separator/>
      </w:r>
    </w:p>
  </w:endnote>
  <w:endnote w:type="continuationSeparator" w:id="0">
    <w:p w:rsidR="00DA26B1" w:rsidRDefault="00DA26B1" w:rsidP="0071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812056"/>
      <w:docPartObj>
        <w:docPartGallery w:val="Page Numbers (Bottom of Page)"/>
        <w:docPartUnique/>
      </w:docPartObj>
    </w:sdtPr>
    <w:sdtEndPr>
      <w:rPr>
        <w:noProof/>
      </w:rPr>
    </w:sdtEndPr>
    <w:sdtContent>
      <w:p w:rsidR="00DA26B1" w:rsidRDefault="00DA26B1">
        <w:pPr>
          <w:pStyle w:val="Footer"/>
          <w:jc w:val="center"/>
        </w:pPr>
        <w:r>
          <w:fldChar w:fldCharType="begin"/>
        </w:r>
        <w:r>
          <w:instrText xml:space="preserve"> PAGE   \* MERGEFORMAT </w:instrText>
        </w:r>
        <w:r>
          <w:fldChar w:fldCharType="separate"/>
        </w:r>
        <w:r w:rsidR="00036423">
          <w:rPr>
            <w:noProof/>
          </w:rPr>
          <w:t>5</w:t>
        </w:r>
        <w:r>
          <w:rPr>
            <w:noProof/>
          </w:rPr>
          <w:fldChar w:fldCharType="end"/>
        </w:r>
      </w:p>
    </w:sdtContent>
  </w:sdt>
  <w:p w:rsidR="00DA26B1" w:rsidRDefault="00DA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B1" w:rsidRDefault="00DA26B1" w:rsidP="00715276">
      <w:pPr>
        <w:spacing w:after="0" w:line="240" w:lineRule="auto"/>
      </w:pPr>
      <w:r>
        <w:separator/>
      </w:r>
    </w:p>
  </w:footnote>
  <w:footnote w:type="continuationSeparator" w:id="0">
    <w:p w:rsidR="00DA26B1" w:rsidRDefault="00DA26B1" w:rsidP="00715276">
      <w:pPr>
        <w:spacing w:after="0" w:line="240" w:lineRule="auto"/>
      </w:pPr>
      <w:r>
        <w:continuationSeparator/>
      </w:r>
    </w:p>
  </w:footnote>
  <w:footnote w:id="1">
    <w:p w:rsidR="007D7BFF" w:rsidRDefault="007D7BFF">
      <w:pPr>
        <w:pStyle w:val="FootnoteText"/>
      </w:pPr>
      <w:r>
        <w:rPr>
          <w:rStyle w:val="FootnoteReference"/>
        </w:rPr>
        <w:footnoteRef/>
      </w:r>
      <w:r>
        <w:t xml:space="preserve"> </w:t>
      </w:r>
      <w:r w:rsidRPr="007D7BFF">
        <w:t>Pay band 2 (Job role: 1010 or 1011or 7012 or 7015); Pay band 3 (Job role: 7000, 7001, 7002, 7004, 7027, 8000, 8001, 8002, 8003, 9001; Occupation code: N9E, H2, H1D, G2D, S4C); Pay band 4 (Job role: 2000, 2001, 2003, 2004, 2007, 2010, 2012, 2016, 2018, 2022, 2023, 7005, 7009, 7010, 7019, 7023, 7029, 7031, 8003, 8004, 8005, 8006; Occupation code: H2D, S4, N1B, S5U, S5L); Pay band 5 (Job role: 1023, 3000, 3007, 3008, 3015, 5000, 5011, 5012, 7028; Occupation code: N6, NAD, N9D, S8M, S1B; Specialty: 900, 950, 700); Pay band 6 (Job role: 1009, 3014, 4000, 4001, 4009, 4025, 4041, 4057, 5003, 5007, 5008, 5009, 5010, 5015, 5021, 7011, 8007; Occupation code: N7E, S1, N6E, N4, N0, S1U, N4D, G2A, N6F, N6D, NAE, N7D; Specialty: 960, 901, 710, 725, 727; Job role, occupation code and specialty: missing); Pay band 7 (Job role: 1004, 1024, 3003, 3005, 3006, 4003, 4004, 4007, 4012, 4013, 4015, 4016, 4017, 4018,  4019, 4021, 4027, 4028, 4042, 4044, 4059, 4060, 5004, 5014, 5016; Occupation code: S1C, S8L, SAM, N7, S1J, S1H, S1M, N0D, G0A, N60, NCE, S4L, S9J, G2, S1L, S3L; Specialty: 713); Pay band 8 or 9 (Job role: 1000, 1006, 1013, 1022, 3002, 3004, 5005, 8009, 1001, 1002, 1005, 1012, 1016, 1017, 1018, 1019, 1032, 1035, 1037; Occupation code: S0C, S2L, G2C, S0L, SAL, N0E, S0M, S2M).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BFB"/>
    <w:multiLevelType w:val="multilevel"/>
    <w:tmpl w:val="2702C1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51A31"/>
    <w:multiLevelType w:val="multilevel"/>
    <w:tmpl w:val="92A8D0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7F1D2A"/>
    <w:multiLevelType w:val="hybridMultilevel"/>
    <w:tmpl w:val="14D6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33B6B"/>
    <w:multiLevelType w:val="multilevel"/>
    <w:tmpl w:val="92A8D0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6C3012"/>
    <w:multiLevelType w:val="multilevel"/>
    <w:tmpl w:val="DF706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B434F"/>
    <w:multiLevelType w:val="hybridMultilevel"/>
    <w:tmpl w:val="6D143098"/>
    <w:lvl w:ilvl="0" w:tplc="C99C0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2E6BBC"/>
    <w:multiLevelType w:val="hybridMultilevel"/>
    <w:tmpl w:val="CDC6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750E13"/>
    <w:multiLevelType w:val="hybridMultilevel"/>
    <w:tmpl w:val="FFCE4D1E"/>
    <w:lvl w:ilvl="0" w:tplc="DEF29A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CB6F9F"/>
    <w:multiLevelType w:val="hybridMultilevel"/>
    <w:tmpl w:val="3870ABFE"/>
    <w:lvl w:ilvl="0" w:tplc="1FEAC1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70FE4"/>
    <w:multiLevelType w:val="multilevel"/>
    <w:tmpl w:val="B9E410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F668EF"/>
    <w:multiLevelType w:val="multilevel"/>
    <w:tmpl w:val="92A8D0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A13528"/>
    <w:multiLevelType w:val="hybridMultilevel"/>
    <w:tmpl w:val="7BCE0F86"/>
    <w:lvl w:ilvl="0" w:tplc="E920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597127"/>
    <w:multiLevelType w:val="hybridMultilevel"/>
    <w:tmpl w:val="4636F3BA"/>
    <w:lvl w:ilvl="0" w:tplc="91A00B6A">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748B5"/>
    <w:multiLevelType w:val="multilevel"/>
    <w:tmpl w:val="F86CEF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5"/>
  </w:num>
  <w:num w:numId="4">
    <w:abstractNumId w:val="13"/>
  </w:num>
  <w:num w:numId="5">
    <w:abstractNumId w:val="9"/>
  </w:num>
  <w:num w:numId="6">
    <w:abstractNumId w:val="6"/>
  </w:num>
  <w:num w:numId="7">
    <w:abstractNumId w:val="2"/>
  </w:num>
  <w:num w:numId="8">
    <w:abstractNumId w:val="4"/>
  </w:num>
  <w:num w:numId="9">
    <w:abstractNumId w:val="0"/>
  </w:num>
  <w:num w:numId="10">
    <w:abstractNumId w:val="8"/>
  </w:num>
  <w:num w:numId="11">
    <w:abstractNumId w:val="7"/>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5wv09e4d2ts4ep5p55tspyrzpavxadxxsr&quot;&gt;Mental Health&lt;record-ids&gt;&lt;item&gt;5&lt;/item&gt;&lt;item&gt;6&lt;/item&gt;&lt;item&gt;10&lt;/item&gt;&lt;item&gt;12&lt;/item&gt;&lt;item&gt;14&lt;/item&gt;&lt;item&gt;15&lt;/item&gt;&lt;item&gt;19&lt;/item&gt;&lt;item&gt;20&lt;/item&gt;&lt;item&gt;29&lt;/item&gt;&lt;/record-ids&gt;&lt;/item&gt;&lt;/Libraries&gt;"/>
  </w:docVars>
  <w:rsids>
    <w:rsidRoot w:val="00715276"/>
    <w:rsid w:val="00036423"/>
    <w:rsid w:val="000571DC"/>
    <w:rsid w:val="0022086F"/>
    <w:rsid w:val="00411FB0"/>
    <w:rsid w:val="00443FA9"/>
    <w:rsid w:val="00531247"/>
    <w:rsid w:val="00715276"/>
    <w:rsid w:val="00776C16"/>
    <w:rsid w:val="00795869"/>
    <w:rsid w:val="007D7BFF"/>
    <w:rsid w:val="00890BFB"/>
    <w:rsid w:val="008D3C1F"/>
    <w:rsid w:val="009B1C77"/>
    <w:rsid w:val="00A3565C"/>
    <w:rsid w:val="00B05D1E"/>
    <w:rsid w:val="00B639B1"/>
    <w:rsid w:val="00BC527E"/>
    <w:rsid w:val="00C7295C"/>
    <w:rsid w:val="00DA26B1"/>
    <w:rsid w:val="00F00B8E"/>
    <w:rsid w:val="00F2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6"/>
    <w:pPr>
      <w:spacing w:after="160" w:line="259" w:lineRule="auto"/>
    </w:pPr>
  </w:style>
  <w:style w:type="paragraph" w:styleId="Heading1">
    <w:name w:val="heading 1"/>
    <w:basedOn w:val="Normal"/>
    <w:link w:val="Heading1Char"/>
    <w:uiPriority w:val="9"/>
    <w:qFormat/>
    <w:rsid w:val="00715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76"/>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715276"/>
    <w:rPr>
      <w:sz w:val="16"/>
      <w:szCs w:val="16"/>
    </w:rPr>
  </w:style>
  <w:style w:type="paragraph" w:styleId="CommentText">
    <w:name w:val="annotation text"/>
    <w:basedOn w:val="Normal"/>
    <w:link w:val="CommentTextChar"/>
    <w:uiPriority w:val="99"/>
    <w:unhideWhenUsed/>
    <w:rsid w:val="00715276"/>
    <w:pPr>
      <w:spacing w:line="240" w:lineRule="auto"/>
    </w:pPr>
    <w:rPr>
      <w:sz w:val="20"/>
      <w:szCs w:val="20"/>
    </w:rPr>
  </w:style>
  <w:style w:type="character" w:customStyle="1" w:styleId="CommentTextChar">
    <w:name w:val="Comment Text Char"/>
    <w:basedOn w:val="DefaultParagraphFont"/>
    <w:link w:val="CommentText"/>
    <w:uiPriority w:val="99"/>
    <w:rsid w:val="00715276"/>
    <w:rPr>
      <w:sz w:val="20"/>
      <w:szCs w:val="20"/>
    </w:rPr>
  </w:style>
  <w:style w:type="paragraph" w:styleId="CommentSubject">
    <w:name w:val="annotation subject"/>
    <w:basedOn w:val="CommentText"/>
    <w:next w:val="CommentText"/>
    <w:link w:val="CommentSubjectChar"/>
    <w:uiPriority w:val="99"/>
    <w:semiHidden/>
    <w:unhideWhenUsed/>
    <w:rsid w:val="00715276"/>
    <w:rPr>
      <w:b/>
      <w:bCs/>
    </w:rPr>
  </w:style>
  <w:style w:type="character" w:customStyle="1" w:styleId="CommentSubjectChar">
    <w:name w:val="Comment Subject Char"/>
    <w:basedOn w:val="CommentTextChar"/>
    <w:link w:val="CommentSubject"/>
    <w:uiPriority w:val="99"/>
    <w:semiHidden/>
    <w:rsid w:val="00715276"/>
    <w:rPr>
      <w:b/>
      <w:bCs/>
      <w:sz w:val="20"/>
      <w:szCs w:val="20"/>
    </w:rPr>
  </w:style>
  <w:style w:type="paragraph" w:styleId="BalloonText">
    <w:name w:val="Balloon Text"/>
    <w:basedOn w:val="Normal"/>
    <w:link w:val="BalloonTextChar"/>
    <w:uiPriority w:val="99"/>
    <w:semiHidden/>
    <w:unhideWhenUsed/>
    <w:rsid w:val="0071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76"/>
    <w:rPr>
      <w:rFonts w:ascii="Tahoma" w:hAnsi="Tahoma" w:cs="Tahoma"/>
      <w:sz w:val="16"/>
      <w:szCs w:val="16"/>
    </w:rPr>
  </w:style>
  <w:style w:type="character" w:styleId="Hyperlink">
    <w:name w:val="Hyperlink"/>
    <w:basedOn w:val="DefaultParagraphFont"/>
    <w:uiPriority w:val="99"/>
    <w:unhideWhenUsed/>
    <w:rsid w:val="00715276"/>
    <w:rPr>
      <w:color w:val="0000FF" w:themeColor="hyperlink"/>
      <w:u w:val="single"/>
    </w:rPr>
  </w:style>
  <w:style w:type="paragraph" w:styleId="ListParagraph">
    <w:name w:val="List Paragraph"/>
    <w:basedOn w:val="Normal"/>
    <w:uiPriority w:val="34"/>
    <w:qFormat/>
    <w:rsid w:val="00715276"/>
    <w:pPr>
      <w:ind w:left="720"/>
      <w:contextualSpacing/>
    </w:pPr>
  </w:style>
  <w:style w:type="paragraph" w:styleId="Header">
    <w:name w:val="header"/>
    <w:basedOn w:val="Normal"/>
    <w:link w:val="HeaderChar"/>
    <w:uiPriority w:val="99"/>
    <w:unhideWhenUsed/>
    <w:rsid w:val="0071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76"/>
  </w:style>
  <w:style w:type="paragraph" w:styleId="Footer">
    <w:name w:val="footer"/>
    <w:basedOn w:val="Normal"/>
    <w:link w:val="FooterChar"/>
    <w:uiPriority w:val="99"/>
    <w:unhideWhenUsed/>
    <w:rsid w:val="0071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76"/>
  </w:style>
  <w:style w:type="character" w:customStyle="1" w:styleId="apple-converted-space">
    <w:name w:val="apple-converted-space"/>
    <w:basedOn w:val="DefaultParagraphFont"/>
    <w:rsid w:val="00715276"/>
  </w:style>
  <w:style w:type="character" w:styleId="PlaceholderText">
    <w:name w:val="Placeholder Text"/>
    <w:basedOn w:val="DefaultParagraphFont"/>
    <w:uiPriority w:val="99"/>
    <w:semiHidden/>
    <w:rsid w:val="00715276"/>
    <w:rPr>
      <w:color w:val="808080"/>
    </w:rPr>
  </w:style>
  <w:style w:type="paragraph" w:customStyle="1" w:styleId="page-neutral-introcontent">
    <w:name w:val="page-neutral-intro__content"/>
    <w:basedOn w:val="Normal"/>
    <w:rsid w:val="00715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15276"/>
    <w:rPr>
      <w:color w:val="808080"/>
      <w:shd w:val="clear" w:color="auto" w:fill="E6E6E6"/>
    </w:rPr>
  </w:style>
  <w:style w:type="character" w:styleId="FollowedHyperlink">
    <w:name w:val="FollowedHyperlink"/>
    <w:basedOn w:val="DefaultParagraphFont"/>
    <w:uiPriority w:val="99"/>
    <w:semiHidden/>
    <w:unhideWhenUsed/>
    <w:rsid w:val="00715276"/>
    <w:rPr>
      <w:color w:val="800080" w:themeColor="followedHyperlink"/>
      <w:u w:val="single"/>
    </w:rPr>
  </w:style>
  <w:style w:type="table" w:styleId="TableGrid">
    <w:name w:val="Table Grid"/>
    <w:basedOn w:val="TableNormal"/>
    <w:uiPriority w:val="39"/>
    <w:rsid w:val="0071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5276"/>
    <w:rPr>
      <w:b/>
      <w:bCs/>
    </w:rPr>
  </w:style>
  <w:style w:type="paragraph" w:styleId="Revision">
    <w:name w:val="Revision"/>
    <w:hidden/>
    <w:uiPriority w:val="99"/>
    <w:semiHidden/>
    <w:rsid w:val="00715276"/>
    <w:pPr>
      <w:spacing w:after="0" w:line="240" w:lineRule="auto"/>
    </w:pPr>
  </w:style>
  <w:style w:type="paragraph" w:customStyle="1" w:styleId="Default">
    <w:name w:val="Default"/>
    <w:rsid w:val="007152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5276"/>
    <w:pPr>
      <w:spacing w:after="0" w:line="240" w:lineRule="auto"/>
    </w:pPr>
  </w:style>
  <w:style w:type="paragraph" w:styleId="FootnoteText">
    <w:name w:val="footnote text"/>
    <w:basedOn w:val="Normal"/>
    <w:link w:val="FootnoteTextChar"/>
    <w:uiPriority w:val="99"/>
    <w:semiHidden/>
    <w:unhideWhenUsed/>
    <w:rsid w:val="007D7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BFF"/>
    <w:rPr>
      <w:sz w:val="20"/>
      <w:szCs w:val="20"/>
    </w:rPr>
  </w:style>
  <w:style w:type="character" w:styleId="FootnoteReference">
    <w:name w:val="footnote reference"/>
    <w:basedOn w:val="DefaultParagraphFont"/>
    <w:uiPriority w:val="99"/>
    <w:semiHidden/>
    <w:unhideWhenUsed/>
    <w:rsid w:val="007D7B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6"/>
    <w:pPr>
      <w:spacing w:after="160" w:line="259" w:lineRule="auto"/>
    </w:pPr>
  </w:style>
  <w:style w:type="paragraph" w:styleId="Heading1">
    <w:name w:val="heading 1"/>
    <w:basedOn w:val="Normal"/>
    <w:link w:val="Heading1Char"/>
    <w:uiPriority w:val="9"/>
    <w:qFormat/>
    <w:rsid w:val="00715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76"/>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715276"/>
    <w:rPr>
      <w:sz w:val="16"/>
      <w:szCs w:val="16"/>
    </w:rPr>
  </w:style>
  <w:style w:type="paragraph" w:styleId="CommentText">
    <w:name w:val="annotation text"/>
    <w:basedOn w:val="Normal"/>
    <w:link w:val="CommentTextChar"/>
    <w:uiPriority w:val="99"/>
    <w:unhideWhenUsed/>
    <w:rsid w:val="00715276"/>
    <w:pPr>
      <w:spacing w:line="240" w:lineRule="auto"/>
    </w:pPr>
    <w:rPr>
      <w:sz w:val="20"/>
      <w:szCs w:val="20"/>
    </w:rPr>
  </w:style>
  <w:style w:type="character" w:customStyle="1" w:styleId="CommentTextChar">
    <w:name w:val="Comment Text Char"/>
    <w:basedOn w:val="DefaultParagraphFont"/>
    <w:link w:val="CommentText"/>
    <w:uiPriority w:val="99"/>
    <w:rsid w:val="00715276"/>
    <w:rPr>
      <w:sz w:val="20"/>
      <w:szCs w:val="20"/>
    </w:rPr>
  </w:style>
  <w:style w:type="paragraph" w:styleId="CommentSubject">
    <w:name w:val="annotation subject"/>
    <w:basedOn w:val="CommentText"/>
    <w:next w:val="CommentText"/>
    <w:link w:val="CommentSubjectChar"/>
    <w:uiPriority w:val="99"/>
    <w:semiHidden/>
    <w:unhideWhenUsed/>
    <w:rsid w:val="00715276"/>
    <w:rPr>
      <w:b/>
      <w:bCs/>
    </w:rPr>
  </w:style>
  <w:style w:type="character" w:customStyle="1" w:styleId="CommentSubjectChar">
    <w:name w:val="Comment Subject Char"/>
    <w:basedOn w:val="CommentTextChar"/>
    <w:link w:val="CommentSubject"/>
    <w:uiPriority w:val="99"/>
    <w:semiHidden/>
    <w:rsid w:val="00715276"/>
    <w:rPr>
      <w:b/>
      <w:bCs/>
      <w:sz w:val="20"/>
      <w:szCs w:val="20"/>
    </w:rPr>
  </w:style>
  <w:style w:type="paragraph" w:styleId="BalloonText">
    <w:name w:val="Balloon Text"/>
    <w:basedOn w:val="Normal"/>
    <w:link w:val="BalloonTextChar"/>
    <w:uiPriority w:val="99"/>
    <w:semiHidden/>
    <w:unhideWhenUsed/>
    <w:rsid w:val="0071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76"/>
    <w:rPr>
      <w:rFonts w:ascii="Tahoma" w:hAnsi="Tahoma" w:cs="Tahoma"/>
      <w:sz w:val="16"/>
      <w:szCs w:val="16"/>
    </w:rPr>
  </w:style>
  <w:style w:type="character" w:styleId="Hyperlink">
    <w:name w:val="Hyperlink"/>
    <w:basedOn w:val="DefaultParagraphFont"/>
    <w:uiPriority w:val="99"/>
    <w:unhideWhenUsed/>
    <w:rsid w:val="00715276"/>
    <w:rPr>
      <w:color w:val="0000FF" w:themeColor="hyperlink"/>
      <w:u w:val="single"/>
    </w:rPr>
  </w:style>
  <w:style w:type="paragraph" w:styleId="ListParagraph">
    <w:name w:val="List Paragraph"/>
    <w:basedOn w:val="Normal"/>
    <w:uiPriority w:val="34"/>
    <w:qFormat/>
    <w:rsid w:val="00715276"/>
    <w:pPr>
      <w:ind w:left="720"/>
      <w:contextualSpacing/>
    </w:pPr>
  </w:style>
  <w:style w:type="paragraph" w:styleId="Header">
    <w:name w:val="header"/>
    <w:basedOn w:val="Normal"/>
    <w:link w:val="HeaderChar"/>
    <w:uiPriority w:val="99"/>
    <w:unhideWhenUsed/>
    <w:rsid w:val="0071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76"/>
  </w:style>
  <w:style w:type="paragraph" w:styleId="Footer">
    <w:name w:val="footer"/>
    <w:basedOn w:val="Normal"/>
    <w:link w:val="FooterChar"/>
    <w:uiPriority w:val="99"/>
    <w:unhideWhenUsed/>
    <w:rsid w:val="0071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76"/>
  </w:style>
  <w:style w:type="character" w:customStyle="1" w:styleId="apple-converted-space">
    <w:name w:val="apple-converted-space"/>
    <w:basedOn w:val="DefaultParagraphFont"/>
    <w:rsid w:val="00715276"/>
  </w:style>
  <w:style w:type="character" w:styleId="PlaceholderText">
    <w:name w:val="Placeholder Text"/>
    <w:basedOn w:val="DefaultParagraphFont"/>
    <w:uiPriority w:val="99"/>
    <w:semiHidden/>
    <w:rsid w:val="00715276"/>
    <w:rPr>
      <w:color w:val="808080"/>
    </w:rPr>
  </w:style>
  <w:style w:type="paragraph" w:customStyle="1" w:styleId="page-neutral-introcontent">
    <w:name w:val="page-neutral-intro__content"/>
    <w:basedOn w:val="Normal"/>
    <w:rsid w:val="00715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15276"/>
    <w:rPr>
      <w:color w:val="808080"/>
      <w:shd w:val="clear" w:color="auto" w:fill="E6E6E6"/>
    </w:rPr>
  </w:style>
  <w:style w:type="character" w:styleId="FollowedHyperlink">
    <w:name w:val="FollowedHyperlink"/>
    <w:basedOn w:val="DefaultParagraphFont"/>
    <w:uiPriority w:val="99"/>
    <w:semiHidden/>
    <w:unhideWhenUsed/>
    <w:rsid w:val="00715276"/>
    <w:rPr>
      <w:color w:val="800080" w:themeColor="followedHyperlink"/>
      <w:u w:val="single"/>
    </w:rPr>
  </w:style>
  <w:style w:type="table" w:styleId="TableGrid">
    <w:name w:val="Table Grid"/>
    <w:basedOn w:val="TableNormal"/>
    <w:uiPriority w:val="39"/>
    <w:rsid w:val="0071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5276"/>
    <w:rPr>
      <w:b/>
      <w:bCs/>
    </w:rPr>
  </w:style>
  <w:style w:type="paragraph" w:styleId="Revision">
    <w:name w:val="Revision"/>
    <w:hidden/>
    <w:uiPriority w:val="99"/>
    <w:semiHidden/>
    <w:rsid w:val="00715276"/>
    <w:pPr>
      <w:spacing w:after="0" w:line="240" w:lineRule="auto"/>
    </w:pPr>
  </w:style>
  <w:style w:type="paragraph" w:customStyle="1" w:styleId="Default">
    <w:name w:val="Default"/>
    <w:rsid w:val="007152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5276"/>
    <w:pPr>
      <w:spacing w:after="0" w:line="240" w:lineRule="auto"/>
    </w:pPr>
  </w:style>
  <w:style w:type="paragraph" w:styleId="FootnoteText">
    <w:name w:val="footnote text"/>
    <w:basedOn w:val="Normal"/>
    <w:link w:val="FootnoteTextChar"/>
    <w:uiPriority w:val="99"/>
    <w:semiHidden/>
    <w:unhideWhenUsed/>
    <w:rsid w:val="007D7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BFF"/>
    <w:rPr>
      <w:sz w:val="20"/>
      <w:szCs w:val="20"/>
    </w:rPr>
  </w:style>
  <w:style w:type="character" w:styleId="FootnoteReference">
    <w:name w:val="footnote reference"/>
    <w:basedOn w:val="DefaultParagraphFont"/>
    <w:uiPriority w:val="99"/>
    <w:semiHidden/>
    <w:unhideWhenUsed/>
    <w:rsid w:val="007D7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dictionary.nhs.uk/data_dictionary/data_field_notes/i/in/intended_clinical_care_intensity_code_(mental_health)_de.asp?query=intended%20intensity%20code&amp;rank=1&amp;shownav=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gland.nhs.uk/wp-content/uploads/2016/04/3-rep-elland-all-sections.pdf" TargetMode="External"/><Relationship Id="rId4" Type="http://schemas.openxmlformats.org/officeDocument/2006/relationships/settings" Target="settings.xml"/><Relationship Id="rId9" Type="http://schemas.openxmlformats.org/officeDocument/2006/relationships/hyperlink" Target="http://www.datadictionary.nhs.uk/data_dictionary/attributes/c/cla/clinical_care_intensity_de.asp?showna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Anselmi</dc:creator>
  <cp:lastModifiedBy>Laura Anselmi</cp:lastModifiedBy>
  <cp:revision>3</cp:revision>
  <dcterms:created xsi:type="dcterms:W3CDTF">2019-04-02T18:43:00Z</dcterms:created>
  <dcterms:modified xsi:type="dcterms:W3CDTF">2019-04-02T18:44:00Z</dcterms:modified>
</cp:coreProperties>
</file>