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0E385" w14:textId="77777777" w:rsidR="00E21374" w:rsidRDefault="00E21374" w:rsidP="00E21374">
      <w:pPr>
        <w:pStyle w:val="Heading1"/>
      </w:pPr>
      <w:r>
        <w:t>Quality assurance</w:t>
      </w:r>
    </w:p>
    <w:p w14:paraId="7A151079" w14:textId="77777777" w:rsidR="00E21374" w:rsidRDefault="00E21374" w:rsidP="00E21374">
      <w:r>
        <w:t xml:space="preserve">To address the risk of bias in relation to the quality of studies included in our meta-analysis we devised a quality scoring system with which we assessed each individual study that entered the final stage of analysis. The quality assurance control was performed in a consensus meeting attended by co-authors (KI, RH, SRC, two experienced psychiatrists and one experienced research assistant). In the meeting all papers in scope were assessed against the quality standard individually and received a score between 0-10. This was then used for moderation analysis to ascertain whether the quality of studies influenced the pooled effect estimate. </w:t>
      </w:r>
    </w:p>
    <w:p w14:paraId="1525E3C7" w14:textId="77777777" w:rsidR="00E21374" w:rsidRDefault="00E21374" w:rsidP="00E21374">
      <w:r>
        <w:t xml:space="preserve">In more detail, our scoring system consisted of 10 items. The items were chosen based on standard quality approaches, but also tailored to the specific parameters that the authors considered important for the specific field under study. Studies attracted one point for including each of the following 1) a screening tool for Internet addiction (including IAT, DCIA-C, YDQ </w:t>
      </w:r>
      <w:proofErr w:type="spellStart"/>
      <w:r>
        <w:t>etc</w:t>
      </w:r>
      <w:proofErr w:type="spellEnd"/>
      <w:r>
        <w:t>) 2) a diagnostic interview of problematic internet use 3) a report of co-morbidities assessed using an appropriate method (e.g. MINI, DSM-IV or equivalent) including mood and anxiety disorders 4) a report of substance misuse co-morbidities assessed using an appropriate method (e.g. MINI, DSM-IV or equivalent) 5) a report of attention-deficit hyperactivity disorder assessed using an appropriate method (e.g. DIVA, ASRS or equivalent) or a measure of impulsivity (e.g. BIS) 6) a report of impulse control disorders and/or gambling assessed using an appropriate method (e.g. MIDI or equivalent) 7) an IQ measure 8) a report of level of education or equivalent 9) a report of appropriate cognitive performance measures (e.g. Stroop effect for attentional inhibition) 10) a numerical report of cognitive performance measures (e.g. mean, standard deviation or equivalent).</w:t>
      </w:r>
    </w:p>
    <w:p w14:paraId="3CA2015B" w14:textId="188BBA2C" w:rsidR="00E21374" w:rsidRDefault="00E21374" w:rsidP="00E21374">
      <w:pPr>
        <w:pStyle w:val="Heading2"/>
      </w:pPr>
      <w:r>
        <w:t>TABLE S1 – Quality measures of studies</w:t>
      </w:r>
    </w:p>
    <w:tbl>
      <w:tblPr>
        <w:tblStyle w:val="TableGrid"/>
        <w:tblW w:w="10456" w:type="dxa"/>
        <w:tblLook w:val="04A0" w:firstRow="1" w:lastRow="0" w:firstColumn="1" w:lastColumn="0" w:noHBand="0" w:noVBand="1"/>
      </w:tblPr>
      <w:tblGrid>
        <w:gridCol w:w="1743"/>
        <w:gridCol w:w="1080"/>
        <w:gridCol w:w="633"/>
        <w:gridCol w:w="664"/>
        <w:gridCol w:w="922"/>
        <w:gridCol w:w="664"/>
        <w:gridCol w:w="664"/>
        <w:gridCol w:w="663"/>
        <w:gridCol w:w="535"/>
        <w:gridCol w:w="535"/>
        <w:gridCol w:w="1053"/>
        <w:gridCol w:w="552"/>
        <w:gridCol w:w="748"/>
      </w:tblGrid>
      <w:tr w:rsidR="00E21374" w:rsidRPr="00D34991" w14:paraId="203D9CF5" w14:textId="77777777" w:rsidTr="00E21374">
        <w:trPr>
          <w:cantSplit/>
          <w:trHeight w:val="1664"/>
        </w:trPr>
        <w:tc>
          <w:tcPr>
            <w:tcW w:w="1743" w:type="dxa"/>
            <w:shd w:val="clear" w:color="auto" w:fill="F2F2F2" w:themeFill="background1" w:themeFillShade="F2"/>
            <w:noWrap/>
            <w:hideMark/>
          </w:tcPr>
          <w:p w14:paraId="2E1AD3E8" w14:textId="77777777" w:rsidR="00E21374" w:rsidRPr="00D34991" w:rsidRDefault="00E21374" w:rsidP="00E21374">
            <w:pPr>
              <w:spacing w:line="240" w:lineRule="auto"/>
              <w:jc w:val="center"/>
              <w:rPr>
                <w:rFonts w:eastAsia="Times New Roman" w:cstheme="minorHAnsi"/>
                <w:b/>
                <w:bCs/>
                <w:color w:val="000000"/>
                <w:sz w:val="20"/>
                <w:szCs w:val="20"/>
                <w:lang w:eastAsia="en-GB"/>
              </w:rPr>
            </w:pPr>
          </w:p>
          <w:p w14:paraId="56402892" w14:textId="77777777" w:rsidR="00E21374" w:rsidRPr="00D34991" w:rsidRDefault="00E21374" w:rsidP="00E21374">
            <w:pPr>
              <w:spacing w:line="240" w:lineRule="auto"/>
              <w:jc w:val="center"/>
              <w:rPr>
                <w:rFonts w:eastAsia="Times New Roman" w:cstheme="minorHAnsi"/>
                <w:b/>
                <w:bCs/>
                <w:color w:val="000000"/>
                <w:sz w:val="20"/>
                <w:szCs w:val="20"/>
                <w:lang w:eastAsia="en-GB"/>
              </w:rPr>
            </w:pPr>
          </w:p>
          <w:p w14:paraId="76615934" w14:textId="77777777" w:rsidR="00E21374" w:rsidRPr="00D34991" w:rsidRDefault="00E21374" w:rsidP="00E21374">
            <w:pPr>
              <w:spacing w:line="240" w:lineRule="auto"/>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Paper</w:t>
            </w:r>
          </w:p>
        </w:tc>
        <w:tc>
          <w:tcPr>
            <w:tcW w:w="1080" w:type="dxa"/>
            <w:shd w:val="clear" w:color="auto" w:fill="F2F2F2" w:themeFill="background1" w:themeFillShade="F2"/>
            <w:textDirection w:val="btLr"/>
          </w:tcPr>
          <w:p w14:paraId="0FA81CE0"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Pr>
                <w:rFonts w:eastAsia="Times New Roman" w:cstheme="minorHAnsi"/>
                <w:b/>
                <w:bCs/>
                <w:color w:val="000000"/>
                <w:sz w:val="20"/>
                <w:szCs w:val="20"/>
                <w:lang w:eastAsia="en-GB"/>
              </w:rPr>
              <w:t>Task</w:t>
            </w:r>
          </w:p>
        </w:tc>
        <w:tc>
          <w:tcPr>
            <w:tcW w:w="633" w:type="dxa"/>
            <w:shd w:val="clear" w:color="auto" w:fill="F2F2F2" w:themeFill="background1" w:themeFillShade="F2"/>
            <w:noWrap/>
            <w:textDirection w:val="btLr"/>
            <w:hideMark/>
          </w:tcPr>
          <w:p w14:paraId="3F686FF4"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Diagnostic Interview</w:t>
            </w:r>
          </w:p>
        </w:tc>
        <w:tc>
          <w:tcPr>
            <w:tcW w:w="664" w:type="dxa"/>
            <w:shd w:val="clear" w:color="auto" w:fill="F2F2F2" w:themeFill="background1" w:themeFillShade="F2"/>
            <w:noWrap/>
            <w:textDirection w:val="btLr"/>
            <w:hideMark/>
          </w:tcPr>
          <w:p w14:paraId="249BAE6C"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Diagnostic screening tool</w:t>
            </w:r>
          </w:p>
        </w:tc>
        <w:tc>
          <w:tcPr>
            <w:tcW w:w="922" w:type="dxa"/>
            <w:shd w:val="clear" w:color="auto" w:fill="F2F2F2" w:themeFill="background1" w:themeFillShade="F2"/>
            <w:noWrap/>
            <w:textDirection w:val="btLr"/>
            <w:hideMark/>
          </w:tcPr>
          <w:p w14:paraId="037F235B"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Mood and anxiety disorders</w:t>
            </w:r>
          </w:p>
        </w:tc>
        <w:tc>
          <w:tcPr>
            <w:tcW w:w="664" w:type="dxa"/>
            <w:shd w:val="clear" w:color="auto" w:fill="F2F2F2" w:themeFill="background1" w:themeFillShade="F2"/>
            <w:noWrap/>
            <w:textDirection w:val="btLr"/>
            <w:hideMark/>
          </w:tcPr>
          <w:p w14:paraId="3F7BFD6D"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Substance misuse</w:t>
            </w:r>
          </w:p>
        </w:tc>
        <w:tc>
          <w:tcPr>
            <w:tcW w:w="664" w:type="dxa"/>
            <w:shd w:val="clear" w:color="auto" w:fill="F2F2F2" w:themeFill="background1" w:themeFillShade="F2"/>
            <w:noWrap/>
            <w:textDirection w:val="btLr"/>
            <w:hideMark/>
          </w:tcPr>
          <w:p w14:paraId="12B60E40"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Impulse control /gambling</w:t>
            </w:r>
          </w:p>
        </w:tc>
        <w:tc>
          <w:tcPr>
            <w:tcW w:w="663" w:type="dxa"/>
            <w:shd w:val="clear" w:color="auto" w:fill="F2F2F2" w:themeFill="background1" w:themeFillShade="F2"/>
            <w:noWrap/>
            <w:textDirection w:val="btLr"/>
            <w:hideMark/>
          </w:tcPr>
          <w:p w14:paraId="6D4D63F2"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ADHD and/or impulsivity</w:t>
            </w:r>
          </w:p>
        </w:tc>
        <w:tc>
          <w:tcPr>
            <w:tcW w:w="535" w:type="dxa"/>
            <w:shd w:val="clear" w:color="auto" w:fill="F2F2F2" w:themeFill="background1" w:themeFillShade="F2"/>
            <w:noWrap/>
            <w:textDirection w:val="btLr"/>
            <w:hideMark/>
          </w:tcPr>
          <w:p w14:paraId="4D002BAE"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IQ measure</w:t>
            </w:r>
          </w:p>
        </w:tc>
        <w:tc>
          <w:tcPr>
            <w:tcW w:w="535" w:type="dxa"/>
            <w:shd w:val="clear" w:color="auto" w:fill="F2F2F2" w:themeFill="background1" w:themeFillShade="F2"/>
            <w:noWrap/>
            <w:textDirection w:val="btLr"/>
            <w:hideMark/>
          </w:tcPr>
          <w:p w14:paraId="1A989A4A"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Education</w:t>
            </w:r>
          </w:p>
        </w:tc>
        <w:tc>
          <w:tcPr>
            <w:tcW w:w="1053" w:type="dxa"/>
            <w:shd w:val="clear" w:color="auto" w:fill="F2F2F2" w:themeFill="background1" w:themeFillShade="F2"/>
            <w:noWrap/>
            <w:textDirection w:val="btLr"/>
            <w:hideMark/>
          </w:tcPr>
          <w:p w14:paraId="6B63C7D2"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Appropriate Cognitive performance measures</w:t>
            </w:r>
          </w:p>
        </w:tc>
        <w:tc>
          <w:tcPr>
            <w:tcW w:w="552" w:type="dxa"/>
            <w:shd w:val="clear" w:color="auto" w:fill="F2F2F2" w:themeFill="background1" w:themeFillShade="F2"/>
            <w:noWrap/>
            <w:textDirection w:val="btLr"/>
            <w:hideMark/>
          </w:tcPr>
          <w:p w14:paraId="6DF5B34E" w14:textId="77777777" w:rsidR="00E21374" w:rsidRPr="00D34991" w:rsidRDefault="00E21374" w:rsidP="00E21374">
            <w:pPr>
              <w:spacing w:line="240" w:lineRule="auto"/>
              <w:ind w:left="113" w:right="113"/>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Data reporting</w:t>
            </w:r>
          </w:p>
        </w:tc>
        <w:tc>
          <w:tcPr>
            <w:tcW w:w="748" w:type="dxa"/>
            <w:shd w:val="clear" w:color="auto" w:fill="F2F2F2" w:themeFill="background1" w:themeFillShade="F2"/>
            <w:noWrap/>
            <w:hideMark/>
          </w:tcPr>
          <w:p w14:paraId="05ECA675" w14:textId="77777777" w:rsidR="00E21374" w:rsidRPr="00D34991" w:rsidRDefault="00E21374" w:rsidP="00E21374">
            <w:pPr>
              <w:spacing w:line="240" w:lineRule="auto"/>
              <w:jc w:val="center"/>
              <w:rPr>
                <w:rFonts w:eastAsia="Times New Roman" w:cstheme="minorHAnsi"/>
                <w:b/>
                <w:bCs/>
                <w:color w:val="000000"/>
                <w:sz w:val="20"/>
                <w:szCs w:val="20"/>
                <w:lang w:eastAsia="en-GB"/>
              </w:rPr>
            </w:pPr>
          </w:p>
          <w:p w14:paraId="62BA985D" w14:textId="77777777" w:rsidR="00E21374" w:rsidRPr="00D34991" w:rsidRDefault="00E21374" w:rsidP="00E21374">
            <w:pPr>
              <w:spacing w:line="240" w:lineRule="auto"/>
              <w:jc w:val="center"/>
              <w:rPr>
                <w:rFonts w:eastAsia="Times New Roman" w:cstheme="minorHAnsi"/>
                <w:b/>
                <w:bCs/>
                <w:color w:val="000000"/>
                <w:sz w:val="20"/>
                <w:szCs w:val="20"/>
                <w:lang w:eastAsia="en-GB"/>
              </w:rPr>
            </w:pPr>
          </w:p>
          <w:p w14:paraId="2B741B07" w14:textId="77777777" w:rsidR="00E21374" w:rsidRPr="00D34991" w:rsidRDefault="00E21374" w:rsidP="00E21374">
            <w:pPr>
              <w:spacing w:line="240" w:lineRule="auto"/>
              <w:jc w:val="center"/>
              <w:rPr>
                <w:rFonts w:eastAsia="Times New Roman" w:cstheme="minorHAnsi"/>
                <w:b/>
                <w:bCs/>
                <w:color w:val="000000"/>
                <w:sz w:val="20"/>
                <w:szCs w:val="20"/>
                <w:lang w:eastAsia="en-GB"/>
              </w:rPr>
            </w:pPr>
            <w:r w:rsidRPr="00D34991">
              <w:rPr>
                <w:rFonts w:eastAsia="Times New Roman" w:cstheme="minorHAnsi"/>
                <w:b/>
                <w:bCs/>
                <w:color w:val="000000"/>
                <w:sz w:val="20"/>
                <w:szCs w:val="20"/>
                <w:lang w:eastAsia="en-GB"/>
              </w:rPr>
              <w:t>Total</w:t>
            </w:r>
          </w:p>
        </w:tc>
      </w:tr>
      <w:tr w:rsidR="00E21374" w:rsidRPr="00D34991" w14:paraId="3F005FA4" w14:textId="77777777" w:rsidTr="00E21374">
        <w:trPr>
          <w:trHeight w:val="300"/>
        </w:trPr>
        <w:tc>
          <w:tcPr>
            <w:tcW w:w="1743" w:type="dxa"/>
            <w:noWrap/>
            <w:hideMark/>
          </w:tcPr>
          <w:p w14:paraId="76BB2C6E"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Cai</w:t>
            </w:r>
            <w:proofErr w:type="spellEnd"/>
            <w:r w:rsidRPr="00D34991">
              <w:rPr>
                <w:rFonts w:eastAsia="Times New Roman" w:cstheme="minorHAnsi"/>
                <w:color w:val="000000"/>
                <w:sz w:val="20"/>
                <w:szCs w:val="20"/>
                <w:lang w:eastAsia="en-GB"/>
              </w:rPr>
              <w:t xml:space="preserve"> et al., Brain </w:t>
            </w:r>
            <w:proofErr w:type="spellStart"/>
            <w:r w:rsidRPr="00D34991">
              <w:rPr>
                <w:rFonts w:eastAsia="Times New Roman" w:cstheme="minorHAnsi"/>
                <w:color w:val="000000"/>
                <w:sz w:val="20"/>
                <w:szCs w:val="20"/>
                <w:lang w:eastAsia="en-GB"/>
              </w:rPr>
              <w:t>Imag</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2016</w:t>
            </w:r>
          </w:p>
        </w:tc>
        <w:tc>
          <w:tcPr>
            <w:tcW w:w="1080" w:type="dxa"/>
          </w:tcPr>
          <w:p w14:paraId="05A47878"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11AE347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3206F4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E5A0F1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002FCA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DA3EEE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751027D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07D672B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48FB0B0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61E2E8C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59080C7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24D29DE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5</w:t>
            </w:r>
          </w:p>
        </w:tc>
      </w:tr>
      <w:tr w:rsidR="00E21374" w:rsidRPr="00D34991" w14:paraId="423A2412" w14:textId="77777777" w:rsidTr="00E21374">
        <w:trPr>
          <w:trHeight w:val="300"/>
        </w:trPr>
        <w:tc>
          <w:tcPr>
            <w:tcW w:w="1743" w:type="dxa"/>
            <w:noWrap/>
            <w:hideMark/>
          </w:tcPr>
          <w:p w14:paraId="0C61DD50"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Chamberlain et al., CNS Specs, 2017</w:t>
            </w:r>
          </w:p>
        </w:tc>
        <w:tc>
          <w:tcPr>
            <w:tcW w:w="1080" w:type="dxa"/>
          </w:tcPr>
          <w:p w14:paraId="21740B86"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7BEAD5C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B17A1F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4AE1C0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67656D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4EF551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3" w:type="dxa"/>
            <w:noWrap/>
            <w:hideMark/>
          </w:tcPr>
          <w:p w14:paraId="1C9F65E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A1480E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FA28DD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A283C1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496D14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28E7086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3DAC85D2" w14:textId="77777777" w:rsidTr="00E21374">
        <w:trPr>
          <w:trHeight w:val="300"/>
        </w:trPr>
        <w:tc>
          <w:tcPr>
            <w:tcW w:w="1743" w:type="dxa"/>
            <w:noWrap/>
            <w:hideMark/>
          </w:tcPr>
          <w:p w14:paraId="4B869969"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lastRenderedPageBreak/>
              <w:t xml:space="preserve">Chamberlain et </w:t>
            </w:r>
            <w:proofErr w:type="spellStart"/>
            <w:r w:rsidRPr="00D34991">
              <w:rPr>
                <w:rFonts w:eastAsia="Times New Roman" w:cstheme="minorHAnsi"/>
                <w:color w:val="000000"/>
                <w:sz w:val="20"/>
                <w:szCs w:val="20"/>
                <w:lang w:eastAsia="en-GB"/>
              </w:rPr>
              <w:t>al.,CNS</w:t>
            </w:r>
            <w:proofErr w:type="spellEnd"/>
            <w:r w:rsidRPr="00D34991">
              <w:rPr>
                <w:rFonts w:eastAsia="Times New Roman" w:cstheme="minorHAnsi"/>
                <w:color w:val="000000"/>
                <w:sz w:val="20"/>
                <w:szCs w:val="20"/>
                <w:lang w:eastAsia="en-GB"/>
              </w:rPr>
              <w:t xml:space="preserve"> Specs, 2017</w:t>
            </w:r>
          </w:p>
        </w:tc>
        <w:tc>
          <w:tcPr>
            <w:tcW w:w="1080" w:type="dxa"/>
          </w:tcPr>
          <w:p w14:paraId="05B826F1" w14:textId="77777777" w:rsidR="00E21374" w:rsidRPr="00A00E5B" w:rsidRDefault="00E21374" w:rsidP="00E21374">
            <w:pPr>
              <w:spacing w:line="240" w:lineRule="auto"/>
              <w:rPr>
                <w:sz w:val="18"/>
                <w:szCs w:val="18"/>
              </w:rPr>
            </w:pPr>
            <w:r w:rsidRPr="00A00E5B">
              <w:rPr>
                <w:sz w:val="18"/>
                <w:szCs w:val="18"/>
              </w:rPr>
              <w:t>SSRT</w:t>
            </w:r>
          </w:p>
        </w:tc>
        <w:tc>
          <w:tcPr>
            <w:tcW w:w="633" w:type="dxa"/>
            <w:noWrap/>
            <w:hideMark/>
          </w:tcPr>
          <w:p w14:paraId="04BA9E3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65402A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FF6079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C8D5C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622B35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3" w:type="dxa"/>
            <w:noWrap/>
            <w:hideMark/>
          </w:tcPr>
          <w:p w14:paraId="0C47728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C00FE3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3D25F3D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7407D00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6AC559D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01556B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4A4EEF49" w14:textId="77777777" w:rsidTr="00E21374">
        <w:trPr>
          <w:trHeight w:val="300"/>
        </w:trPr>
        <w:tc>
          <w:tcPr>
            <w:tcW w:w="1743" w:type="dxa"/>
            <w:noWrap/>
            <w:hideMark/>
          </w:tcPr>
          <w:p w14:paraId="1E968CE0"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Chamberlain et </w:t>
            </w:r>
            <w:proofErr w:type="spellStart"/>
            <w:r w:rsidRPr="00D34991">
              <w:rPr>
                <w:rFonts w:eastAsia="Times New Roman" w:cstheme="minorHAnsi"/>
                <w:color w:val="000000"/>
                <w:sz w:val="20"/>
                <w:szCs w:val="20"/>
                <w:lang w:eastAsia="en-GB"/>
              </w:rPr>
              <w:t>al.,CNS</w:t>
            </w:r>
            <w:proofErr w:type="spellEnd"/>
            <w:r w:rsidRPr="00D34991">
              <w:rPr>
                <w:rFonts w:eastAsia="Times New Roman" w:cstheme="minorHAnsi"/>
                <w:color w:val="000000"/>
                <w:sz w:val="20"/>
                <w:szCs w:val="20"/>
                <w:lang w:eastAsia="en-GB"/>
              </w:rPr>
              <w:t xml:space="preserve"> Specs, 2017</w:t>
            </w:r>
          </w:p>
        </w:tc>
        <w:tc>
          <w:tcPr>
            <w:tcW w:w="1080" w:type="dxa"/>
          </w:tcPr>
          <w:p w14:paraId="10A74113" w14:textId="77777777" w:rsidR="00E21374" w:rsidRPr="00A00E5B" w:rsidRDefault="00E21374" w:rsidP="00E21374">
            <w:pPr>
              <w:spacing w:line="240" w:lineRule="auto"/>
              <w:rPr>
                <w:sz w:val="18"/>
                <w:szCs w:val="18"/>
              </w:rPr>
            </w:pPr>
            <w:r w:rsidRPr="00A00E5B">
              <w:rPr>
                <w:sz w:val="18"/>
                <w:szCs w:val="18"/>
              </w:rPr>
              <w:t>Working memory</w:t>
            </w:r>
          </w:p>
        </w:tc>
        <w:tc>
          <w:tcPr>
            <w:tcW w:w="633" w:type="dxa"/>
            <w:noWrap/>
            <w:hideMark/>
          </w:tcPr>
          <w:p w14:paraId="7B78254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B3A270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10F7E72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16A773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C6C427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3" w:type="dxa"/>
            <w:noWrap/>
            <w:hideMark/>
          </w:tcPr>
          <w:p w14:paraId="203F702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3CBE719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1189D7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585F03B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01DDFE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2522FCF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3F1FFD5F" w14:textId="77777777" w:rsidTr="00E21374">
        <w:trPr>
          <w:trHeight w:val="300"/>
        </w:trPr>
        <w:tc>
          <w:tcPr>
            <w:tcW w:w="1743" w:type="dxa"/>
            <w:noWrap/>
            <w:hideMark/>
          </w:tcPr>
          <w:p w14:paraId="513EAAC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Chen et al., Psych and </w:t>
            </w:r>
            <w:proofErr w:type="spellStart"/>
            <w:r w:rsidRPr="00D34991">
              <w:rPr>
                <w:rFonts w:eastAsia="Times New Roman" w:cstheme="minorHAnsi"/>
                <w:color w:val="000000"/>
                <w:sz w:val="20"/>
                <w:szCs w:val="20"/>
                <w:lang w:eastAsia="en-GB"/>
              </w:rPr>
              <w:t>Clin</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w:t>
            </w:r>
            <w:proofErr w:type="spellEnd"/>
            <w:r w:rsidRPr="00D34991">
              <w:rPr>
                <w:rFonts w:eastAsia="Times New Roman" w:cstheme="minorHAnsi"/>
                <w:color w:val="000000"/>
                <w:sz w:val="20"/>
                <w:szCs w:val="20"/>
                <w:lang w:eastAsia="en-GB"/>
              </w:rPr>
              <w:t>, 2014</w:t>
            </w:r>
          </w:p>
        </w:tc>
        <w:tc>
          <w:tcPr>
            <w:tcW w:w="1080" w:type="dxa"/>
          </w:tcPr>
          <w:p w14:paraId="6C2A2CF1"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290B108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88642B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1B961D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7FEBFB6D"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664" w:type="dxa"/>
            <w:noWrap/>
            <w:hideMark/>
          </w:tcPr>
          <w:p w14:paraId="1B1981E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C986330"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35" w:type="dxa"/>
            <w:noWrap/>
            <w:hideMark/>
          </w:tcPr>
          <w:p w14:paraId="3D22091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DC3C3B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3A3765A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7A44416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278F4A3E"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7</w:t>
            </w:r>
          </w:p>
        </w:tc>
      </w:tr>
      <w:tr w:rsidR="00E21374" w:rsidRPr="00D34991" w14:paraId="4449304C" w14:textId="77777777" w:rsidTr="00E21374">
        <w:trPr>
          <w:trHeight w:val="300"/>
        </w:trPr>
        <w:tc>
          <w:tcPr>
            <w:tcW w:w="1743" w:type="dxa"/>
            <w:noWrap/>
            <w:hideMark/>
          </w:tcPr>
          <w:p w14:paraId="4947FEFA"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Choi et al., </w:t>
            </w:r>
            <w:proofErr w:type="spellStart"/>
            <w:r w:rsidRPr="00D34991">
              <w:rPr>
                <w:rFonts w:eastAsia="Times New Roman" w:cstheme="minorHAnsi"/>
                <w:color w:val="000000"/>
                <w:sz w:val="20"/>
                <w:szCs w:val="20"/>
                <w:lang w:eastAsia="en-GB"/>
              </w:rPr>
              <w:t>Int</w:t>
            </w:r>
            <w:proofErr w:type="spellEnd"/>
            <w:r w:rsidRPr="00D34991">
              <w:rPr>
                <w:rFonts w:eastAsia="Times New Roman" w:cstheme="minorHAnsi"/>
                <w:color w:val="000000"/>
                <w:sz w:val="20"/>
                <w:szCs w:val="20"/>
                <w:lang w:eastAsia="en-GB"/>
              </w:rPr>
              <w:t xml:space="preserve"> J of </w:t>
            </w:r>
            <w:proofErr w:type="spellStart"/>
            <w:r w:rsidRPr="00D34991">
              <w:rPr>
                <w:rFonts w:eastAsia="Times New Roman" w:cstheme="minorHAnsi"/>
                <w:color w:val="000000"/>
                <w:sz w:val="20"/>
                <w:szCs w:val="20"/>
                <w:lang w:eastAsia="en-GB"/>
              </w:rPr>
              <w:t>Psychophys</w:t>
            </w:r>
            <w:proofErr w:type="spellEnd"/>
            <w:r w:rsidRPr="00D34991">
              <w:rPr>
                <w:rFonts w:eastAsia="Times New Roman" w:cstheme="minorHAnsi"/>
                <w:color w:val="000000"/>
                <w:sz w:val="20"/>
                <w:szCs w:val="20"/>
                <w:lang w:eastAsia="en-GB"/>
              </w:rPr>
              <w:t xml:space="preserve"> 2013</w:t>
            </w:r>
          </w:p>
        </w:tc>
        <w:tc>
          <w:tcPr>
            <w:tcW w:w="1080" w:type="dxa"/>
          </w:tcPr>
          <w:p w14:paraId="6A0D9203" w14:textId="77777777" w:rsidR="00E21374" w:rsidRPr="00A00E5B" w:rsidRDefault="00E21374" w:rsidP="00E21374">
            <w:pPr>
              <w:spacing w:line="240" w:lineRule="auto"/>
              <w:rPr>
                <w:sz w:val="18"/>
                <w:szCs w:val="18"/>
              </w:rPr>
            </w:pPr>
            <w:r w:rsidRPr="00A00E5B">
              <w:rPr>
                <w:sz w:val="18"/>
                <w:szCs w:val="18"/>
              </w:rPr>
              <w:t>SSRT</w:t>
            </w:r>
          </w:p>
        </w:tc>
        <w:tc>
          <w:tcPr>
            <w:tcW w:w="633" w:type="dxa"/>
            <w:noWrap/>
            <w:hideMark/>
          </w:tcPr>
          <w:p w14:paraId="25A76B1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2C3F75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2F4C85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3B624C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DAE574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456852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763FCF0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8F6753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71FCB7C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0723D2A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454CD0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0625FA3A" w14:textId="77777777" w:rsidTr="00E21374">
        <w:trPr>
          <w:trHeight w:val="300"/>
        </w:trPr>
        <w:tc>
          <w:tcPr>
            <w:tcW w:w="1743" w:type="dxa"/>
            <w:noWrap/>
            <w:hideMark/>
          </w:tcPr>
          <w:p w14:paraId="46CEAF6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Choi et al., </w:t>
            </w:r>
            <w:proofErr w:type="spellStart"/>
            <w:r w:rsidRPr="00D34991">
              <w:rPr>
                <w:rFonts w:eastAsia="Times New Roman" w:cstheme="minorHAnsi"/>
                <w:color w:val="000000"/>
                <w:sz w:val="20"/>
                <w:szCs w:val="20"/>
                <w:lang w:eastAsia="en-GB"/>
              </w:rPr>
              <w:t>Journ</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Add, 2014</w:t>
            </w:r>
          </w:p>
        </w:tc>
        <w:tc>
          <w:tcPr>
            <w:tcW w:w="1080" w:type="dxa"/>
          </w:tcPr>
          <w:p w14:paraId="022BA317" w14:textId="77777777" w:rsidR="00E21374" w:rsidRPr="00A00E5B" w:rsidRDefault="00E21374" w:rsidP="00E21374">
            <w:pPr>
              <w:spacing w:line="240" w:lineRule="auto"/>
              <w:rPr>
                <w:sz w:val="18"/>
                <w:szCs w:val="18"/>
              </w:rPr>
            </w:pPr>
            <w:r w:rsidRPr="00A00E5B">
              <w:rPr>
                <w:sz w:val="18"/>
                <w:szCs w:val="18"/>
              </w:rPr>
              <w:t>SSRT</w:t>
            </w:r>
          </w:p>
        </w:tc>
        <w:tc>
          <w:tcPr>
            <w:tcW w:w="633" w:type="dxa"/>
            <w:noWrap/>
            <w:hideMark/>
          </w:tcPr>
          <w:p w14:paraId="5F1C645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F419C1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730F252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712405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23AE90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3" w:type="dxa"/>
            <w:noWrap/>
            <w:hideMark/>
          </w:tcPr>
          <w:p w14:paraId="290982F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6CF1E8A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1777B5A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6681615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C7F7ED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2313E0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0E3A055B" w14:textId="77777777" w:rsidTr="00E21374">
        <w:trPr>
          <w:trHeight w:val="300"/>
        </w:trPr>
        <w:tc>
          <w:tcPr>
            <w:tcW w:w="1743" w:type="dxa"/>
            <w:noWrap/>
            <w:hideMark/>
          </w:tcPr>
          <w:p w14:paraId="79FD287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Choi et al., Psych Res, 2014</w:t>
            </w:r>
          </w:p>
        </w:tc>
        <w:tc>
          <w:tcPr>
            <w:tcW w:w="1080" w:type="dxa"/>
          </w:tcPr>
          <w:p w14:paraId="000602D9"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01A7F9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41B85F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EEEE30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D89978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2880C0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1841985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77F40B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57E27BE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6B83B7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4CD0E7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9B05F0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8</w:t>
            </w:r>
          </w:p>
        </w:tc>
      </w:tr>
      <w:tr w:rsidR="00E21374" w:rsidRPr="00D34991" w14:paraId="4CA0F2C8" w14:textId="77777777" w:rsidTr="00E21374">
        <w:trPr>
          <w:trHeight w:val="300"/>
        </w:trPr>
        <w:tc>
          <w:tcPr>
            <w:tcW w:w="1743" w:type="dxa"/>
            <w:noWrap/>
            <w:hideMark/>
          </w:tcPr>
          <w:p w14:paraId="62EC32EC"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Ding et al.,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Brain </w:t>
            </w:r>
            <w:proofErr w:type="spellStart"/>
            <w:r w:rsidRPr="00D34991">
              <w:rPr>
                <w:rFonts w:eastAsia="Times New Roman" w:cstheme="minorHAnsi"/>
                <w:color w:val="000000"/>
                <w:sz w:val="20"/>
                <w:szCs w:val="20"/>
                <w:lang w:eastAsia="en-GB"/>
              </w:rPr>
              <w:t>Func</w:t>
            </w:r>
            <w:proofErr w:type="spellEnd"/>
            <w:r w:rsidRPr="00D34991">
              <w:rPr>
                <w:rFonts w:eastAsia="Times New Roman" w:cstheme="minorHAnsi"/>
                <w:color w:val="000000"/>
                <w:sz w:val="20"/>
                <w:szCs w:val="20"/>
                <w:lang w:eastAsia="en-GB"/>
              </w:rPr>
              <w:t>, 2014</w:t>
            </w:r>
          </w:p>
        </w:tc>
        <w:tc>
          <w:tcPr>
            <w:tcW w:w="1080" w:type="dxa"/>
          </w:tcPr>
          <w:p w14:paraId="1A6A70C9"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00759BD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AE7A81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42894A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3DAF01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139185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666A83B"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35" w:type="dxa"/>
            <w:noWrap/>
            <w:hideMark/>
          </w:tcPr>
          <w:p w14:paraId="2B5099E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E2C25C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EB270C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6E9DD29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7A4E98F"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8</w:t>
            </w:r>
          </w:p>
        </w:tc>
      </w:tr>
      <w:tr w:rsidR="00E21374" w:rsidRPr="00D34991" w14:paraId="4DF6EFB3" w14:textId="77777777" w:rsidTr="00E21374">
        <w:trPr>
          <w:trHeight w:val="300"/>
        </w:trPr>
        <w:tc>
          <w:tcPr>
            <w:tcW w:w="1743" w:type="dxa"/>
            <w:noWrap/>
            <w:hideMark/>
          </w:tcPr>
          <w:p w14:paraId="558EC8B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w:t>
            </w:r>
            <w:proofErr w:type="spellStart"/>
            <w:r w:rsidRPr="00D34991">
              <w:rPr>
                <w:rFonts w:eastAsia="Times New Roman" w:cstheme="minorHAnsi"/>
                <w:color w:val="000000"/>
                <w:sz w:val="20"/>
                <w:szCs w:val="20"/>
                <w:lang w:eastAsia="en-GB"/>
              </w:rPr>
              <w:t>Neurosci</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Lett</w:t>
            </w:r>
            <w:proofErr w:type="spellEnd"/>
            <w:r w:rsidRPr="00D34991">
              <w:rPr>
                <w:rFonts w:eastAsia="Times New Roman" w:cstheme="minorHAnsi"/>
                <w:color w:val="000000"/>
                <w:sz w:val="20"/>
                <w:szCs w:val="20"/>
                <w:lang w:eastAsia="en-GB"/>
              </w:rPr>
              <w:t>, 2011</w:t>
            </w:r>
          </w:p>
        </w:tc>
        <w:tc>
          <w:tcPr>
            <w:tcW w:w="1080" w:type="dxa"/>
          </w:tcPr>
          <w:p w14:paraId="61B6B0BA"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38A6BBC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F7E332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77C6C8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5B5C547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021B99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28D8C31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1EC069C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6A5B54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E2940E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7FAC00B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4A5213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3</w:t>
            </w:r>
          </w:p>
        </w:tc>
      </w:tr>
      <w:tr w:rsidR="00E21374" w:rsidRPr="00D34991" w14:paraId="2EE37239" w14:textId="77777777" w:rsidTr="00E21374">
        <w:trPr>
          <w:trHeight w:val="300"/>
        </w:trPr>
        <w:tc>
          <w:tcPr>
            <w:tcW w:w="1743" w:type="dxa"/>
            <w:noWrap/>
            <w:hideMark/>
          </w:tcPr>
          <w:p w14:paraId="155687E3"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Addict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2014</w:t>
            </w:r>
          </w:p>
        </w:tc>
        <w:tc>
          <w:tcPr>
            <w:tcW w:w="1080" w:type="dxa"/>
          </w:tcPr>
          <w:p w14:paraId="33A7CB7C"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47361A7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1A2B0A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95F096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DF9548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12C40E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29C33F9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26BD4A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3DCAF9F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EE4620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0A90A21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69A660F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5</w:t>
            </w:r>
          </w:p>
        </w:tc>
      </w:tr>
      <w:tr w:rsidR="00E21374" w:rsidRPr="00D34991" w14:paraId="13747B01" w14:textId="77777777" w:rsidTr="00E21374">
        <w:trPr>
          <w:trHeight w:val="300"/>
        </w:trPr>
        <w:tc>
          <w:tcPr>
            <w:tcW w:w="1743" w:type="dxa"/>
            <w:noWrap/>
            <w:hideMark/>
          </w:tcPr>
          <w:p w14:paraId="66A1C3E7"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Dong et al., Bio Psych, 2013</w:t>
            </w:r>
          </w:p>
        </w:tc>
        <w:tc>
          <w:tcPr>
            <w:tcW w:w="1080" w:type="dxa"/>
          </w:tcPr>
          <w:p w14:paraId="66E574E5"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0BC2585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9C3278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ED0CC9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B45DFE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2AB5DF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34167E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3F3B330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D224D6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800D79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235B8DE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A5FACC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47B559C7" w14:textId="77777777" w:rsidTr="00E21374">
        <w:trPr>
          <w:trHeight w:val="300"/>
        </w:trPr>
        <w:tc>
          <w:tcPr>
            <w:tcW w:w="1743" w:type="dxa"/>
            <w:noWrap/>
            <w:hideMark/>
          </w:tcPr>
          <w:p w14:paraId="769FA2FC"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w:t>
            </w:r>
            <w:proofErr w:type="spellStart"/>
            <w:r w:rsidRPr="00D34991">
              <w:rPr>
                <w:rFonts w:eastAsia="Times New Roman" w:cstheme="minorHAnsi"/>
                <w:color w:val="000000"/>
                <w:sz w:val="20"/>
                <w:szCs w:val="20"/>
                <w:lang w:eastAsia="en-GB"/>
              </w:rPr>
              <w:t>Eur</w:t>
            </w:r>
            <w:proofErr w:type="spellEnd"/>
            <w:r w:rsidRPr="00D34991">
              <w:rPr>
                <w:rFonts w:eastAsia="Times New Roman" w:cstheme="minorHAnsi"/>
                <w:color w:val="000000"/>
                <w:sz w:val="20"/>
                <w:szCs w:val="20"/>
                <w:lang w:eastAsia="en-GB"/>
              </w:rPr>
              <w:t xml:space="preserve"> Addict Res, 2013</w:t>
            </w:r>
          </w:p>
        </w:tc>
        <w:tc>
          <w:tcPr>
            <w:tcW w:w="1080" w:type="dxa"/>
          </w:tcPr>
          <w:p w14:paraId="653CA4A4"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6285149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674167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E8D8CE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7630E9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E33E28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785C11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14E433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2763C7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6CFBBCF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108D07A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D6A727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5</w:t>
            </w:r>
          </w:p>
        </w:tc>
      </w:tr>
      <w:tr w:rsidR="00E21374" w:rsidRPr="00D34991" w14:paraId="2DF84D73" w14:textId="77777777" w:rsidTr="00E21374">
        <w:trPr>
          <w:trHeight w:val="300"/>
        </w:trPr>
        <w:tc>
          <w:tcPr>
            <w:tcW w:w="1743" w:type="dxa"/>
            <w:noWrap/>
            <w:hideMark/>
          </w:tcPr>
          <w:p w14:paraId="13420362"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w:t>
            </w:r>
            <w:proofErr w:type="spellStart"/>
            <w:r w:rsidRPr="00D34991">
              <w:rPr>
                <w:rFonts w:eastAsia="Times New Roman" w:cstheme="minorHAnsi"/>
                <w:color w:val="000000"/>
                <w:sz w:val="20"/>
                <w:szCs w:val="20"/>
                <w:lang w:eastAsia="en-GB"/>
              </w:rPr>
              <w:t>Europ</w:t>
            </w:r>
            <w:proofErr w:type="spellEnd"/>
            <w:r w:rsidRPr="00D34991">
              <w:rPr>
                <w:rFonts w:eastAsia="Times New Roman" w:cstheme="minorHAnsi"/>
                <w:color w:val="000000"/>
                <w:sz w:val="20"/>
                <w:szCs w:val="20"/>
                <w:lang w:eastAsia="en-GB"/>
              </w:rPr>
              <w:t xml:space="preserve"> Psych 2017</w:t>
            </w:r>
          </w:p>
        </w:tc>
        <w:tc>
          <w:tcPr>
            <w:tcW w:w="1080" w:type="dxa"/>
          </w:tcPr>
          <w:p w14:paraId="66888324"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1E1BF34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151375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13C5268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D63D0A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949493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1B8A06E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193718B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1BD088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7BFD75F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45A36AD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2947439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4</w:t>
            </w:r>
          </w:p>
        </w:tc>
      </w:tr>
      <w:tr w:rsidR="00E21374" w:rsidRPr="00D34991" w14:paraId="48B6B229" w14:textId="77777777" w:rsidTr="00E21374">
        <w:trPr>
          <w:trHeight w:val="300"/>
        </w:trPr>
        <w:tc>
          <w:tcPr>
            <w:tcW w:w="1743" w:type="dxa"/>
            <w:noWrap/>
            <w:hideMark/>
          </w:tcPr>
          <w:p w14:paraId="29BFEF99"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w:t>
            </w:r>
            <w:proofErr w:type="spellStart"/>
            <w:r w:rsidRPr="00D34991">
              <w:rPr>
                <w:rFonts w:eastAsia="Times New Roman" w:cstheme="minorHAnsi"/>
                <w:color w:val="000000"/>
                <w:sz w:val="20"/>
                <w:szCs w:val="20"/>
                <w:lang w:eastAsia="en-GB"/>
              </w:rPr>
              <w:t>Neurosci</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Lett</w:t>
            </w:r>
            <w:proofErr w:type="spellEnd"/>
            <w:r w:rsidRPr="00D34991">
              <w:rPr>
                <w:rFonts w:eastAsia="Times New Roman" w:cstheme="minorHAnsi"/>
                <w:color w:val="000000"/>
                <w:sz w:val="20"/>
                <w:szCs w:val="20"/>
                <w:lang w:eastAsia="en-GB"/>
              </w:rPr>
              <w:t>, 2010</w:t>
            </w:r>
          </w:p>
        </w:tc>
        <w:tc>
          <w:tcPr>
            <w:tcW w:w="1080" w:type="dxa"/>
          </w:tcPr>
          <w:p w14:paraId="43578A9C"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106D6E3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512940B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6A584E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6E9520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FFC15B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4DA7C3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0CDBA57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1689B0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50F531A"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52" w:type="dxa"/>
            <w:noWrap/>
            <w:hideMark/>
          </w:tcPr>
          <w:p w14:paraId="37F3C8D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E6CA305"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4</w:t>
            </w:r>
          </w:p>
        </w:tc>
      </w:tr>
      <w:tr w:rsidR="00E21374" w:rsidRPr="00D34991" w14:paraId="5A8D8827" w14:textId="77777777" w:rsidTr="00E21374">
        <w:trPr>
          <w:trHeight w:val="300"/>
        </w:trPr>
        <w:tc>
          <w:tcPr>
            <w:tcW w:w="1743" w:type="dxa"/>
            <w:noWrap/>
            <w:hideMark/>
          </w:tcPr>
          <w:p w14:paraId="23DDA357"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Dong et al., </w:t>
            </w:r>
            <w:proofErr w:type="spellStart"/>
            <w:r w:rsidRPr="00D34991">
              <w:rPr>
                <w:rFonts w:eastAsia="Times New Roman" w:cstheme="minorHAnsi"/>
                <w:color w:val="000000"/>
                <w:sz w:val="20"/>
                <w:szCs w:val="20"/>
                <w:lang w:eastAsia="en-GB"/>
              </w:rPr>
              <w:t>Prog</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w:t>
            </w:r>
            <w:proofErr w:type="spellEnd"/>
            <w:r w:rsidRPr="00D34991">
              <w:rPr>
                <w:rFonts w:eastAsia="Times New Roman" w:cstheme="minorHAnsi"/>
                <w:color w:val="000000"/>
                <w:sz w:val="20"/>
                <w:szCs w:val="20"/>
                <w:lang w:eastAsia="en-GB"/>
              </w:rPr>
              <w:t>-psycho, 2013</w:t>
            </w:r>
          </w:p>
        </w:tc>
        <w:tc>
          <w:tcPr>
            <w:tcW w:w="1080" w:type="dxa"/>
          </w:tcPr>
          <w:p w14:paraId="08D00F49"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30E70C5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AD1D8A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F72219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88069C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167377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FC8665E"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0</w:t>
            </w:r>
          </w:p>
        </w:tc>
        <w:tc>
          <w:tcPr>
            <w:tcW w:w="535" w:type="dxa"/>
            <w:noWrap/>
            <w:hideMark/>
          </w:tcPr>
          <w:p w14:paraId="160BE13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0CBD63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1053" w:type="dxa"/>
            <w:noWrap/>
            <w:hideMark/>
          </w:tcPr>
          <w:p w14:paraId="06E6EB8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63E58BA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82C678D"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5</w:t>
            </w:r>
          </w:p>
        </w:tc>
      </w:tr>
      <w:tr w:rsidR="00E21374" w:rsidRPr="00D34991" w14:paraId="58101D6B" w14:textId="77777777" w:rsidTr="00E21374">
        <w:trPr>
          <w:trHeight w:val="300"/>
        </w:trPr>
        <w:tc>
          <w:tcPr>
            <w:tcW w:w="1743" w:type="dxa"/>
            <w:noWrap/>
            <w:hideMark/>
          </w:tcPr>
          <w:p w14:paraId="02AD2ACC"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Dong et al., Psych Res, 2012</w:t>
            </w:r>
          </w:p>
        </w:tc>
        <w:tc>
          <w:tcPr>
            <w:tcW w:w="1080" w:type="dxa"/>
          </w:tcPr>
          <w:p w14:paraId="484F736E"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2B0C19F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A4C921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68C434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DFE085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592834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70C382A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17771EA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FE091B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1053" w:type="dxa"/>
            <w:noWrap/>
            <w:hideMark/>
          </w:tcPr>
          <w:p w14:paraId="7542DC2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21052A6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5E39521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5</w:t>
            </w:r>
          </w:p>
        </w:tc>
      </w:tr>
      <w:tr w:rsidR="00E21374" w:rsidRPr="00D34991" w14:paraId="6E344E49" w14:textId="77777777" w:rsidTr="00E21374">
        <w:trPr>
          <w:trHeight w:val="300"/>
        </w:trPr>
        <w:tc>
          <w:tcPr>
            <w:tcW w:w="1743" w:type="dxa"/>
            <w:noWrap/>
            <w:hideMark/>
          </w:tcPr>
          <w:p w14:paraId="7D456783"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Kim et al., </w:t>
            </w:r>
            <w:proofErr w:type="spellStart"/>
            <w:r w:rsidRPr="00D34991">
              <w:rPr>
                <w:rFonts w:eastAsia="Times New Roman" w:cstheme="minorHAnsi"/>
                <w:color w:val="000000"/>
                <w:sz w:val="20"/>
                <w:szCs w:val="20"/>
                <w:lang w:eastAsia="en-GB"/>
              </w:rPr>
              <w:t>Sci</w:t>
            </w:r>
            <w:proofErr w:type="spellEnd"/>
            <w:r w:rsidRPr="00D34991">
              <w:rPr>
                <w:rFonts w:eastAsia="Times New Roman" w:cstheme="minorHAnsi"/>
                <w:color w:val="000000"/>
                <w:sz w:val="20"/>
                <w:szCs w:val="20"/>
                <w:lang w:eastAsia="en-GB"/>
              </w:rPr>
              <w:t xml:space="preserve"> Re;, 2017</w:t>
            </w:r>
          </w:p>
        </w:tc>
        <w:tc>
          <w:tcPr>
            <w:tcW w:w="1080" w:type="dxa"/>
          </w:tcPr>
          <w:p w14:paraId="6AA0FE07"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3D3E530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B04BA8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1F752F6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DA8522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D64131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33DDF88"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35" w:type="dxa"/>
            <w:noWrap/>
            <w:hideMark/>
          </w:tcPr>
          <w:p w14:paraId="67B52D7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C9DE58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07B47D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47F7D6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9FB067A"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9</w:t>
            </w:r>
          </w:p>
        </w:tc>
      </w:tr>
      <w:tr w:rsidR="00E21374" w:rsidRPr="00D34991" w14:paraId="14259AF9" w14:textId="77777777" w:rsidTr="00E21374">
        <w:trPr>
          <w:trHeight w:val="300"/>
        </w:trPr>
        <w:tc>
          <w:tcPr>
            <w:tcW w:w="1743" w:type="dxa"/>
            <w:noWrap/>
            <w:hideMark/>
          </w:tcPr>
          <w:p w14:paraId="67AC29CC"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Ko</w:t>
            </w:r>
            <w:proofErr w:type="spellEnd"/>
            <w:r w:rsidRPr="00D34991">
              <w:rPr>
                <w:rFonts w:eastAsia="Times New Roman" w:cstheme="minorHAnsi"/>
                <w:color w:val="000000"/>
                <w:sz w:val="20"/>
                <w:szCs w:val="20"/>
                <w:lang w:eastAsia="en-GB"/>
              </w:rPr>
              <w:t xml:space="preserve"> et al., </w:t>
            </w:r>
            <w:proofErr w:type="spellStart"/>
            <w:r w:rsidRPr="00D34991">
              <w:rPr>
                <w:rFonts w:eastAsia="Times New Roman" w:cstheme="minorHAnsi"/>
                <w:color w:val="000000"/>
                <w:sz w:val="20"/>
                <w:szCs w:val="20"/>
                <w:lang w:eastAsia="en-GB"/>
              </w:rPr>
              <w:t>Eur</w:t>
            </w:r>
            <w:proofErr w:type="spellEnd"/>
            <w:r w:rsidRPr="00D34991">
              <w:rPr>
                <w:rFonts w:eastAsia="Times New Roman" w:cstheme="minorHAnsi"/>
                <w:color w:val="000000"/>
                <w:sz w:val="20"/>
                <w:szCs w:val="20"/>
                <w:lang w:eastAsia="en-GB"/>
              </w:rPr>
              <w:t xml:space="preserve"> Arch Psych, 2014</w:t>
            </w:r>
          </w:p>
        </w:tc>
        <w:tc>
          <w:tcPr>
            <w:tcW w:w="1080" w:type="dxa"/>
          </w:tcPr>
          <w:p w14:paraId="52CC6ADF"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072CDF3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F7BA0D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24D60E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2F73FC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255C79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FD7156B"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35" w:type="dxa"/>
            <w:noWrap/>
            <w:hideMark/>
          </w:tcPr>
          <w:p w14:paraId="095D85B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3E04B4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EB57FD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03F573A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A61C73E"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7</w:t>
            </w:r>
          </w:p>
        </w:tc>
      </w:tr>
      <w:tr w:rsidR="00E21374" w:rsidRPr="00D34991" w14:paraId="0743C939" w14:textId="77777777" w:rsidTr="00E21374">
        <w:trPr>
          <w:trHeight w:val="300"/>
        </w:trPr>
        <w:tc>
          <w:tcPr>
            <w:tcW w:w="1743" w:type="dxa"/>
            <w:noWrap/>
            <w:hideMark/>
          </w:tcPr>
          <w:p w14:paraId="01B7094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Li et al, </w:t>
            </w:r>
            <w:proofErr w:type="spellStart"/>
            <w:r w:rsidRPr="00D34991">
              <w:rPr>
                <w:rFonts w:eastAsia="Times New Roman" w:cstheme="minorHAnsi"/>
                <w:color w:val="000000"/>
                <w:sz w:val="20"/>
                <w:szCs w:val="20"/>
                <w:lang w:eastAsia="en-GB"/>
              </w:rPr>
              <w:t>Cyberpsychol</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Beh</w:t>
            </w:r>
            <w:proofErr w:type="spellEnd"/>
            <w:r w:rsidRPr="00D34991">
              <w:rPr>
                <w:rFonts w:eastAsia="Times New Roman" w:cstheme="minorHAnsi"/>
                <w:color w:val="000000"/>
                <w:sz w:val="20"/>
                <w:szCs w:val="20"/>
                <w:lang w:eastAsia="en-GB"/>
              </w:rPr>
              <w:t xml:space="preserve"> and </w:t>
            </w:r>
            <w:proofErr w:type="spellStart"/>
            <w:r w:rsidRPr="00D34991">
              <w:rPr>
                <w:rFonts w:eastAsia="Times New Roman" w:cstheme="minorHAnsi"/>
                <w:color w:val="000000"/>
                <w:sz w:val="20"/>
                <w:szCs w:val="20"/>
                <w:lang w:eastAsia="en-GB"/>
              </w:rPr>
              <w:t>Soc</w:t>
            </w:r>
            <w:proofErr w:type="spellEnd"/>
            <w:r w:rsidRPr="00D34991">
              <w:rPr>
                <w:rFonts w:eastAsia="Times New Roman" w:cstheme="minorHAnsi"/>
                <w:color w:val="000000"/>
                <w:sz w:val="20"/>
                <w:szCs w:val="20"/>
                <w:lang w:eastAsia="en-GB"/>
              </w:rPr>
              <w:t xml:space="preserve"> N, 2016</w:t>
            </w:r>
          </w:p>
        </w:tc>
        <w:tc>
          <w:tcPr>
            <w:tcW w:w="1080" w:type="dxa"/>
          </w:tcPr>
          <w:p w14:paraId="65EB4221" w14:textId="77777777" w:rsidR="00E21374" w:rsidRPr="00A00E5B" w:rsidRDefault="00E21374" w:rsidP="00E21374">
            <w:pPr>
              <w:spacing w:line="240" w:lineRule="auto"/>
              <w:rPr>
                <w:sz w:val="18"/>
                <w:szCs w:val="18"/>
              </w:rPr>
            </w:pPr>
            <w:r w:rsidRPr="00A00E5B">
              <w:rPr>
                <w:sz w:val="18"/>
                <w:szCs w:val="18"/>
              </w:rPr>
              <w:t>Discounting</w:t>
            </w:r>
          </w:p>
        </w:tc>
        <w:tc>
          <w:tcPr>
            <w:tcW w:w="633" w:type="dxa"/>
            <w:noWrap/>
            <w:hideMark/>
          </w:tcPr>
          <w:p w14:paraId="0D54D05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9C8AC9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7291C55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D4B918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71C12C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B08875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13C55B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22B224A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734F13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3516769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39D04DC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09D5CCB5" w14:textId="77777777" w:rsidTr="00E21374">
        <w:trPr>
          <w:trHeight w:val="300"/>
        </w:trPr>
        <w:tc>
          <w:tcPr>
            <w:tcW w:w="1743" w:type="dxa"/>
            <w:noWrap/>
            <w:hideMark/>
          </w:tcPr>
          <w:p w14:paraId="4E8B3698"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Li et al., Front </w:t>
            </w:r>
            <w:proofErr w:type="spellStart"/>
            <w:r w:rsidRPr="00D34991">
              <w:rPr>
                <w:rFonts w:eastAsia="Times New Roman" w:cstheme="minorHAnsi"/>
                <w:color w:val="000000"/>
                <w:sz w:val="20"/>
                <w:szCs w:val="20"/>
                <w:lang w:eastAsia="en-GB"/>
              </w:rPr>
              <w:t>Psychol</w:t>
            </w:r>
            <w:proofErr w:type="spellEnd"/>
            <w:r w:rsidRPr="00D34991">
              <w:rPr>
                <w:rFonts w:eastAsia="Times New Roman" w:cstheme="minorHAnsi"/>
                <w:color w:val="000000"/>
                <w:sz w:val="20"/>
                <w:szCs w:val="20"/>
                <w:lang w:eastAsia="en-GB"/>
              </w:rPr>
              <w:t>, 2016</w:t>
            </w:r>
          </w:p>
        </w:tc>
        <w:tc>
          <w:tcPr>
            <w:tcW w:w="1080" w:type="dxa"/>
          </w:tcPr>
          <w:p w14:paraId="4DBA4979" w14:textId="77777777" w:rsidR="00E21374" w:rsidRPr="00A00E5B" w:rsidRDefault="00E21374" w:rsidP="00E21374">
            <w:pPr>
              <w:spacing w:line="240" w:lineRule="auto"/>
              <w:rPr>
                <w:sz w:val="18"/>
                <w:szCs w:val="18"/>
              </w:rPr>
            </w:pPr>
            <w:r w:rsidRPr="00A00E5B">
              <w:rPr>
                <w:sz w:val="18"/>
                <w:szCs w:val="18"/>
              </w:rPr>
              <w:t>SSRT</w:t>
            </w:r>
          </w:p>
        </w:tc>
        <w:tc>
          <w:tcPr>
            <w:tcW w:w="633" w:type="dxa"/>
            <w:noWrap/>
            <w:hideMark/>
          </w:tcPr>
          <w:p w14:paraId="7EA1822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50AA17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3E0BB1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F75C33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3CFADE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214EB64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63B2BED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B4F44A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B095D4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14C903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145478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2D7246D7" w14:textId="77777777" w:rsidTr="00E21374">
        <w:trPr>
          <w:trHeight w:val="300"/>
        </w:trPr>
        <w:tc>
          <w:tcPr>
            <w:tcW w:w="1743" w:type="dxa"/>
            <w:noWrap/>
            <w:hideMark/>
          </w:tcPr>
          <w:p w14:paraId="6A1ADF7E"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Lim et al., Medicine Open, 2016</w:t>
            </w:r>
          </w:p>
        </w:tc>
        <w:tc>
          <w:tcPr>
            <w:tcW w:w="1080" w:type="dxa"/>
          </w:tcPr>
          <w:p w14:paraId="23FCD744" w14:textId="77777777" w:rsidR="00E21374" w:rsidRPr="00A00E5B" w:rsidRDefault="00E21374" w:rsidP="00E21374">
            <w:pPr>
              <w:spacing w:line="240" w:lineRule="auto"/>
              <w:rPr>
                <w:sz w:val="18"/>
                <w:szCs w:val="18"/>
              </w:rPr>
            </w:pPr>
            <w:r w:rsidRPr="00A00E5B">
              <w:rPr>
                <w:sz w:val="18"/>
                <w:szCs w:val="18"/>
              </w:rPr>
              <w:t>SSRT</w:t>
            </w:r>
          </w:p>
        </w:tc>
        <w:tc>
          <w:tcPr>
            <w:tcW w:w="633" w:type="dxa"/>
            <w:noWrap/>
            <w:hideMark/>
          </w:tcPr>
          <w:p w14:paraId="35DB142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0A1352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381AF6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131E04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175B49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B9D286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37237EF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67CB70A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2AD67C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171E34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927F86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7F8E953E" w14:textId="77777777" w:rsidTr="00E21374">
        <w:trPr>
          <w:trHeight w:val="300"/>
        </w:trPr>
        <w:tc>
          <w:tcPr>
            <w:tcW w:w="1743" w:type="dxa"/>
            <w:noWrap/>
            <w:hideMark/>
          </w:tcPr>
          <w:p w14:paraId="14146666"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Lim et al., Medicine Open, 2016</w:t>
            </w:r>
          </w:p>
        </w:tc>
        <w:tc>
          <w:tcPr>
            <w:tcW w:w="1080" w:type="dxa"/>
          </w:tcPr>
          <w:p w14:paraId="6DA904AF"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08259F2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657F62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178C407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A9100F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7DE323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1239037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3047529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3B371FB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CC8EC0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312962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0B16AA4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8</w:t>
            </w:r>
          </w:p>
        </w:tc>
      </w:tr>
      <w:tr w:rsidR="00E21374" w:rsidRPr="00D34991" w14:paraId="63EFD4AC" w14:textId="77777777" w:rsidTr="00E21374">
        <w:trPr>
          <w:trHeight w:val="300"/>
        </w:trPr>
        <w:tc>
          <w:tcPr>
            <w:tcW w:w="1743" w:type="dxa"/>
            <w:noWrap/>
            <w:hideMark/>
          </w:tcPr>
          <w:p w14:paraId="1C00619D"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Lim et al., Medicine Open, 2016</w:t>
            </w:r>
          </w:p>
        </w:tc>
        <w:tc>
          <w:tcPr>
            <w:tcW w:w="1080" w:type="dxa"/>
          </w:tcPr>
          <w:p w14:paraId="55AD81B3" w14:textId="77777777" w:rsidR="00E21374" w:rsidRPr="00A00E5B" w:rsidRDefault="00E21374" w:rsidP="00E21374">
            <w:pPr>
              <w:spacing w:line="240" w:lineRule="auto"/>
              <w:rPr>
                <w:sz w:val="18"/>
                <w:szCs w:val="18"/>
              </w:rPr>
            </w:pPr>
            <w:r w:rsidRPr="00A00E5B">
              <w:rPr>
                <w:sz w:val="18"/>
                <w:szCs w:val="18"/>
              </w:rPr>
              <w:t>Working memory</w:t>
            </w:r>
          </w:p>
        </w:tc>
        <w:tc>
          <w:tcPr>
            <w:tcW w:w="633" w:type="dxa"/>
            <w:noWrap/>
            <w:hideMark/>
          </w:tcPr>
          <w:p w14:paraId="7C559CA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B685AD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D7284C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D5DDFC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55EA26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A88D30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7E13D72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5A31F4C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988F2E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25DA612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5CCFC1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9</w:t>
            </w:r>
          </w:p>
        </w:tc>
      </w:tr>
      <w:tr w:rsidR="00E21374" w:rsidRPr="00D34991" w14:paraId="06E86F59" w14:textId="77777777" w:rsidTr="00E21374">
        <w:trPr>
          <w:trHeight w:val="300"/>
        </w:trPr>
        <w:tc>
          <w:tcPr>
            <w:tcW w:w="1743" w:type="dxa"/>
            <w:noWrap/>
            <w:hideMark/>
          </w:tcPr>
          <w:p w14:paraId="02BEADEB"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Lin et al., </w:t>
            </w:r>
            <w:proofErr w:type="spellStart"/>
            <w:r w:rsidRPr="00D34991">
              <w:rPr>
                <w:rFonts w:eastAsia="Times New Roman" w:cstheme="minorHAnsi"/>
                <w:color w:val="000000"/>
                <w:sz w:val="20"/>
                <w:szCs w:val="20"/>
                <w:lang w:eastAsia="en-GB"/>
              </w:rPr>
              <w:t>Prog</w:t>
            </w:r>
            <w:proofErr w:type="spellEnd"/>
            <w:r w:rsidRPr="00D34991">
              <w:rPr>
                <w:rFonts w:eastAsia="Times New Roman" w:cstheme="minorHAnsi"/>
                <w:color w:val="000000"/>
                <w:sz w:val="20"/>
                <w:szCs w:val="20"/>
                <w:lang w:eastAsia="en-GB"/>
              </w:rPr>
              <w:t xml:space="preserve"> in </w:t>
            </w:r>
            <w:proofErr w:type="spellStart"/>
            <w:r w:rsidRPr="00D34991">
              <w:rPr>
                <w:rFonts w:eastAsia="Times New Roman" w:cstheme="minorHAnsi"/>
                <w:color w:val="000000"/>
                <w:sz w:val="20"/>
                <w:szCs w:val="20"/>
                <w:lang w:eastAsia="en-GB"/>
              </w:rPr>
              <w:t>Neuro</w:t>
            </w:r>
            <w:proofErr w:type="spellEnd"/>
            <w:r w:rsidRPr="00D34991">
              <w:rPr>
                <w:rFonts w:eastAsia="Times New Roman" w:cstheme="minorHAnsi"/>
                <w:color w:val="000000"/>
                <w:sz w:val="20"/>
                <w:szCs w:val="20"/>
                <w:lang w:eastAsia="en-GB"/>
              </w:rPr>
              <w:t>-Psych, 2015</w:t>
            </w:r>
          </w:p>
        </w:tc>
        <w:tc>
          <w:tcPr>
            <w:tcW w:w="1080" w:type="dxa"/>
          </w:tcPr>
          <w:p w14:paraId="6822C545" w14:textId="77777777" w:rsidR="00E21374" w:rsidRPr="00A00E5B" w:rsidRDefault="00E21374" w:rsidP="00E21374">
            <w:pPr>
              <w:spacing w:line="240" w:lineRule="auto"/>
              <w:rPr>
                <w:sz w:val="18"/>
                <w:szCs w:val="18"/>
              </w:rPr>
            </w:pPr>
            <w:r w:rsidRPr="00A00E5B">
              <w:rPr>
                <w:sz w:val="18"/>
                <w:szCs w:val="18"/>
              </w:rPr>
              <w:t>Discounting</w:t>
            </w:r>
          </w:p>
        </w:tc>
        <w:tc>
          <w:tcPr>
            <w:tcW w:w="633" w:type="dxa"/>
            <w:noWrap/>
            <w:hideMark/>
          </w:tcPr>
          <w:p w14:paraId="18F6CB0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4ED87A2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1D402F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D837A4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57F7C65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78201A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3186470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075F857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1053" w:type="dxa"/>
            <w:noWrap/>
            <w:hideMark/>
          </w:tcPr>
          <w:p w14:paraId="76905A0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1ADBC8E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7CB6ABC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2</w:t>
            </w:r>
          </w:p>
        </w:tc>
      </w:tr>
      <w:tr w:rsidR="00E21374" w:rsidRPr="00D34991" w14:paraId="3C50B3DE" w14:textId="77777777" w:rsidTr="00E21374">
        <w:trPr>
          <w:trHeight w:val="300"/>
        </w:trPr>
        <w:tc>
          <w:tcPr>
            <w:tcW w:w="1743" w:type="dxa"/>
            <w:noWrap/>
            <w:hideMark/>
          </w:tcPr>
          <w:p w14:paraId="1E04679A"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lastRenderedPageBreak/>
              <w:t>Littel</w:t>
            </w:r>
            <w:proofErr w:type="spellEnd"/>
            <w:r w:rsidRPr="00D34991">
              <w:rPr>
                <w:rFonts w:eastAsia="Times New Roman" w:cstheme="minorHAnsi"/>
                <w:color w:val="000000"/>
                <w:sz w:val="20"/>
                <w:szCs w:val="20"/>
                <w:lang w:eastAsia="en-GB"/>
              </w:rPr>
              <w:t xml:space="preserve"> et al., Addict </w:t>
            </w:r>
            <w:proofErr w:type="spellStart"/>
            <w:r w:rsidRPr="00D34991">
              <w:rPr>
                <w:rFonts w:eastAsia="Times New Roman" w:cstheme="minorHAnsi"/>
                <w:color w:val="000000"/>
                <w:sz w:val="20"/>
                <w:szCs w:val="20"/>
                <w:lang w:eastAsia="en-GB"/>
              </w:rPr>
              <w:t>Biol</w:t>
            </w:r>
            <w:proofErr w:type="spellEnd"/>
            <w:r w:rsidRPr="00D34991">
              <w:rPr>
                <w:rFonts w:eastAsia="Times New Roman" w:cstheme="minorHAnsi"/>
                <w:color w:val="000000"/>
                <w:sz w:val="20"/>
                <w:szCs w:val="20"/>
                <w:lang w:eastAsia="en-GB"/>
              </w:rPr>
              <w:t>, 2012</w:t>
            </w:r>
          </w:p>
        </w:tc>
        <w:tc>
          <w:tcPr>
            <w:tcW w:w="1080" w:type="dxa"/>
          </w:tcPr>
          <w:p w14:paraId="2A073040"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70D2CEA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24EE0D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71481D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8C5872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CDF5EB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7040F050"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1</w:t>
            </w:r>
          </w:p>
        </w:tc>
        <w:tc>
          <w:tcPr>
            <w:tcW w:w="535" w:type="dxa"/>
            <w:noWrap/>
            <w:hideMark/>
          </w:tcPr>
          <w:p w14:paraId="06500D8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822924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7152C97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1008D1D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D673B0A"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6</w:t>
            </w:r>
          </w:p>
        </w:tc>
      </w:tr>
      <w:tr w:rsidR="00E21374" w:rsidRPr="00D34991" w14:paraId="122E2F25" w14:textId="77777777" w:rsidTr="00E21374">
        <w:trPr>
          <w:trHeight w:val="300"/>
        </w:trPr>
        <w:tc>
          <w:tcPr>
            <w:tcW w:w="1743" w:type="dxa"/>
            <w:noWrap/>
            <w:hideMark/>
          </w:tcPr>
          <w:p w14:paraId="7F111F31"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Liu et al., </w:t>
            </w:r>
            <w:proofErr w:type="spellStart"/>
            <w:r w:rsidRPr="00D34991">
              <w:rPr>
                <w:rFonts w:eastAsia="Times New Roman" w:cstheme="minorHAnsi"/>
                <w:color w:val="000000"/>
                <w:sz w:val="20"/>
                <w:szCs w:val="20"/>
                <w:lang w:eastAsia="en-GB"/>
              </w:rPr>
              <w:t>Kaohs</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Journ</w:t>
            </w:r>
            <w:proofErr w:type="spellEnd"/>
            <w:r w:rsidRPr="00D34991">
              <w:rPr>
                <w:rFonts w:eastAsia="Times New Roman" w:cstheme="minorHAnsi"/>
                <w:color w:val="000000"/>
                <w:sz w:val="20"/>
                <w:szCs w:val="20"/>
                <w:lang w:eastAsia="en-GB"/>
              </w:rPr>
              <w:t xml:space="preserve"> Med </w:t>
            </w:r>
            <w:proofErr w:type="spellStart"/>
            <w:r w:rsidRPr="00D34991">
              <w:rPr>
                <w:rFonts w:eastAsia="Times New Roman" w:cstheme="minorHAnsi"/>
                <w:color w:val="000000"/>
                <w:sz w:val="20"/>
                <w:szCs w:val="20"/>
                <w:lang w:eastAsia="en-GB"/>
              </w:rPr>
              <w:t>Sci</w:t>
            </w:r>
            <w:proofErr w:type="spellEnd"/>
            <w:r w:rsidRPr="00D34991">
              <w:rPr>
                <w:rFonts w:eastAsia="Times New Roman" w:cstheme="minorHAnsi"/>
                <w:color w:val="000000"/>
                <w:sz w:val="20"/>
                <w:szCs w:val="20"/>
                <w:lang w:eastAsia="en-GB"/>
              </w:rPr>
              <w:t>, 2014</w:t>
            </w:r>
          </w:p>
        </w:tc>
        <w:tc>
          <w:tcPr>
            <w:tcW w:w="1080" w:type="dxa"/>
          </w:tcPr>
          <w:p w14:paraId="4EE688F2"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7D20865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3CF0DC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194F5DB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4C9E1B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FE5B70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AAA3C5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FD9981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9ABA26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88369A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5478B94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669C16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6886C2C3" w14:textId="77777777" w:rsidTr="00E21374">
        <w:trPr>
          <w:trHeight w:val="300"/>
        </w:trPr>
        <w:tc>
          <w:tcPr>
            <w:tcW w:w="1743" w:type="dxa"/>
            <w:noWrap/>
            <w:hideMark/>
          </w:tcPr>
          <w:p w14:paraId="10D348EE"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Lorenz et al., Addiction </w:t>
            </w:r>
            <w:proofErr w:type="spellStart"/>
            <w:r w:rsidRPr="00D34991">
              <w:rPr>
                <w:rFonts w:eastAsia="Times New Roman" w:cstheme="minorHAnsi"/>
                <w:color w:val="000000"/>
                <w:sz w:val="20"/>
                <w:szCs w:val="20"/>
                <w:lang w:eastAsia="en-GB"/>
              </w:rPr>
              <w:t>Biol</w:t>
            </w:r>
            <w:proofErr w:type="spellEnd"/>
            <w:r w:rsidRPr="00D34991">
              <w:rPr>
                <w:rFonts w:eastAsia="Times New Roman" w:cstheme="minorHAnsi"/>
                <w:color w:val="000000"/>
                <w:sz w:val="20"/>
                <w:szCs w:val="20"/>
                <w:lang w:eastAsia="en-GB"/>
              </w:rPr>
              <w:t>, 2012</w:t>
            </w:r>
          </w:p>
        </w:tc>
        <w:tc>
          <w:tcPr>
            <w:tcW w:w="1080" w:type="dxa"/>
          </w:tcPr>
          <w:p w14:paraId="14A18591"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138DBA8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F38D4D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24AC84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9F202C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461E5A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AB472E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57A8F5C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07EA8E9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C6D1DE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1120379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C00DF6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1055FC6A" w14:textId="77777777" w:rsidTr="00E21374">
        <w:trPr>
          <w:trHeight w:val="300"/>
        </w:trPr>
        <w:tc>
          <w:tcPr>
            <w:tcW w:w="1743" w:type="dxa"/>
            <w:noWrap/>
            <w:hideMark/>
          </w:tcPr>
          <w:p w14:paraId="14EA9EF7"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Luijten</w:t>
            </w:r>
            <w:proofErr w:type="spellEnd"/>
            <w:r w:rsidRPr="00D34991">
              <w:rPr>
                <w:rFonts w:eastAsia="Times New Roman" w:cstheme="minorHAnsi"/>
                <w:color w:val="000000"/>
                <w:sz w:val="20"/>
                <w:szCs w:val="20"/>
                <w:lang w:eastAsia="en-GB"/>
              </w:rPr>
              <w:t xml:space="preserve"> et al., Psych Res: </w:t>
            </w:r>
            <w:proofErr w:type="spellStart"/>
            <w:r w:rsidRPr="00D34991">
              <w:rPr>
                <w:rFonts w:eastAsia="Times New Roman" w:cstheme="minorHAnsi"/>
                <w:color w:val="000000"/>
                <w:sz w:val="20"/>
                <w:szCs w:val="20"/>
                <w:lang w:eastAsia="en-GB"/>
              </w:rPr>
              <w:t>Neuroim</w:t>
            </w:r>
            <w:proofErr w:type="spellEnd"/>
            <w:r w:rsidRPr="00D34991">
              <w:rPr>
                <w:rFonts w:eastAsia="Times New Roman" w:cstheme="minorHAnsi"/>
                <w:color w:val="000000"/>
                <w:sz w:val="20"/>
                <w:szCs w:val="20"/>
                <w:lang w:eastAsia="en-GB"/>
              </w:rPr>
              <w:t xml:space="preserve"> 2015</w:t>
            </w:r>
          </w:p>
        </w:tc>
        <w:tc>
          <w:tcPr>
            <w:tcW w:w="1080" w:type="dxa"/>
          </w:tcPr>
          <w:p w14:paraId="07E12155"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62C864D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CD05C7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207870C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78BBF4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7354AE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2883AE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F49148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21A539A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5AA0FDB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6D31B3E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26CFE37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773306DC" w14:textId="77777777" w:rsidTr="00E21374">
        <w:trPr>
          <w:trHeight w:val="300"/>
        </w:trPr>
        <w:tc>
          <w:tcPr>
            <w:tcW w:w="1743" w:type="dxa"/>
            <w:noWrap/>
            <w:hideMark/>
          </w:tcPr>
          <w:p w14:paraId="4DC11A1E"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Luijten</w:t>
            </w:r>
            <w:proofErr w:type="spellEnd"/>
            <w:r w:rsidRPr="00D34991">
              <w:rPr>
                <w:rFonts w:eastAsia="Times New Roman" w:cstheme="minorHAnsi"/>
                <w:color w:val="000000"/>
                <w:sz w:val="20"/>
                <w:szCs w:val="20"/>
                <w:lang w:eastAsia="en-GB"/>
              </w:rPr>
              <w:t xml:space="preserve"> et al., Psych Res: </w:t>
            </w:r>
            <w:proofErr w:type="spellStart"/>
            <w:r w:rsidRPr="00D34991">
              <w:rPr>
                <w:rFonts w:eastAsia="Times New Roman" w:cstheme="minorHAnsi"/>
                <w:color w:val="000000"/>
                <w:sz w:val="20"/>
                <w:szCs w:val="20"/>
                <w:lang w:eastAsia="en-GB"/>
              </w:rPr>
              <w:t>Neuroim</w:t>
            </w:r>
            <w:proofErr w:type="spellEnd"/>
            <w:r w:rsidRPr="00D34991">
              <w:rPr>
                <w:rFonts w:eastAsia="Times New Roman" w:cstheme="minorHAnsi"/>
                <w:color w:val="000000"/>
                <w:sz w:val="20"/>
                <w:szCs w:val="20"/>
                <w:lang w:eastAsia="en-GB"/>
              </w:rPr>
              <w:t xml:space="preserve"> 2015</w:t>
            </w:r>
          </w:p>
        </w:tc>
        <w:tc>
          <w:tcPr>
            <w:tcW w:w="1080" w:type="dxa"/>
          </w:tcPr>
          <w:p w14:paraId="0413BFCD"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04B1D93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5E6E03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75351BA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1740A2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BB549B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64D9AE0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DF5ED0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2E92FF0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584DC4E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3A88595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BD937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69ECBB06" w14:textId="77777777" w:rsidTr="00E21374">
        <w:trPr>
          <w:trHeight w:val="300"/>
        </w:trPr>
        <w:tc>
          <w:tcPr>
            <w:tcW w:w="1743" w:type="dxa"/>
            <w:noWrap/>
            <w:hideMark/>
          </w:tcPr>
          <w:p w14:paraId="7B9B0C32"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Metcalf et al., </w:t>
            </w:r>
            <w:proofErr w:type="spellStart"/>
            <w:r w:rsidRPr="00D34991">
              <w:rPr>
                <w:rFonts w:eastAsia="Times New Roman" w:cstheme="minorHAnsi"/>
                <w:color w:val="000000"/>
                <w:sz w:val="20"/>
                <w:szCs w:val="20"/>
                <w:lang w:eastAsia="en-GB"/>
              </w:rPr>
              <w:t>Cyberpsychol</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Beh</w:t>
            </w:r>
            <w:proofErr w:type="spellEnd"/>
            <w:r w:rsidRPr="00D34991">
              <w:rPr>
                <w:rFonts w:eastAsia="Times New Roman" w:cstheme="minorHAnsi"/>
                <w:color w:val="000000"/>
                <w:sz w:val="20"/>
                <w:szCs w:val="20"/>
                <w:lang w:eastAsia="en-GB"/>
              </w:rPr>
              <w:t xml:space="preserve"> and </w:t>
            </w:r>
            <w:proofErr w:type="spellStart"/>
            <w:r w:rsidRPr="00D34991">
              <w:rPr>
                <w:rFonts w:eastAsia="Times New Roman" w:cstheme="minorHAnsi"/>
                <w:color w:val="000000"/>
                <w:sz w:val="20"/>
                <w:szCs w:val="20"/>
                <w:lang w:eastAsia="en-GB"/>
              </w:rPr>
              <w:t>Soc</w:t>
            </w:r>
            <w:proofErr w:type="spellEnd"/>
            <w:r w:rsidRPr="00D34991">
              <w:rPr>
                <w:rFonts w:eastAsia="Times New Roman" w:cstheme="minorHAnsi"/>
                <w:color w:val="000000"/>
                <w:sz w:val="20"/>
                <w:szCs w:val="20"/>
                <w:lang w:eastAsia="en-GB"/>
              </w:rPr>
              <w:t xml:space="preserve"> N, 2014</w:t>
            </w:r>
          </w:p>
        </w:tc>
        <w:tc>
          <w:tcPr>
            <w:tcW w:w="1080" w:type="dxa"/>
          </w:tcPr>
          <w:p w14:paraId="062FD81F"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7482DDC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5B82DDD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684F33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75747A9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08F263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EB979C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C81757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D83926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1053" w:type="dxa"/>
            <w:noWrap/>
            <w:hideMark/>
          </w:tcPr>
          <w:p w14:paraId="1B95045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3ED34B0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AF3115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3</w:t>
            </w:r>
          </w:p>
        </w:tc>
      </w:tr>
      <w:tr w:rsidR="00E21374" w:rsidRPr="00D34991" w14:paraId="00AEF4EA" w14:textId="77777777" w:rsidTr="00E21374">
        <w:trPr>
          <w:trHeight w:val="300"/>
        </w:trPr>
        <w:tc>
          <w:tcPr>
            <w:tcW w:w="1743" w:type="dxa"/>
            <w:noWrap/>
            <w:hideMark/>
          </w:tcPr>
          <w:p w14:paraId="39CFCA8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Metcalf et al., </w:t>
            </w:r>
            <w:proofErr w:type="spellStart"/>
            <w:r w:rsidRPr="00D34991">
              <w:rPr>
                <w:rFonts w:eastAsia="Times New Roman" w:cstheme="minorHAnsi"/>
                <w:color w:val="000000"/>
                <w:sz w:val="20"/>
                <w:szCs w:val="20"/>
                <w:lang w:eastAsia="en-GB"/>
              </w:rPr>
              <w:t>Cyberpsychol</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Beh</w:t>
            </w:r>
            <w:proofErr w:type="spellEnd"/>
            <w:r w:rsidRPr="00D34991">
              <w:rPr>
                <w:rFonts w:eastAsia="Times New Roman" w:cstheme="minorHAnsi"/>
                <w:color w:val="000000"/>
                <w:sz w:val="20"/>
                <w:szCs w:val="20"/>
                <w:lang w:eastAsia="en-GB"/>
              </w:rPr>
              <w:t xml:space="preserve"> and </w:t>
            </w:r>
            <w:proofErr w:type="spellStart"/>
            <w:r w:rsidRPr="00D34991">
              <w:rPr>
                <w:rFonts w:eastAsia="Times New Roman" w:cstheme="minorHAnsi"/>
                <w:color w:val="000000"/>
                <w:sz w:val="20"/>
                <w:szCs w:val="20"/>
                <w:lang w:eastAsia="en-GB"/>
              </w:rPr>
              <w:t>Soc</w:t>
            </w:r>
            <w:proofErr w:type="spellEnd"/>
            <w:r w:rsidRPr="00D34991">
              <w:rPr>
                <w:rFonts w:eastAsia="Times New Roman" w:cstheme="minorHAnsi"/>
                <w:color w:val="000000"/>
                <w:sz w:val="20"/>
                <w:szCs w:val="20"/>
                <w:lang w:eastAsia="en-GB"/>
              </w:rPr>
              <w:t xml:space="preserve"> N, 2014</w:t>
            </w:r>
          </w:p>
        </w:tc>
        <w:tc>
          <w:tcPr>
            <w:tcW w:w="1080" w:type="dxa"/>
          </w:tcPr>
          <w:p w14:paraId="73991506"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52C876A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F7D891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E01F53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C28937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BAD682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7681CE8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6CDCDE9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054470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1053" w:type="dxa"/>
            <w:noWrap/>
            <w:hideMark/>
          </w:tcPr>
          <w:p w14:paraId="6C36DC3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FAA4A9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2FCA0B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4</w:t>
            </w:r>
          </w:p>
        </w:tc>
      </w:tr>
      <w:tr w:rsidR="00E21374" w:rsidRPr="00D34991" w14:paraId="540306BF" w14:textId="77777777" w:rsidTr="00E21374">
        <w:trPr>
          <w:trHeight w:val="300"/>
        </w:trPr>
        <w:tc>
          <w:tcPr>
            <w:tcW w:w="1743" w:type="dxa"/>
            <w:noWrap/>
          </w:tcPr>
          <w:p w14:paraId="52F6535A"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Nikolaidou</w:t>
            </w:r>
            <w:proofErr w:type="spellEnd"/>
            <w:r w:rsidRPr="00D34991">
              <w:rPr>
                <w:rFonts w:eastAsia="Times New Roman" w:cstheme="minorHAnsi"/>
                <w:color w:val="000000"/>
                <w:sz w:val="20"/>
                <w:szCs w:val="20"/>
                <w:lang w:eastAsia="en-GB"/>
              </w:rPr>
              <w:t xml:space="preserve"> et al., J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Add 2016</w:t>
            </w:r>
          </w:p>
        </w:tc>
        <w:tc>
          <w:tcPr>
            <w:tcW w:w="1080" w:type="dxa"/>
          </w:tcPr>
          <w:p w14:paraId="4EE89330"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tcPr>
          <w:p w14:paraId="4B63888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tcPr>
          <w:p w14:paraId="4479990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tcPr>
          <w:p w14:paraId="07F18B2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tcPr>
          <w:p w14:paraId="5873FB3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tcPr>
          <w:p w14:paraId="7479084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tcPr>
          <w:p w14:paraId="623E83F2"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0</w:t>
            </w:r>
          </w:p>
        </w:tc>
        <w:tc>
          <w:tcPr>
            <w:tcW w:w="535" w:type="dxa"/>
            <w:noWrap/>
          </w:tcPr>
          <w:p w14:paraId="1358CF2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tcPr>
          <w:p w14:paraId="510EF44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tcPr>
          <w:p w14:paraId="45BD8EE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tcPr>
          <w:p w14:paraId="1420D2B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4A41A927" w14:textId="77777777" w:rsidR="00E21374" w:rsidRPr="00D34991" w:rsidRDefault="00E21374" w:rsidP="00E21374">
            <w:pPr>
              <w:spacing w:line="240" w:lineRule="auto"/>
              <w:jc w:val="center"/>
              <w:rPr>
                <w:rFonts w:eastAsia="Times New Roman" w:cstheme="minorHAnsi"/>
                <w:color w:val="000000"/>
                <w:sz w:val="20"/>
                <w:szCs w:val="20"/>
                <w:lang w:eastAsia="en-GB"/>
              </w:rPr>
            </w:pPr>
            <w:r>
              <w:rPr>
                <w:rFonts w:eastAsia="Times New Roman" w:cstheme="minorHAnsi"/>
                <w:color w:val="000000"/>
                <w:sz w:val="20"/>
                <w:szCs w:val="20"/>
                <w:lang w:eastAsia="en-GB"/>
              </w:rPr>
              <w:t>5</w:t>
            </w:r>
          </w:p>
        </w:tc>
      </w:tr>
      <w:tr w:rsidR="00E21374" w:rsidRPr="00D34991" w14:paraId="023F7FD7" w14:textId="77777777" w:rsidTr="00E21374">
        <w:trPr>
          <w:trHeight w:val="300"/>
        </w:trPr>
        <w:tc>
          <w:tcPr>
            <w:tcW w:w="1743" w:type="dxa"/>
            <w:noWrap/>
            <w:hideMark/>
          </w:tcPr>
          <w:p w14:paraId="1326B577" w14:textId="77777777" w:rsidR="00E21374" w:rsidRPr="00D34991" w:rsidRDefault="00E21374" w:rsidP="00E21374">
            <w:pPr>
              <w:spacing w:line="240" w:lineRule="auto"/>
              <w:jc w:val="left"/>
              <w:rPr>
                <w:rFonts w:eastAsia="Times New Roman" w:cstheme="minorHAnsi"/>
                <w:color w:val="000000"/>
                <w:sz w:val="20"/>
                <w:szCs w:val="20"/>
                <w:lang w:eastAsia="en-GB"/>
              </w:rPr>
            </w:pPr>
            <w:proofErr w:type="spellStart"/>
            <w:r w:rsidRPr="00D34991">
              <w:rPr>
                <w:rFonts w:eastAsia="Times New Roman" w:cstheme="minorHAnsi"/>
                <w:color w:val="000000"/>
                <w:sz w:val="20"/>
                <w:szCs w:val="20"/>
                <w:lang w:eastAsia="en-GB"/>
              </w:rPr>
              <w:t>Pawlikowski</w:t>
            </w:r>
            <w:proofErr w:type="spellEnd"/>
            <w:r w:rsidRPr="00D34991">
              <w:rPr>
                <w:rFonts w:eastAsia="Times New Roman" w:cstheme="minorHAnsi"/>
                <w:color w:val="000000"/>
                <w:sz w:val="20"/>
                <w:szCs w:val="20"/>
                <w:lang w:eastAsia="en-GB"/>
              </w:rPr>
              <w:t xml:space="preserve"> &amp; Brand, Psych Res, 2011</w:t>
            </w:r>
          </w:p>
        </w:tc>
        <w:tc>
          <w:tcPr>
            <w:tcW w:w="1080" w:type="dxa"/>
          </w:tcPr>
          <w:p w14:paraId="4F0C552B"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272C42A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805564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2FCB032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A4505E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5011A4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3" w:type="dxa"/>
            <w:noWrap/>
            <w:hideMark/>
          </w:tcPr>
          <w:p w14:paraId="7659228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48F6D7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1D682E6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40C8DEA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7512F0E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2B0C34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8</w:t>
            </w:r>
          </w:p>
        </w:tc>
      </w:tr>
      <w:tr w:rsidR="00E21374" w:rsidRPr="00D34991" w14:paraId="5A5ED6C8" w14:textId="77777777" w:rsidTr="00E21374">
        <w:trPr>
          <w:trHeight w:val="300"/>
        </w:trPr>
        <w:tc>
          <w:tcPr>
            <w:tcW w:w="1743" w:type="dxa"/>
            <w:noWrap/>
            <w:hideMark/>
          </w:tcPr>
          <w:p w14:paraId="59180BE2"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Qi et al., Front in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w:t>
            </w:r>
            <w:proofErr w:type="spellEnd"/>
            <w:r w:rsidRPr="00D34991">
              <w:rPr>
                <w:rFonts w:eastAsia="Times New Roman" w:cstheme="minorHAnsi"/>
                <w:color w:val="000000"/>
                <w:sz w:val="20"/>
                <w:szCs w:val="20"/>
                <w:lang w:eastAsia="en-GB"/>
              </w:rPr>
              <w:t>, 2015</w:t>
            </w:r>
          </w:p>
        </w:tc>
        <w:tc>
          <w:tcPr>
            <w:tcW w:w="1080" w:type="dxa"/>
          </w:tcPr>
          <w:p w14:paraId="0A8CC076"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54C033C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C901D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FC8DC7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7BFA6B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E6B855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DE6F95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0F7D12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3E1E88A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346D21D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9B8431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CF2D19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2B32B805" w14:textId="77777777" w:rsidTr="00E21374">
        <w:trPr>
          <w:trHeight w:val="300"/>
        </w:trPr>
        <w:tc>
          <w:tcPr>
            <w:tcW w:w="1743" w:type="dxa"/>
            <w:noWrap/>
            <w:hideMark/>
          </w:tcPr>
          <w:p w14:paraId="0362A37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Sun et al., CNS </w:t>
            </w:r>
            <w:proofErr w:type="spellStart"/>
            <w:r w:rsidRPr="00D34991">
              <w:rPr>
                <w:rFonts w:eastAsia="Times New Roman" w:cstheme="minorHAnsi"/>
                <w:color w:val="000000"/>
                <w:sz w:val="20"/>
                <w:szCs w:val="20"/>
                <w:lang w:eastAsia="en-GB"/>
              </w:rPr>
              <w:t>Spectr</w:t>
            </w:r>
            <w:proofErr w:type="spellEnd"/>
            <w:r w:rsidRPr="00D34991">
              <w:rPr>
                <w:rFonts w:eastAsia="Times New Roman" w:cstheme="minorHAnsi"/>
                <w:color w:val="000000"/>
                <w:sz w:val="20"/>
                <w:szCs w:val="20"/>
                <w:lang w:eastAsia="en-GB"/>
              </w:rPr>
              <w:t>, 2009</w:t>
            </w:r>
          </w:p>
        </w:tc>
        <w:tc>
          <w:tcPr>
            <w:tcW w:w="1080" w:type="dxa"/>
          </w:tcPr>
          <w:p w14:paraId="7A256916" w14:textId="77777777" w:rsidR="00E21374" w:rsidRPr="00A00E5B" w:rsidRDefault="00E21374" w:rsidP="00E21374">
            <w:pPr>
              <w:spacing w:line="240" w:lineRule="auto"/>
              <w:rPr>
                <w:sz w:val="18"/>
                <w:szCs w:val="18"/>
              </w:rPr>
            </w:pPr>
            <w:r w:rsidRPr="00A00E5B">
              <w:rPr>
                <w:sz w:val="18"/>
                <w:szCs w:val="18"/>
              </w:rPr>
              <w:t>Decision-making</w:t>
            </w:r>
          </w:p>
        </w:tc>
        <w:tc>
          <w:tcPr>
            <w:tcW w:w="633" w:type="dxa"/>
            <w:noWrap/>
            <w:hideMark/>
          </w:tcPr>
          <w:p w14:paraId="083D69E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715898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049F77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40A7F1B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5EFDC2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DDCCD1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AB56CF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1D21DF4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377F6C6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2E6E7B7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5F82779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3</w:t>
            </w:r>
          </w:p>
        </w:tc>
      </w:tr>
      <w:tr w:rsidR="00E21374" w:rsidRPr="00D34991" w14:paraId="54BEA402" w14:textId="77777777" w:rsidTr="00E21374">
        <w:trPr>
          <w:trHeight w:val="300"/>
        </w:trPr>
        <w:tc>
          <w:tcPr>
            <w:tcW w:w="1743" w:type="dxa"/>
            <w:noWrap/>
            <w:hideMark/>
          </w:tcPr>
          <w:p w14:paraId="53CA5B53"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Sun et al., CNS </w:t>
            </w:r>
            <w:proofErr w:type="spellStart"/>
            <w:r w:rsidRPr="00D34991">
              <w:rPr>
                <w:rFonts w:eastAsia="Times New Roman" w:cstheme="minorHAnsi"/>
                <w:color w:val="000000"/>
                <w:sz w:val="20"/>
                <w:szCs w:val="20"/>
                <w:lang w:eastAsia="en-GB"/>
              </w:rPr>
              <w:t>Spectr</w:t>
            </w:r>
            <w:proofErr w:type="spellEnd"/>
            <w:r w:rsidRPr="00D34991">
              <w:rPr>
                <w:rFonts w:eastAsia="Times New Roman" w:cstheme="minorHAnsi"/>
                <w:color w:val="000000"/>
                <w:sz w:val="20"/>
                <w:szCs w:val="20"/>
                <w:lang w:eastAsia="en-GB"/>
              </w:rPr>
              <w:t>, 2009</w:t>
            </w:r>
          </w:p>
        </w:tc>
        <w:tc>
          <w:tcPr>
            <w:tcW w:w="1080" w:type="dxa"/>
          </w:tcPr>
          <w:p w14:paraId="151E723F"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4C118E5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588F577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E1AFCE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C64AB6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7D10F39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E5F0D1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F867F7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15D54DC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331598D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E95703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25FF78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3</w:t>
            </w:r>
          </w:p>
        </w:tc>
      </w:tr>
      <w:tr w:rsidR="00E21374" w:rsidRPr="00D34991" w14:paraId="5F33EC5D" w14:textId="77777777" w:rsidTr="00E21374">
        <w:trPr>
          <w:trHeight w:val="300"/>
        </w:trPr>
        <w:tc>
          <w:tcPr>
            <w:tcW w:w="1743" w:type="dxa"/>
            <w:noWrap/>
            <w:hideMark/>
          </w:tcPr>
          <w:p w14:paraId="30A6D4F1"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Wang et al., </w:t>
            </w:r>
            <w:proofErr w:type="spellStart"/>
            <w:r w:rsidRPr="00D34991">
              <w:rPr>
                <w:rFonts w:eastAsia="Times New Roman" w:cstheme="minorHAnsi"/>
                <w:color w:val="000000"/>
                <w:sz w:val="20"/>
                <w:szCs w:val="20"/>
                <w:lang w:eastAsia="en-GB"/>
              </w:rPr>
              <w:t>Eur</w:t>
            </w:r>
            <w:proofErr w:type="spellEnd"/>
            <w:r w:rsidRPr="00D34991">
              <w:rPr>
                <w:rFonts w:eastAsia="Times New Roman" w:cstheme="minorHAnsi"/>
                <w:color w:val="000000"/>
                <w:sz w:val="20"/>
                <w:szCs w:val="20"/>
                <w:lang w:eastAsia="en-GB"/>
              </w:rPr>
              <w:t xml:space="preserve"> Arch Psychiatry </w:t>
            </w:r>
            <w:proofErr w:type="spellStart"/>
            <w:r w:rsidRPr="00D34991">
              <w:rPr>
                <w:rFonts w:eastAsia="Times New Roman" w:cstheme="minorHAnsi"/>
                <w:color w:val="000000"/>
                <w:sz w:val="20"/>
                <w:szCs w:val="20"/>
                <w:lang w:eastAsia="en-GB"/>
              </w:rPr>
              <w:t>Clin</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Neurosci</w:t>
            </w:r>
            <w:proofErr w:type="spellEnd"/>
            <w:r w:rsidRPr="00D34991">
              <w:rPr>
                <w:rFonts w:eastAsia="Times New Roman" w:cstheme="minorHAnsi"/>
                <w:color w:val="000000"/>
                <w:sz w:val="20"/>
                <w:szCs w:val="20"/>
                <w:lang w:eastAsia="en-GB"/>
              </w:rPr>
              <w:t>, 2017</w:t>
            </w:r>
          </w:p>
        </w:tc>
        <w:tc>
          <w:tcPr>
            <w:tcW w:w="1080" w:type="dxa"/>
          </w:tcPr>
          <w:p w14:paraId="0B43F0D4" w14:textId="77777777" w:rsidR="00E21374" w:rsidRPr="00A00E5B" w:rsidRDefault="00E21374" w:rsidP="00E21374">
            <w:pPr>
              <w:spacing w:line="240" w:lineRule="auto"/>
              <w:rPr>
                <w:sz w:val="18"/>
                <w:szCs w:val="18"/>
              </w:rPr>
            </w:pPr>
            <w:r w:rsidRPr="00A00E5B">
              <w:rPr>
                <w:sz w:val="18"/>
                <w:szCs w:val="18"/>
              </w:rPr>
              <w:t>Discounting</w:t>
            </w:r>
          </w:p>
        </w:tc>
        <w:tc>
          <w:tcPr>
            <w:tcW w:w="633" w:type="dxa"/>
            <w:noWrap/>
            <w:hideMark/>
          </w:tcPr>
          <w:p w14:paraId="487AAF3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5A16FC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D4B17F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4E3285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98E46C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23DFF3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1F756A7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7681ACD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67CFEC7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2EAFC54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2830478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704299BB" w14:textId="77777777" w:rsidTr="00E21374">
        <w:trPr>
          <w:trHeight w:val="300"/>
        </w:trPr>
        <w:tc>
          <w:tcPr>
            <w:tcW w:w="1743" w:type="dxa"/>
            <w:noWrap/>
            <w:hideMark/>
          </w:tcPr>
          <w:p w14:paraId="65FF9715"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Wang et al., European Psych, 2016</w:t>
            </w:r>
          </w:p>
        </w:tc>
        <w:tc>
          <w:tcPr>
            <w:tcW w:w="1080" w:type="dxa"/>
          </w:tcPr>
          <w:p w14:paraId="1953DEAB" w14:textId="77777777" w:rsidR="00E21374" w:rsidRPr="00A00E5B" w:rsidRDefault="00E21374" w:rsidP="00E21374">
            <w:pPr>
              <w:spacing w:line="240" w:lineRule="auto"/>
              <w:rPr>
                <w:sz w:val="18"/>
                <w:szCs w:val="18"/>
              </w:rPr>
            </w:pPr>
            <w:r w:rsidRPr="00A00E5B">
              <w:rPr>
                <w:sz w:val="18"/>
                <w:szCs w:val="18"/>
              </w:rPr>
              <w:t>Discounting</w:t>
            </w:r>
          </w:p>
        </w:tc>
        <w:tc>
          <w:tcPr>
            <w:tcW w:w="633" w:type="dxa"/>
            <w:noWrap/>
            <w:hideMark/>
          </w:tcPr>
          <w:p w14:paraId="4191F80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7E4D6F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117CB4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8DF0F5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05BF8D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5366E69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DA9F4F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C26AE9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303FBE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6AE3468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748" w:type="dxa"/>
          </w:tcPr>
          <w:p w14:paraId="2C16583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711D2FF6" w14:textId="77777777" w:rsidTr="00E21374">
        <w:trPr>
          <w:trHeight w:val="300"/>
        </w:trPr>
        <w:tc>
          <w:tcPr>
            <w:tcW w:w="1743" w:type="dxa"/>
            <w:noWrap/>
            <w:hideMark/>
          </w:tcPr>
          <w:p w14:paraId="461088C7"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Wang et al., Front in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w:t>
            </w:r>
            <w:proofErr w:type="spellEnd"/>
            <w:r w:rsidRPr="00D34991">
              <w:rPr>
                <w:rFonts w:eastAsia="Times New Roman" w:cstheme="minorHAnsi"/>
                <w:color w:val="000000"/>
                <w:sz w:val="20"/>
                <w:szCs w:val="20"/>
                <w:lang w:eastAsia="en-GB"/>
              </w:rPr>
              <w:t>, 2015</w:t>
            </w:r>
          </w:p>
        </w:tc>
        <w:tc>
          <w:tcPr>
            <w:tcW w:w="1080" w:type="dxa"/>
          </w:tcPr>
          <w:p w14:paraId="035C1F3A"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00269AE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410AD6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ED88E4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4D6FD7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46C625E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AA8014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A46DBA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6B64CEE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1563950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2859A85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29B767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3</w:t>
            </w:r>
          </w:p>
        </w:tc>
      </w:tr>
      <w:tr w:rsidR="00E21374" w:rsidRPr="00D34991" w14:paraId="0B211909" w14:textId="77777777" w:rsidTr="00E21374">
        <w:trPr>
          <w:trHeight w:val="300"/>
        </w:trPr>
        <w:tc>
          <w:tcPr>
            <w:tcW w:w="1743" w:type="dxa"/>
            <w:noWrap/>
            <w:hideMark/>
          </w:tcPr>
          <w:p w14:paraId="07C5E40F"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Xing et al., Brain Res, 2014</w:t>
            </w:r>
          </w:p>
        </w:tc>
        <w:tc>
          <w:tcPr>
            <w:tcW w:w="1080" w:type="dxa"/>
          </w:tcPr>
          <w:p w14:paraId="4DCAD84F"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79D925C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1A8AAC9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50BF55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46D01EA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935369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497C796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474B2F6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A655B7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D733CD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18F22F6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E10F20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8</w:t>
            </w:r>
          </w:p>
        </w:tc>
      </w:tr>
      <w:tr w:rsidR="00E21374" w:rsidRPr="00D34991" w14:paraId="13A33668" w14:textId="77777777" w:rsidTr="00E21374">
        <w:trPr>
          <w:trHeight w:val="300"/>
        </w:trPr>
        <w:tc>
          <w:tcPr>
            <w:tcW w:w="1743" w:type="dxa"/>
            <w:noWrap/>
            <w:hideMark/>
          </w:tcPr>
          <w:p w14:paraId="0FCA2DBD"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Yao et al., Psych Res, 2015</w:t>
            </w:r>
          </w:p>
        </w:tc>
        <w:tc>
          <w:tcPr>
            <w:tcW w:w="1080" w:type="dxa"/>
          </w:tcPr>
          <w:p w14:paraId="5A49595D"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4AF63D5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39C3CC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7BD44FA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B0147D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B2E9CC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6640B68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BA698F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2147A36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5454BEE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22C498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80DC74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33113494" w14:textId="77777777" w:rsidTr="00E21374">
        <w:trPr>
          <w:trHeight w:val="300"/>
        </w:trPr>
        <w:tc>
          <w:tcPr>
            <w:tcW w:w="1743" w:type="dxa"/>
            <w:noWrap/>
            <w:hideMark/>
          </w:tcPr>
          <w:p w14:paraId="776AE30F"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Yao et al., Psych Res, 2015</w:t>
            </w:r>
          </w:p>
        </w:tc>
        <w:tc>
          <w:tcPr>
            <w:tcW w:w="1080" w:type="dxa"/>
          </w:tcPr>
          <w:p w14:paraId="5A95A7E4"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3A56AFF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2AA9844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444460B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E3E82C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F2AE3C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7B7135F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12F209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8010F3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6BB0FE0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00E3EF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3D925D4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2A71E48E" w14:textId="77777777" w:rsidTr="00E21374">
        <w:trPr>
          <w:trHeight w:val="300"/>
        </w:trPr>
        <w:tc>
          <w:tcPr>
            <w:tcW w:w="1743" w:type="dxa"/>
            <w:noWrap/>
            <w:hideMark/>
          </w:tcPr>
          <w:p w14:paraId="361AD354"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Yuan et al., Addiction </w:t>
            </w:r>
            <w:proofErr w:type="spellStart"/>
            <w:r w:rsidRPr="00D34991">
              <w:rPr>
                <w:rFonts w:eastAsia="Times New Roman" w:cstheme="minorHAnsi"/>
                <w:color w:val="000000"/>
                <w:sz w:val="20"/>
                <w:szCs w:val="20"/>
                <w:lang w:eastAsia="en-GB"/>
              </w:rPr>
              <w:t>Biol</w:t>
            </w:r>
            <w:proofErr w:type="spellEnd"/>
            <w:r w:rsidRPr="00D34991">
              <w:rPr>
                <w:rFonts w:eastAsia="Times New Roman" w:cstheme="minorHAnsi"/>
                <w:color w:val="000000"/>
                <w:sz w:val="20"/>
                <w:szCs w:val="20"/>
                <w:lang w:eastAsia="en-GB"/>
              </w:rPr>
              <w:t>, 2016</w:t>
            </w:r>
          </w:p>
        </w:tc>
        <w:tc>
          <w:tcPr>
            <w:tcW w:w="1080" w:type="dxa"/>
          </w:tcPr>
          <w:p w14:paraId="3E2A14E2"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6F6FF3F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4F06BE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66971B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63B39D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925C85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9837B0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413E26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9E19D5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2F5D686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2D7BC6F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008C890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7B980C05" w14:textId="77777777" w:rsidTr="00E21374">
        <w:trPr>
          <w:trHeight w:val="300"/>
        </w:trPr>
        <w:tc>
          <w:tcPr>
            <w:tcW w:w="1743" w:type="dxa"/>
            <w:noWrap/>
            <w:hideMark/>
          </w:tcPr>
          <w:p w14:paraId="6E59DD99"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Yuan et al., Brain </w:t>
            </w:r>
            <w:proofErr w:type="spellStart"/>
            <w:r w:rsidRPr="00D34991">
              <w:rPr>
                <w:rFonts w:eastAsia="Times New Roman" w:cstheme="minorHAnsi"/>
                <w:color w:val="000000"/>
                <w:sz w:val="20"/>
                <w:szCs w:val="20"/>
                <w:lang w:eastAsia="en-GB"/>
              </w:rPr>
              <w:t>Struct</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Funct</w:t>
            </w:r>
            <w:proofErr w:type="spellEnd"/>
            <w:r w:rsidRPr="00D34991">
              <w:rPr>
                <w:rFonts w:eastAsia="Times New Roman" w:cstheme="minorHAnsi"/>
                <w:color w:val="000000"/>
                <w:sz w:val="20"/>
                <w:szCs w:val="20"/>
                <w:lang w:eastAsia="en-GB"/>
              </w:rPr>
              <w:t>, 2016</w:t>
            </w:r>
          </w:p>
        </w:tc>
        <w:tc>
          <w:tcPr>
            <w:tcW w:w="1080" w:type="dxa"/>
          </w:tcPr>
          <w:p w14:paraId="08971CE6" w14:textId="77777777" w:rsidR="00E21374" w:rsidRPr="00A00E5B" w:rsidRDefault="00E21374" w:rsidP="00E21374">
            <w:pPr>
              <w:spacing w:line="240" w:lineRule="auto"/>
              <w:rPr>
                <w:sz w:val="18"/>
                <w:szCs w:val="18"/>
              </w:rPr>
            </w:pPr>
            <w:r w:rsidRPr="00A00E5B">
              <w:rPr>
                <w:sz w:val="18"/>
                <w:szCs w:val="18"/>
              </w:rPr>
              <w:t>Stroop</w:t>
            </w:r>
          </w:p>
        </w:tc>
        <w:tc>
          <w:tcPr>
            <w:tcW w:w="633" w:type="dxa"/>
            <w:noWrap/>
            <w:hideMark/>
          </w:tcPr>
          <w:p w14:paraId="283C6B6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30F17C6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B3E4C6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00665E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70806898"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9397DF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7DA2323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26C43E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1E753D6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12C1350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191CA94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54E2963A" w14:textId="77777777" w:rsidTr="00E21374">
        <w:trPr>
          <w:trHeight w:val="300"/>
        </w:trPr>
        <w:tc>
          <w:tcPr>
            <w:tcW w:w="1743" w:type="dxa"/>
            <w:noWrap/>
            <w:hideMark/>
          </w:tcPr>
          <w:p w14:paraId="1312113B"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Zhou et al, Act </w:t>
            </w:r>
            <w:proofErr w:type="spellStart"/>
            <w:r w:rsidRPr="00D34991">
              <w:rPr>
                <w:rFonts w:eastAsia="Times New Roman" w:cstheme="minorHAnsi"/>
                <w:color w:val="000000"/>
                <w:sz w:val="20"/>
                <w:szCs w:val="20"/>
                <w:lang w:eastAsia="en-GB"/>
              </w:rPr>
              <w:t>Neuropsychiatrica</w:t>
            </w:r>
            <w:proofErr w:type="spellEnd"/>
            <w:r w:rsidRPr="00D34991">
              <w:rPr>
                <w:rFonts w:eastAsia="Times New Roman" w:cstheme="minorHAnsi"/>
                <w:color w:val="000000"/>
                <w:sz w:val="20"/>
                <w:szCs w:val="20"/>
                <w:lang w:eastAsia="en-GB"/>
              </w:rPr>
              <w:t>, 2010</w:t>
            </w:r>
          </w:p>
        </w:tc>
        <w:tc>
          <w:tcPr>
            <w:tcW w:w="1080" w:type="dxa"/>
          </w:tcPr>
          <w:p w14:paraId="372BD030"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26DE8D6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42E3FC6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3F565CD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F34C67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6AF016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12D5803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3A3C55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CD6B03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3333E3E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52" w:type="dxa"/>
            <w:noWrap/>
            <w:hideMark/>
          </w:tcPr>
          <w:p w14:paraId="68BA392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B2E93A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6</w:t>
            </w:r>
          </w:p>
        </w:tc>
      </w:tr>
      <w:tr w:rsidR="00E21374" w:rsidRPr="00D34991" w14:paraId="6C9AFEAC" w14:textId="77777777" w:rsidTr="00E21374">
        <w:trPr>
          <w:trHeight w:val="300"/>
        </w:trPr>
        <w:tc>
          <w:tcPr>
            <w:tcW w:w="1743" w:type="dxa"/>
            <w:noWrap/>
            <w:hideMark/>
          </w:tcPr>
          <w:p w14:paraId="13AA09E3"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lastRenderedPageBreak/>
              <w:t xml:space="preserve">Zhou et al., </w:t>
            </w:r>
            <w:proofErr w:type="spellStart"/>
            <w:r w:rsidRPr="00D34991">
              <w:rPr>
                <w:rFonts w:eastAsia="Times New Roman" w:cstheme="minorHAnsi"/>
                <w:color w:val="000000"/>
                <w:sz w:val="20"/>
                <w:szCs w:val="20"/>
                <w:lang w:eastAsia="en-GB"/>
              </w:rPr>
              <w:t>Acta</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Neuropsychiatrica</w:t>
            </w:r>
            <w:proofErr w:type="spellEnd"/>
            <w:r w:rsidRPr="00D34991">
              <w:rPr>
                <w:rFonts w:eastAsia="Times New Roman" w:cstheme="minorHAnsi"/>
                <w:color w:val="000000"/>
                <w:sz w:val="20"/>
                <w:szCs w:val="20"/>
                <w:lang w:eastAsia="en-GB"/>
              </w:rPr>
              <w:t>, 2016</w:t>
            </w:r>
          </w:p>
        </w:tc>
        <w:tc>
          <w:tcPr>
            <w:tcW w:w="1080" w:type="dxa"/>
          </w:tcPr>
          <w:p w14:paraId="7D4A02A2" w14:textId="77777777" w:rsidR="00E21374" w:rsidRPr="00A00E5B" w:rsidRDefault="00E21374" w:rsidP="00E21374">
            <w:pPr>
              <w:spacing w:line="240" w:lineRule="auto"/>
              <w:rPr>
                <w:sz w:val="18"/>
                <w:szCs w:val="18"/>
              </w:rPr>
            </w:pPr>
            <w:r w:rsidRPr="00A00E5B">
              <w:rPr>
                <w:sz w:val="18"/>
                <w:szCs w:val="18"/>
              </w:rPr>
              <w:t>Working memory</w:t>
            </w:r>
          </w:p>
        </w:tc>
        <w:tc>
          <w:tcPr>
            <w:tcW w:w="633" w:type="dxa"/>
            <w:noWrap/>
            <w:hideMark/>
          </w:tcPr>
          <w:p w14:paraId="1B53F16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7E6082E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578C037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16D8A6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5264592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6EBD1A0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679CC88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04C697A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51B5822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3B4E850E"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E534C1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0EF37701" w14:textId="77777777" w:rsidTr="00E21374">
        <w:trPr>
          <w:trHeight w:val="300"/>
        </w:trPr>
        <w:tc>
          <w:tcPr>
            <w:tcW w:w="1743" w:type="dxa"/>
            <w:noWrap/>
            <w:hideMark/>
          </w:tcPr>
          <w:p w14:paraId="1128F10B"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Zhou et al., </w:t>
            </w:r>
            <w:proofErr w:type="spellStart"/>
            <w:r w:rsidRPr="00D34991">
              <w:rPr>
                <w:rFonts w:eastAsia="Times New Roman" w:cstheme="minorHAnsi"/>
                <w:color w:val="000000"/>
                <w:sz w:val="20"/>
                <w:szCs w:val="20"/>
                <w:lang w:eastAsia="en-GB"/>
              </w:rPr>
              <w:t>Acta</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Neuropsychiatrica</w:t>
            </w:r>
            <w:proofErr w:type="spellEnd"/>
            <w:r w:rsidRPr="00D34991">
              <w:rPr>
                <w:rFonts w:eastAsia="Times New Roman" w:cstheme="minorHAnsi"/>
                <w:color w:val="000000"/>
                <w:sz w:val="20"/>
                <w:szCs w:val="20"/>
                <w:lang w:eastAsia="en-GB"/>
              </w:rPr>
              <w:t>, 2016</w:t>
            </w:r>
          </w:p>
        </w:tc>
        <w:tc>
          <w:tcPr>
            <w:tcW w:w="1080" w:type="dxa"/>
          </w:tcPr>
          <w:p w14:paraId="6AB3DD7A"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1144912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0E81340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0DB4ABA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6729323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3277D24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39C9C78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0CF85D90"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2F2A16C9"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7CB8DCB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5AF7F4B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5746FD7"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7DA78AB4" w14:textId="77777777" w:rsidTr="00E21374">
        <w:trPr>
          <w:trHeight w:val="300"/>
        </w:trPr>
        <w:tc>
          <w:tcPr>
            <w:tcW w:w="1743" w:type="dxa"/>
            <w:noWrap/>
            <w:hideMark/>
          </w:tcPr>
          <w:p w14:paraId="2D292A6B"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Zhou et el., Front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Neurosc</w:t>
            </w:r>
            <w:proofErr w:type="spellEnd"/>
            <w:r w:rsidRPr="00D34991">
              <w:rPr>
                <w:rFonts w:eastAsia="Times New Roman" w:cstheme="minorHAnsi"/>
                <w:color w:val="000000"/>
                <w:sz w:val="20"/>
                <w:szCs w:val="20"/>
                <w:lang w:eastAsia="en-GB"/>
              </w:rPr>
              <w:t xml:space="preserve"> 2014</w:t>
            </w:r>
          </w:p>
        </w:tc>
        <w:tc>
          <w:tcPr>
            <w:tcW w:w="1080" w:type="dxa"/>
          </w:tcPr>
          <w:p w14:paraId="1F4D2889" w14:textId="77777777" w:rsidR="00E21374" w:rsidRPr="00A00E5B" w:rsidRDefault="00E21374" w:rsidP="00E21374">
            <w:pPr>
              <w:spacing w:line="240" w:lineRule="auto"/>
              <w:rPr>
                <w:sz w:val="18"/>
                <w:szCs w:val="18"/>
              </w:rPr>
            </w:pPr>
            <w:r w:rsidRPr="00A00E5B">
              <w:rPr>
                <w:sz w:val="18"/>
                <w:szCs w:val="18"/>
              </w:rPr>
              <w:t>Working memory</w:t>
            </w:r>
          </w:p>
        </w:tc>
        <w:tc>
          <w:tcPr>
            <w:tcW w:w="633" w:type="dxa"/>
            <w:noWrap/>
            <w:hideMark/>
          </w:tcPr>
          <w:p w14:paraId="6E18C53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4751D632"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29931D7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0BDF691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4CFEDB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07DFC5E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2EB7CD6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5C50329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BB10DC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226AD6CD"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77BF36D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r w:rsidR="00E21374" w:rsidRPr="00D34991" w14:paraId="2DA72511" w14:textId="77777777" w:rsidTr="00E21374">
        <w:trPr>
          <w:trHeight w:val="300"/>
        </w:trPr>
        <w:tc>
          <w:tcPr>
            <w:tcW w:w="1743" w:type="dxa"/>
            <w:noWrap/>
            <w:hideMark/>
          </w:tcPr>
          <w:p w14:paraId="1F810903" w14:textId="77777777" w:rsidR="00E21374" w:rsidRPr="00D34991" w:rsidRDefault="00E21374" w:rsidP="00E21374">
            <w:pPr>
              <w:spacing w:line="240" w:lineRule="auto"/>
              <w:jc w:val="left"/>
              <w:rPr>
                <w:rFonts w:eastAsia="Times New Roman" w:cstheme="minorHAnsi"/>
                <w:color w:val="000000"/>
                <w:sz w:val="20"/>
                <w:szCs w:val="20"/>
                <w:lang w:eastAsia="en-GB"/>
              </w:rPr>
            </w:pPr>
            <w:r w:rsidRPr="00D34991">
              <w:rPr>
                <w:rFonts w:eastAsia="Times New Roman" w:cstheme="minorHAnsi"/>
                <w:color w:val="000000"/>
                <w:sz w:val="20"/>
                <w:szCs w:val="20"/>
                <w:lang w:eastAsia="en-GB"/>
              </w:rPr>
              <w:t xml:space="preserve">Zhou et el., Front </w:t>
            </w:r>
            <w:proofErr w:type="spellStart"/>
            <w:r w:rsidRPr="00D34991">
              <w:rPr>
                <w:rFonts w:eastAsia="Times New Roman" w:cstheme="minorHAnsi"/>
                <w:color w:val="000000"/>
                <w:sz w:val="20"/>
                <w:szCs w:val="20"/>
                <w:lang w:eastAsia="en-GB"/>
              </w:rPr>
              <w:t>Behav</w:t>
            </w:r>
            <w:proofErr w:type="spellEnd"/>
            <w:r w:rsidRPr="00D34991">
              <w:rPr>
                <w:rFonts w:eastAsia="Times New Roman" w:cstheme="minorHAnsi"/>
                <w:color w:val="000000"/>
                <w:sz w:val="20"/>
                <w:szCs w:val="20"/>
                <w:lang w:eastAsia="en-GB"/>
              </w:rPr>
              <w:t xml:space="preserve"> </w:t>
            </w:r>
            <w:proofErr w:type="spellStart"/>
            <w:r w:rsidRPr="00D34991">
              <w:rPr>
                <w:rFonts w:eastAsia="Times New Roman" w:cstheme="minorHAnsi"/>
                <w:color w:val="000000"/>
                <w:sz w:val="20"/>
                <w:szCs w:val="20"/>
                <w:lang w:eastAsia="en-GB"/>
              </w:rPr>
              <w:t>Neurosc</w:t>
            </w:r>
            <w:proofErr w:type="spellEnd"/>
            <w:r w:rsidRPr="00D34991">
              <w:rPr>
                <w:rFonts w:eastAsia="Times New Roman" w:cstheme="minorHAnsi"/>
                <w:color w:val="000000"/>
                <w:sz w:val="20"/>
                <w:szCs w:val="20"/>
                <w:lang w:eastAsia="en-GB"/>
              </w:rPr>
              <w:t xml:space="preserve"> 2014</w:t>
            </w:r>
          </w:p>
        </w:tc>
        <w:tc>
          <w:tcPr>
            <w:tcW w:w="1080" w:type="dxa"/>
          </w:tcPr>
          <w:p w14:paraId="3443880A" w14:textId="77777777" w:rsidR="00E21374" w:rsidRPr="00A00E5B" w:rsidRDefault="00E21374" w:rsidP="00E21374">
            <w:pPr>
              <w:spacing w:line="240" w:lineRule="auto"/>
              <w:rPr>
                <w:sz w:val="18"/>
                <w:szCs w:val="18"/>
              </w:rPr>
            </w:pPr>
            <w:r w:rsidRPr="00A00E5B">
              <w:rPr>
                <w:sz w:val="18"/>
                <w:szCs w:val="18"/>
              </w:rPr>
              <w:t>GNG</w:t>
            </w:r>
          </w:p>
        </w:tc>
        <w:tc>
          <w:tcPr>
            <w:tcW w:w="633" w:type="dxa"/>
            <w:noWrap/>
            <w:hideMark/>
          </w:tcPr>
          <w:p w14:paraId="1DC6BA35"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4" w:type="dxa"/>
            <w:noWrap/>
            <w:hideMark/>
          </w:tcPr>
          <w:p w14:paraId="6BE23D2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922" w:type="dxa"/>
            <w:noWrap/>
            <w:hideMark/>
          </w:tcPr>
          <w:p w14:paraId="6151AA7B"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1506274C"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664" w:type="dxa"/>
            <w:noWrap/>
            <w:hideMark/>
          </w:tcPr>
          <w:p w14:paraId="281E56B1"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663" w:type="dxa"/>
            <w:noWrap/>
            <w:hideMark/>
          </w:tcPr>
          <w:p w14:paraId="2EF0941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35" w:type="dxa"/>
            <w:noWrap/>
            <w:hideMark/>
          </w:tcPr>
          <w:p w14:paraId="5E6E6E14"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0</w:t>
            </w:r>
          </w:p>
        </w:tc>
        <w:tc>
          <w:tcPr>
            <w:tcW w:w="535" w:type="dxa"/>
            <w:noWrap/>
            <w:hideMark/>
          </w:tcPr>
          <w:p w14:paraId="4D81DDCA"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1053" w:type="dxa"/>
            <w:noWrap/>
            <w:hideMark/>
          </w:tcPr>
          <w:p w14:paraId="0A267723"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552" w:type="dxa"/>
            <w:noWrap/>
            <w:hideMark/>
          </w:tcPr>
          <w:p w14:paraId="00B52AA6"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1</w:t>
            </w:r>
          </w:p>
        </w:tc>
        <w:tc>
          <w:tcPr>
            <w:tcW w:w="748" w:type="dxa"/>
          </w:tcPr>
          <w:p w14:paraId="4131C6DF" w14:textId="77777777" w:rsidR="00E21374" w:rsidRPr="00D34991" w:rsidRDefault="00E21374" w:rsidP="00E21374">
            <w:pPr>
              <w:spacing w:line="240" w:lineRule="auto"/>
              <w:jc w:val="center"/>
              <w:rPr>
                <w:rFonts w:eastAsia="Times New Roman" w:cstheme="minorHAnsi"/>
                <w:color w:val="000000"/>
                <w:sz w:val="20"/>
                <w:szCs w:val="20"/>
                <w:lang w:eastAsia="en-GB"/>
              </w:rPr>
            </w:pPr>
            <w:r w:rsidRPr="00D34991">
              <w:rPr>
                <w:rFonts w:eastAsia="Times New Roman" w:cstheme="minorHAnsi"/>
                <w:color w:val="000000"/>
                <w:sz w:val="20"/>
                <w:szCs w:val="20"/>
                <w:lang w:eastAsia="en-GB"/>
              </w:rPr>
              <w:t>7</w:t>
            </w:r>
          </w:p>
        </w:tc>
      </w:tr>
    </w:tbl>
    <w:p w14:paraId="0045CA22" w14:textId="77777777" w:rsidR="00E21374" w:rsidRDefault="00E21374" w:rsidP="00E21374"/>
    <w:p w14:paraId="10681C5F" w14:textId="77777777" w:rsidR="00E21374" w:rsidRDefault="00E21374" w:rsidP="00E21374">
      <w:pPr>
        <w:spacing w:line="259" w:lineRule="auto"/>
        <w:jc w:val="left"/>
        <w:rPr>
          <w:rFonts w:asciiTheme="majorHAnsi" w:eastAsiaTheme="majorEastAsia" w:hAnsiTheme="majorHAnsi" w:cstheme="majorBidi"/>
          <w:b/>
          <w:sz w:val="26"/>
          <w:szCs w:val="26"/>
        </w:rPr>
      </w:pPr>
      <w:r>
        <w:br w:type="page"/>
      </w:r>
    </w:p>
    <w:p w14:paraId="4B60ABC5" w14:textId="052BD057" w:rsidR="000E1816" w:rsidRDefault="00FE07DA" w:rsidP="00E21374">
      <w:pPr>
        <w:pStyle w:val="Heading1"/>
      </w:pPr>
      <w:r>
        <w:lastRenderedPageBreak/>
        <w:t>T</w:t>
      </w:r>
      <w:r w:rsidR="006E5EF8">
        <w:t>ABLE</w:t>
      </w:r>
      <w:r>
        <w:t xml:space="preserve"> S</w:t>
      </w:r>
      <w:r w:rsidR="00E21374">
        <w:t>2</w:t>
      </w:r>
      <w:r>
        <w:t xml:space="preserve"> - Full list of studies included in the meta-analysis with demographic and problematic internet use characteristics</w:t>
      </w:r>
    </w:p>
    <w:tbl>
      <w:tblPr>
        <w:tblStyle w:val="TableGrid"/>
        <w:tblW w:w="11052" w:type="dxa"/>
        <w:tblLayout w:type="fixed"/>
        <w:tblLook w:val="04A0" w:firstRow="1" w:lastRow="0" w:firstColumn="1" w:lastColumn="0" w:noHBand="0" w:noVBand="1"/>
      </w:tblPr>
      <w:tblGrid>
        <w:gridCol w:w="440"/>
        <w:gridCol w:w="1896"/>
        <w:gridCol w:w="825"/>
        <w:gridCol w:w="1059"/>
        <w:gridCol w:w="850"/>
        <w:gridCol w:w="992"/>
        <w:gridCol w:w="1134"/>
        <w:gridCol w:w="1417"/>
        <w:gridCol w:w="1418"/>
        <w:gridCol w:w="1021"/>
      </w:tblGrid>
      <w:tr w:rsidR="00865A76" w14:paraId="0F702582" w14:textId="77777777" w:rsidTr="00865A76">
        <w:tc>
          <w:tcPr>
            <w:tcW w:w="440" w:type="dxa"/>
            <w:shd w:val="clear" w:color="auto" w:fill="E7E6E6" w:themeFill="background2"/>
          </w:tcPr>
          <w:p w14:paraId="56AA7111" w14:textId="77777777" w:rsidR="00865A76" w:rsidRPr="00B514A7" w:rsidRDefault="00865A76" w:rsidP="000E1816">
            <w:pPr>
              <w:rPr>
                <w:rFonts w:cstheme="minorHAnsi"/>
                <w:b/>
                <w:sz w:val="20"/>
                <w:szCs w:val="20"/>
              </w:rPr>
            </w:pPr>
            <w:r w:rsidRPr="00B514A7">
              <w:rPr>
                <w:rFonts w:cstheme="minorHAnsi"/>
                <w:b/>
                <w:sz w:val="20"/>
                <w:szCs w:val="20"/>
                <w:lang w:eastAsia="en-GB"/>
              </w:rPr>
              <w:t>ID</w:t>
            </w:r>
          </w:p>
        </w:tc>
        <w:tc>
          <w:tcPr>
            <w:tcW w:w="1896" w:type="dxa"/>
            <w:shd w:val="clear" w:color="auto" w:fill="E7E6E6" w:themeFill="background2"/>
          </w:tcPr>
          <w:p w14:paraId="63C08479" w14:textId="77777777" w:rsidR="00865A76" w:rsidRPr="00B514A7" w:rsidRDefault="00865A76" w:rsidP="000E1816">
            <w:pPr>
              <w:rPr>
                <w:rFonts w:cstheme="minorHAnsi"/>
                <w:b/>
                <w:sz w:val="20"/>
                <w:szCs w:val="20"/>
              </w:rPr>
            </w:pPr>
            <w:r>
              <w:rPr>
                <w:rFonts w:cstheme="minorHAnsi"/>
                <w:b/>
                <w:bCs/>
                <w:sz w:val="20"/>
                <w:szCs w:val="20"/>
                <w:lang w:eastAsia="en-GB"/>
              </w:rPr>
              <w:t>Study</w:t>
            </w:r>
          </w:p>
        </w:tc>
        <w:tc>
          <w:tcPr>
            <w:tcW w:w="825" w:type="dxa"/>
            <w:shd w:val="clear" w:color="auto" w:fill="E7E6E6" w:themeFill="background2"/>
          </w:tcPr>
          <w:p w14:paraId="6BA6F3FD" w14:textId="77777777" w:rsidR="00865A76" w:rsidRPr="00B514A7" w:rsidRDefault="00865A76" w:rsidP="000E1816">
            <w:pPr>
              <w:rPr>
                <w:rFonts w:cstheme="minorHAnsi"/>
                <w:b/>
                <w:sz w:val="20"/>
                <w:szCs w:val="20"/>
              </w:rPr>
            </w:pPr>
            <w:r w:rsidRPr="00B514A7">
              <w:rPr>
                <w:rFonts w:cstheme="minorHAnsi"/>
                <w:b/>
                <w:bCs/>
                <w:sz w:val="20"/>
                <w:szCs w:val="20"/>
                <w:lang w:eastAsia="en-GB"/>
              </w:rPr>
              <w:t xml:space="preserve">Age </w:t>
            </w:r>
          </w:p>
        </w:tc>
        <w:tc>
          <w:tcPr>
            <w:tcW w:w="1059" w:type="dxa"/>
            <w:shd w:val="clear" w:color="auto" w:fill="E7E6E6" w:themeFill="background2"/>
          </w:tcPr>
          <w:p w14:paraId="7EEB2F89" w14:textId="77777777" w:rsidR="00865A76" w:rsidRPr="00B514A7" w:rsidRDefault="00865A76" w:rsidP="000E1816">
            <w:pPr>
              <w:rPr>
                <w:rFonts w:cstheme="minorHAnsi"/>
                <w:b/>
                <w:sz w:val="20"/>
                <w:szCs w:val="20"/>
              </w:rPr>
            </w:pPr>
            <w:r w:rsidRPr="00B514A7">
              <w:rPr>
                <w:rFonts w:cstheme="minorHAnsi"/>
                <w:b/>
                <w:bCs/>
                <w:sz w:val="20"/>
                <w:szCs w:val="20"/>
                <w:lang w:eastAsia="en-GB"/>
              </w:rPr>
              <w:t>Gender</w:t>
            </w:r>
            <w:r>
              <w:rPr>
                <w:rFonts w:cstheme="minorHAnsi"/>
                <w:b/>
                <w:bCs/>
                <w:sz w:val="20"/>
                <w:szCs w:val="20"/>
                <w:lang w:eastAsia="en-GB"/>
              </w:rPr>
              <w:t xml:space="preserve"> Mix</w:t>
            </w:r>
          </w:p>
        </w:tc>
        <w:tc>
          <w:tcPr>
            <w:tcW w:w="850" w:type="dxa"/>
            <w:shd w:val="clear" w:color="auto" w:fill="E7E6E6" w:themeFill="background2"/>
          </w:tcPr>
          <w:p w14:paraId="1F8B9A13" w14:textId="77777777" w:rsidR="00865A76" w:rsidRPr="00B514A7" w:rsidRDefault="00865A76" w:rsidP="000E1816">
            <w:pPr>
              <w:rPr>
                <w:rFonts w:cstheme="minorHAnsi"/>
                <w:b/>
                <w:sz w:val="20"/>
                <w:szCs w:val="20"/>
              </w:rPr>
            </w:pPr>
            <w:r>
              <w:rPr>
                <w:rFonts w:cstheme="minorHAnsi"/>
                <w:b/>
                <w:bCs/>
                <w:sz w:val="20"/>
                <w:szCs w:val="20"/>
                <w:lang w:eastAsia="en-GB"/>
              </w:rPr>
              <w:t>Area</w:t>
            </w:r>
          </w:p>
        </w:tc>
        <w:tc>
          <w:tcPr>
            <w:tcW w:w="992" w:type="dxa"/>
            <w:shd w:val="clear" w:color="auto" w:fill="E7E6E6" w:themeFill="background2"/>
          </w:tcPr>
          <w:p w14:paraId="49A295C1" w14:textId="77777777" w:rsidR="00865A76" w:rsidRPr="00B514A7" w:rsidRDefault="00865A76" w:rsidP="000E1816">
            <w:pPr>
              <w:rPr>
                <w:rFonts w:cstheme="minorHAnsi"/>
                <w:b/>
                <w:sz w:val="20"/>
                <w:szCs w:val="20"/>
              </w:rPr>
            </w:pPr>
            <w:r w:rsidRPr="00B514A7">
              <w:rPr>
                <w:rFonts w:cstheme="minorHAnsi"/>
                <w:b/>
                <w:bCs/>
                <w:sz w:val="20"/>
                <w:szCs w:val="20"/>
                <w:lang w:eastAsia="en-GB"/>
              </w:rPr>
              <w:t>Scale</w:t>
            </w:r>
          </w:p>
        </w:tc>
        <w:tc>
          <w:tcPr>
            <w:tcW w:w="1134" w:type="dxa"/>
            <w:shd w:val="clear" w:color="auto" w:fill="E7E6E6" w:themeFill="background2"/>
          </w:tcPr>
          <w:p w14:paraId="7D57F88F" w14:textId="77777777" w:rsidR="00865A76" w:rsidRPr="00B514A7" w:rsidRDefault="00865A76" w:rsidP="000E1816">
            <w:pPr>
              <w:rPr>
                <w:rFonts w:cstheme="minorHAnsi"/>
                <w:b/>
                <w:sz w:val="20"/>
                <w:szCs w:val="20"/>
              </w:rPr>
            </w:pPr>
            <w:r>
              <w:rPr>
                <w:rFonts w:cstheme="minorHAnsi"/>
                <w:b/>
                <w:bCs/>
                <w:sz w:val="20"/>
                <w:szCs w:val="20"/>
                <w:lang w:eastAsia="en-GB"/>
              </w:rPr>
              <w:t>PIU Definition</w:t>
            </w:r>
          </w:p>
        </w:tc>
        <w:tc>
          <w:tcPr>
            <w:tcW w:w="1417" w:type="dxa"/>
            <w:shd w:val="clear" w:color="auto" w:fill="E7E6E6" w:themeFill="background2"/>
          </w:tcPr>
          <w:p w14:paraId="32E771EC" w14:textId="77777777" w:rsidR="00865A76" w:rsidRPr="00B514A7" w:rsidRDefault="00865A76" w:rsidP="000E1816">
            <w:pPr>
              <w:rPr>
                <w:rFonts w:cstheme="minorHAnsi"/>
                <w:b/>
                <w:sz w:val="20"/>
                <w:szCs w:val="20"/>
              </w:rPr>
            </w:pPr>
            <w:r>
              <w:rPr>
                <w:rFonts w:cstheme="minorHAnsi"/>
                <w:b/>
                <w:bCs/>
                <w:sz w:val="20"/>
                <w:szCs w:val="20"/>
                <w:lang w:eastAsia="en-GB"/>
              </w:rPr>
              <w:t>Reported Co</w:t>
            </w:r>
            <w:r w:rsidRPr="00B514A7">
              <w:rPr>
                <w:rFonts w:cstheme="minorHAnsi"/>
                <w:b/>
                <w:bCs/>
                <w:sz w:val="20"/>
                <w:szCs w:val="20"/>
                <w:lang w:eastAsia="en-GB"/>
              </w:rPr>
              <w:t>morbidities</w:t>
            </w:r>
          </w:p>
        </w:tc>
        <w:tc>
          <w:tcPr>
            <w:tcW w:w="1418" w:type="dxa"/>
            <w:shd w:val="clear" w:color="auto" w:fill="E7E6E6" w:themeFill="background2"/>
          </w:tcPr>
          <w:p w14:paraId="740A3AD4" w14:textId="77777777" w:rsidR="00865A76" w:rsidRPr="00B514A7" w:rsidRDefault="00865A76" w:rsidP="000E1816">
            <w:pPr>
              <w:rPr>
                <w:rFonts w:cstheme="minorHAnsi"/>
                <w:b/>
                <w:sz w:val="20"/>
                <w:szCs w:val="20"/>
              </w:rPr>
            </w:pPr>
            <w:r>
              <w:rPr>
                <w:rFonts w:cstheme="minorHAnsi"/>
                <w:b/>
                <w:bCs/>
                <w:sz w:val="20"/>
                <w:szCs w:val="20"/>
                <w:lang w:eastAsia="en-GB"/>
              </w:rPr>
              <w:t xml:space="preserve">Cognitive </w:t>
            </w:r>
            <w:r w:rsidRPr="00B514A7">
              <w:rPr>
                <w:rFonts w:cstheme="minorHAnsi"/>
                <w:b/>
                <w:bCs/>
                <w:sz w:val="20"/>
                <w:szCs w:val="20"/>
                <w:lang w:eastAsia="en-GB"/>
              </w:rPr>
              <w:t>Task</w:t>
            </w:r>
          </w:p>
        </w:tc>
        <w:tc>
          <w:tcPr>
            <w:tcW w:w="1021" w:type="dxa"/>
            <w:shd w:val="clear" w:color="auto" w:fill="E7E6E6" w:themeFill="background2"/>
          </w:tcPr>
          <w:p w14:paraId="477FDDE3" w14:textId="77777777" w:rsidR="00865A76" w:rsidRDefault="00865A76" w:rsidP="00865A76">
            <w:pPr>
              <w:ind w:right="382"/>
              <w:rPr>
                <w:rFonts w:cstheme="minorHAnsi"/>
                <w:b/>
                <w:bCs/>
                <w:sz w:val="20"/>
                <w:szCs w:val="20"/>
                <w:lang w:eastAsia="en-GB"/>
              </w:rPr>
            </w:pPr>
            <w:r>
              <w:rPr>
                <w:rFonts w:cstheme="minorHAnsi"/>
                <w:b/>
                <w:bCs/>
                <w:sz w:val="20"/>
                <w:szCs w:val="20"/>
                <w:lang w:eastAsia="en-GB"/>
              </w:rPr>
              <w:t xml:space="preserve">PIU </w:t>
            </w:r>
            <w:proofErr w:type="spellStart"/>
            <w:r>
              <w:rPr>
                <w:rFonts w:cstheme="minorHAnsi"/>
                <w:b/>
                <w:bCs/>
                <w:sz w:val="20"/>
                <w:szCs w:val="20"/>
                <w:lang w:eastAsia="en-GB"/>
              </w:rPr>
              <w:t>vs</w:t>
            </w:r>
            <w:proofErr w:type="spellEnd"/>
            <w:r>
              <w:rPr>
                <w:rFonts w:cstheme="minorHAnsi"/>
                <w:b/>
                <w:bCs/>
                <w:sz w:val="20"/>
                <w:szCs w:val="20"/>
                <w:lang w:eastAsia="en-GB"/>
              </w:rPr>
              <w:t xml:space="preserve"> IGD</w:t>
            </w:r>
          </w:p>
        </w:tc>
      </w:tr>
      <w:tr w:rsidR="00865A76" w:rsidRPr="00A036B2" w14:paraId="0B4EFA20" w14:textId="77777777" w:rsidTr="00865A76">
        <w:trPr>
          <w:trHeight w:val="300"/>
        </w:trPr>
        <w:tc>
          <w:tcPr>
            <w:tcW w:w="440" w:type="dxa"/>
            <w:shd w:val="clear" w:color="auto" w:fill="F2F2F2" w:themeFill="background1" w:themeFillShade="F2"/>
            <w:noWrap/>
            <w:hideMark/>
          </w:tcPr>
          <w:p w14:paraId="5C5BB01C"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w:t>
            </w:r>
          </w:p>
        </w:tc>
        <w:tc>
          <w:tcPr>
            <w:tcW w:w="1896" w:type="dxa"/>
            <w:shd w:val="clear" w:color="auto" w:fill="F2F2F2" w:themeFill="background1" w:themeFillShade="F2"/>
            <w:noWrap/>
            <w:hideMark/>
          </w:tcPr>
          <w:p w14:paraId="448011BD" w14:textId="77777777" w:rsidR="00865A76" w:rsidRPr="00A036B2" w:rsidRDefault="00865A76" w:rsidP="000E1816">
            <w:pPr>
              <w:spacing w:line="240" w:lineRule="auto"/>
              <w:rPr>
                <w:rFonts w:eastAsia="Times New Roman" w:cstheme="minorHAnsi"/>
                <w:color w:val="000000"/>
                <w:sz w:val="20"/>
                <w:szCs w:val="20"/>
                <w:lang w:eastAsia="en-GB"/>
              </w:rPr>
            </w:pPr>
            <w:proofErr w:type="spellStart"/>
            <w:r w:rsidRPr="00A036B2">
              <w:rPr>
                <w:rFonts w:eastAsia="Times New Roman" w:cstheme="minorHAnsi"/>
                <w:color w:val="000000"/>
                <w:sz w:val="20"/>
                <w:szCs w:val="20"/>
                <w:lang w:eastAsia="en-GB"/>
              </w:rPr>
              <w:t>Cai</w:t>
            </w:r>
            <w:proofErr w:type="spellEnd"/>
            <w:r w:rsidRPr="00A036B2">
              <w:rPr>
                <w:rFonts w:eastAsia="Times New Roman" w:cstheme="minorHAnsi"/>
                <w:color w:val="000000"/>
                <w:sz w:val="20"/>
                <w:szCs w:val="20"/>
                <w:lang w:eastAsia="en-GB"/>
              </w:rPr>
              <w:t xml:space="preserve"> et al., Brain </w:t>
            </w:r>
            <w:proofErr w:type="spellStart"/>
            <w:r w:rsidRPr="00A036B2">
              <w:rPr>
                <w:rFonts w:eastAsia="Times New Roman" w:cstheme="minorHAnsi"/>
                <w:color w:val="000000"/>
                <w:sz w:val="20"/>
                <w:szCs w:val="20"/>
                <w:lang w:eastAsia="en-GB"/>
              </w:rPr>
              <w:t>Imag</w:t>
            </w:r>
            <w:proofErr w:type="spellEnd"/>
            <w:r w:rsidRPr="00A036B2">
              <w:rPr>
                <w:rFonts w:eastAsia="Times New Roman" w:cstheme="minorHAnsi"/>
                <w:color w:val="000000"/>
                <w:sz w:val="20"/>
                <w:szCs w:val="20"/>
                <w:lang w:eastAsia="en-GB"/>
              </w:rPr>
              <w:t xml:space="preserve"> </w:t>
            </w:r>
            <w:proofErr w:type="spellStart"/>
            <w:r w:rsidRPr="00A036B2">
              <w:rPr>
                <w:rFonts w:eastAsia="Times New Roman" w:cstheme="minorHAnsi"/>
                <w:color w:val="000000"/>
                <w:sz w:val="20"/>
                <w:szCs w:val="20"/>
                <w:lang w:eastAsia="en-GB"/>
              </w:rPr>
              <w:t>Behav</w:t>
            </w:r>
            <w:proofErr w:type="spellEnd"/>
            <w:r w:rsidRPr="00A036B2">
              <w:rPr>
                <w:rFonts w:eastAsia="Times New Roman" w:cstheme="minorHAnsi"/>
                <w:color w:val="000000"/>
                <w:sz w:val="20"/>
                <w:szCs w:val="20"/>
                <w:lang w:eastAsia="en-GB"/>
              </w:rPr>
              <w:t>, 2016</w:t>
            </w:r>
          </w:p>
        </w:tc>
        <w:tc>
          <w:tcPr>
            <w:tcW w:w="825" w:type="dxa"/>
            <w:noWrap/>
            <w:hideMark/>
          </w:tcPr>
          <w:p w14:paraId="00356B4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1C60968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w:t>
            </w:r>
          </w:p>
        </w:tc>
        <w:tc>
          <w:tcPr>
            <w:tcW w:w="850" w:type="dxa"/>
            <w:noWrap/>
            <w:hideMark/>
          </w:tcPr>
          <w:p w14:paraId="407B5A7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China</w:t>
            </w:r>
          </w:p>
        </w:tc>
        <w:tc>
          <w:tcPr>
            <w:tcW w:w="992" w:type="dxa"/>
            <w:noWrap/>
            <w:hideMark/>
          </w:tcPr>
          <w:p w14:paraId="574A498A"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57F429D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&gt; 50</w:t>
            </w:r>
          </w:p>
        </w:tc>
        <w:tc>
          <w:tcPr>
            <w:tcW w:w="1417" w:type="dxa"/>
            <w:noWrap/>
            <w:hideMark/>
          </w:tcPr>
          <w:p w14:paraId="4CF52C5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74B2D148"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Stroop</w:t>
            </w:r>
          </w:p>
        </w:tc>
        <w:tc>
          <w:tcPr>
            <w:tcW w:w="1021" w:type="dxa"/>
          </w:tcPr>
          <w:p w14:paraId="0B13A288" w14:textId="77777777" w:rsidR="00865A76" w:rsidRPr="00A036B2"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A036B2" w14:paraId="7E6A4E4E" w14:textId="77777777" w:rsidTr="00865A76">
        <w:trPr>
          <w:trHeight w:val="300"/>
        </w:trPr>
        <w:tc>
          <w:tcPr>
            <w:tcW w:w="440" w:type="dxa"/>
            <w:shd w:val="clear" w:color="auto" w:fill="F2F2F2" w:themeFill="background1" w:themeFillShade="F2"/>
            <w:noWrap/>
            <w:hideMark/>
          </w:tcPr>
          <w:p w14:paraId="6FDE525F"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w:t>
            </w:r>
          </w:p>
        </w:tc>
        <w:tc>
          <w:tcPr>
            <w:tcW w:w="1896" w:type="dxa"/>
            <w:shd w:val="clear" w:color="auto" w:fill="F2F2F2" w:themeFill="background1" w:themeFillShade="F2"/>
            <w:noWrap/>
            <w:hideMark/>
          </w:tcPr>
          <w:p w14:paraId="3F0B01EB"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Chamberlain et al., CNS Specs, 2017</w:t>
            </w:r>
          </w:p>
        </w:tc>
        <w:tc>
          <w:tcPr>
            <w:tcW w:w="825" w:type="dxa"/>
            <w:noWrap/>
            <w:hideMark/>
          </w:tcPr>
          <w:p w14:paraId="2455748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7D63546C"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w:t>
            </w:r>
          </w:p>
        </w:tc>
        <w:tc>
          <w:tcPr>
            <w:tcW w:w="850" w:type="dxa"/>
            <w:noWrap/>
            <w:hideMark/>
          </w:tcPr>
          <w:p w14:paraId="66AAB21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USA</w:t>
            </w:r>
          </w:p>
        </w:tc>
        <w:tc>
          <w:tcPr>
            <w:tcW w:w="992" w:type="dxa"/>
            <w:noWrap/>
            <w:hideMark/>
          </w:tcPr>
          <w:p w14:paraId="3D7EE3C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IADQ</w:t>
            </w:r>
          </w:p>
        </w:tc>
        <w:tc>
          <w:tcPr>
            <w:tcW w:w="1134" w:type="dxa"/>
            <w:noWrap/>
            <w:hideMark/>
          </w:tcPr>
          <w:p w14:paraId="47F48DA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5 items</w:t>
            </w:r>
          </w:p>
        </w:tc>
        <w:tc>
          <w:tcPr>
            <w:tcW w:w="1417" w:type="dxa"/>
            <w:noWrap/>
            <w:hideMark/>
          </w:tcPr>
          <w:p w14:paraId="0BEB0308"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 sample (including a % of axis-I comorbidities)</w:t>
            </w:r>
          </w:p>
        </w:tc>
        <w:tc>
          <w:tcPr>
            <w:tcW w:w="1418" w:type="dxa"/>
            <w:noWrap/>
            <w:hideMark/>
          </w:tcPr>
          <w:p w14:paraId="51E008B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Decision-making</w:t>
            </w:r>
            <w:r w:rsidRPr="00B514A7">
              <w:rPr>
                <w:rFonts w:eastAsia="Times New Roman" w:cstheme="minorHAnsi"/>
                <w:color w:val="000000"/>
                <w:sz w:val="20"/>
                <w:szCs w:val="20"/>
                <w:lang w:eastAsia="en-GB"/>
              </w:rPr>
              <w:t xml:space="preserve">, </w:t>
            </w:r>
            <w:r w:rsidRPr="00A036B2">
              <w:rPr>
                <w:rFonts w:eastAsia="Times New Roman" w:cstheme="minorHAnsi"/>
                <w:color w:val="000000"/>
                <w:sz w:val="20"/>
                <w:szCs w:val="20"/>
                <w:lang w:eastAsia="en-GB"/>
              </w:rPr>
              <w:t>SSRT</w:t>
            </w:r>
            <w:r w:rsidRPr="00B514A7">
              <w:rPr>
                <w:rFonts w:eastAsia="Times New Roman" w:cstheme="minorHAnsi"/>
                <w:color w:val="000000"/>
                <w:sz w:val="20"/>
                <w:szCs w:val="20"/>
                <w:lang w:eastAsia="en-GB"/>
              </w:rPr>
              <w:t xml:space="preserve">, </w:t>
            </w:r>
            <w:r w:rsidRPr="00A036B2">
              <w:rPr>
                <w:rFonts w:eastAsia="Times New Roman" w:cstheme="minorHAnsi"/>
                <w:color w:val="000000"/>
                <w:sz w:val="20"/>
                <w:szCs w:val="20"/>
                <w:lang w:eastAsia="en-GB"/>
              </w:rPr>
              <w:t>Working memory</w:t>
            </w:r>
          </w:p>
        </w:tc>
        <w:tc>
          <w:tcPr>
            <w:tcW w:w="1021" w:type="dxa"/>
          </w:tcPr>
          <w:p w14:paraId="1ABA76BF" w14:textId="77777777" w:rsidR="00865A76" w:rsidRPr="00A036B2"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A036B2" w14:paraId="028B5F85" w14:textId="77777777" w:rsidTr="00865A76">
        <w:trPr>
          <w:trHeight w:val="300"/>
        </w:trPr>
        <w:tc>
          <w:tcPr>
            <w:tcW w:w="440" w:type="dxa"/>
            <w:shd w:val="clear" w:color="auto" w:fill="F2F2F2" w:themeFill="background1" w:themeFillShade="F2"/>
            <w:noWrap/>
            <w:hideMark/>
          </w:tcPr>
          <w:p w14:paraId="4F4B0D22"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w:t>
            </w:r>
          </w:p>
        </w:tc>
        <w:tc>
          <w:tcPr>
            <w:tcW w:w="1896" w:type="dxa"/>
            <w:shd w:val="clear" w:color="auto" w:fill="F2F2F2" w:themeFill="background1" w:themeFillShade="F2"/>
            <w:noWrap/>
            <w:hideMark/>
          </w:tcPr>
          <w:p w14:paraId="0D43A28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Chen et al., Psych and </w:t>
            </w:r>
            <w:proofErr w:type="spellStart"/>
            <w:r w:rsidRPr="00A036B2">
              <w:rPr>
                <w:rFonts w:eastAsia="Times New Roman" w:cstheme="minorHAnsi"/>
                <w:color w:val="000000"/>
                <w:sz w:val="20"/>
                <w:szCs w:val="20"/>
                <w:lang w:eastAsia="en-GB"/>
              </w:rPr>
              <w:t>Clin</w:t>
            </w:r>
            <w:proofErr w:type="spellEnd"/>
            <w:r w:rsidRPr="00A036B2">
              <w:rPr>
                <w:rFonts w:eastAsia="Times New Roman" w:cstheme="minorHAnsi"/>
                <w:color w:val="000000"/>
                <w:sz w:val="20"/>
                <w:szCs w:val="20"/>
                <w:lang w:eastAsia="en-GB"/>
              </w:rPr>
              <w:t xml:space="preserve"> </w:t>
            </w:r>
            <w:proofErr w:type="spellStart"/>
            <w:r w:rsidRPr="00A036B2">
              <w:rPr>
                <w:rFonts w:eastAsia="Times New Roman" w:cstheme="minorHAnsi"/>
                <w:color w:val="000000"/>
                <w:sz w:val="20"/>
                <w:szCs w:val="20"/>
                <w:lang w:eastAsia="en-GB"/>
              </w:rPr>
              <w:t>Neuro</w:t>
            </w:r>
            <w:proofErr w:type="spellEnd"/>
            <w:r w:rsidRPr="00A036B2">
              <w:rPr>
                <w:rFonts w:eastAsia="Times New Roman" w:cstheme="minorHAnsi"/>
                <w:color w:val="000000"/>
                <w:sz w:val="20"/>
                <w:szCs w:val="20"/>
                <w:lang w:eastAsia="en-GB"/>
              </w:rPr>
              <w:t>, 2014</w:t>
            </w:r>
          </w:p>
        </w:tc>
        <w:tc>
          <w:tcPr>
            <w:tcW w:w="825" w:type="dxa"/>
            <w:noWrap/>
            <w:hideMark/>
          </w:tcPr>
          <w:p w14:paraId="76BDD77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Adults</w:t>
            </w:r>
          </w:p>
        </w:tc>
        <w:tc>
          <w:tcPr>
            <w:tcW w:w="1059" w:type="dxa"/>
            <w:noWrap/>
            <w:hideMark/>
          </w:tcPr>
          <w:p w14:paraId="6C00280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Male only</w:t>
            </w:r>
          </w:p>
        </w:tc>
        <w:tc>
          <w:tcPr>
            <w:tcW w:w="850" w:type="dxa"/>
            <w:noWrap/>
            <w:hideMark/>
          </w:tcPr>
          <w:p w14:paraId="5D0C841C"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Taiwan</w:t>
            </w:r>
          </w:p>
        </w:tc>
        <w:tc>
          <w:tcPr>
            <w:tcW w:w="992" w:type="dxa"/>
            <w:noWrap/>
            <w:hideMark/>
          </w:tcPr>
          <w:p w14:paraId="443511D8"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DCIA </w:t>
            </w:r>
          </w:p>
        </w:tc>
        <w:tc>
          <w:tcPr>
            <w:tcW w:w="1134" w:type="dxa"/>
            <w:noWrap/>
            <w:hideMark/>
          </w:tcPr>
          <w:p w14:paraId="42FA65FB"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6/9 criteria A items</w:t>
            </w:r>
          </w:p>
        </w:tc>
        <w:tc>
          <w:tcPr>
            <w:tcW w:w="1417" w:type="dxa"/>
            <w:noWrap/>
            <w:hideMark/>
          </w:tcPr>
          <w:p w14:paraId="1B27383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4AA423EB"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GNG</w:t>
            </w:r>
          </w:p>
        </w:tc>
        <w:tc>
          <w:tcPr>
            <w:tcW w:w="1021" w:type="dxa"/>
          </w:tcPr>
          <w:p w14:paraId="1602BFF9" w14:textId="77777777" w:rsidR="00865A76" w:rsidRPr="00A036B2"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A036B2" w14:paraId="34758FCE" w14:textId="77777777" w:rsidTr="00865A76">
        <w:trPr>
          <w:trHeight w:val="300"/>
        </w:trPr>
        <w:tc>
          <w:tcPr>
            <w:tcW w:w="440" w:type="dxa"/>
            <w:shd w:val="clear" w:color="auto" w:fill="F2F2F2" w:themeFill="background1" w:themeFillShade="F2"/>
            <w:noWrap/>
            <w:hideMark/>
          </w:tcPr>
          <w:p w14:paraId="37DC1D4D"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4</w:t>
            </w:r>
          </w:p>
        </w:tc>
        <w:tc>
          <w:tcPr>
            <w:tcW w:w="1896" w:type="dxa"/>
            <w:shd w:val="clear" w:color="auto" w:fill="F2F2F2" w:themeFill="background1" w:themeFillShade="F2"/>
            <w:noWrap/>
            <w:hideMark/>
          </w:tcPr>
          <w:p w14:paraId="125CDE5B"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Choi et al., </w:t>
            </w:r>
            <w:proofErr w:type="spellStart"/>
            <w:r w:rsidRPr="00A036B2">
              <w:rPr>
                <w:rFonts w:eastAsia="Times New Roman" w:cstheme="minorHAnsi"/>
                <w:color w:val="000000"/>
                <w:sz w:val="20"/>
                <w:szCs w:val="20"/>
                <w:lang w:eastAsia="en-GB"/>
              </w:rPr>
              <w:t>Int</w:t>
            </w:r>
            <w:proofErr w:type="spellEnd"/>
            <w:r w:rsidRPr="00A036B2">
              <w:rPr>
                <w:rFonts w:eastAsia="Times New Roman" w:cstheme="minorHAnsi"/>
                <w:color w:val="000000"/>
                <w:sz w:val="20"/>
                <w:szCs w:val="20"/>
                <w:lang w:eastAsia="en-GB"/>
              </w:rPr>
              <w:t xml:space="preserve"> J of </w:t>
            </w:r>
            <w:proofErr w:type="spellStart"/>
            <w:r w:rsidRPr="00A036B2">
              <w:rPr>
                <w:rFonts w:eastAsia="Times New Roman" w:cstheme="minorHAnsi"/>
                <w:color w:val="000000"/>
                <w:sz w:val="20"/>
                <w:szCs w:val="20"/>
                <w:lang w:eastAsia="en-GB"/>
              </w:rPr>
              <w:t>Psychophys</w:t>
            </w:r>
            <w:proofErr w:type="spellEnd"/>
            <w:r w:rsidRPr="00A036B2">
              <w:rPr>
                <w:rFonts w:eastAsia="Times New Roman" w:cstheme="minorHAnsi"/>
                <w:color w:val="000000"/>
                <w:sz w:val="20"/>
                <w:szCs w:val="20"/>
                <w:lang w:eastAsia="en-GB"/>
              </w:rPr>
              <w:t xml:space="preserve"> 2013</w:t>
            </w:r>
          </w:p>
        </w:tc>
        <w:tc>
          <w:tcPr>
            <w:tcW w:w="825" w:type="dxa"/>
            <w:noWrap/>
            <w:hideMark/>
          </w:tcPr>
          <w:p w14:paraId="0FCB093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7B2CAF9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w:t>
            </w:r>
          </w:p>
        </w:tc>
        <w:tc>
          <w:tcPr>
            <w:tcW w:w="850" w:type="dxa"/>
            <w:noWrap/>
            <w:hideMark/>
          </w:tcPr>
          <w:p w14:paraId="7C58E0F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South Korea</w:t>
            </w:r>
          </w:p>
        </w:tc>
        <w:tc>
          <w:tcPr>
            <w:tcW w:w="992" w:type="dxa"/>
            <w:noWrap/>
            <w:hideMark/>
          </w:tcPr>
          <w:p w14:paraId="78BB24B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3E7B86B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70 IAT score</w:t>
            </w:r>
          </w:p>
        </w:tc>
        <w:tc>
          <w:tcPr>
            <w:tcW w:w="1417" w:type="dxa"/>
            <w:noWrap/>
            <w:hideMark/>
          </w:tcPr>
          <w:p w14:paraId="23EC3AC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3896C5E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SSRT</w:t>
            </w:r>
          </w:p>
        </w:tc>
        <w:tc>
          <w:tcPr>
            <w:tcW w:w="1021" w:type="dxa"/>
          </w:tcPr>
          <w:p w14:paraId="0B32BC7C" w14:textId="77777777" w:rsidR="00865A76" w:rsidRPr="00A036B2"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A036B2" w14:paraId="546FD869" w14:textId="77777777" w:rsidTr="00865A76">
        <w:trPr>
          <w:trHeight w:val="300"/>
        </w:trPr>
        <w:tc>
          <w:tcPr>
            <w:tcW w:w="440" w:type="dxa"/>
            <w:shd w:val="clear" w:color="auto" w:fill="F2F2F2" w:themeFill="background1" w:themeFillShade="F2"/>
            <w:noWrap/>
            <w:hideMark/>
          </w:tcPr>
          <w:p w14:paraId="1D1A9280"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5</w:t>
            </w:r>
          </w:p>
        </w:tc>
        <w:tc>
          <w:tcPr>
            <w:tcW w:w="1896" w:type="dxa"/>
            <w:shd w:val="clear" w:color="auto" w:fill="F2F2F2" w:themeFill="background1" w:themeFillShade="F2"/>
            <w:noWrap/>
            <w:hideMark/>
          </w:tcPr>
          <w:p w14:paraId="1F7308FA"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Choi et al., </w:t>
            </w:r>
            <w:proofErr w:type="spellStart"/>
            <w:r w:rsidRPr="00A036B2">
              <w:rPr>
                <w:rFonts w:eastAsia="Times New Roman" w:cstheme="minorHAnsi"/>
                <w:color w:val="000000"/>
                <w:sz w:val="20"/>
                <w:szCs w:val="20"/>
                <w:lang w:eastAsia="en-GB"/>
              </w:rPr>
              <w:t>Journ</w:t>
            </w:r>
            <w:proofErr w:type="spellEnd"/>
            <w:r w:rsidRPr="00A036B2">
              <w:rPr>
                <w:rFonts w:eastAsia="Times New Roman" w:cstheme="minorHAnsi"/>
                <w:color w:val="000000"/>
                <w:sz w:val="20"/>
                <w:szCs w:val="20"/>
                <w:lang w:eastAsia="en-GB"/>
              </w:rPr>
              <w:t xml:space="preserve"> </w:t>
            </w:r>
            <w:proofErr w:type="spellStart"/>
            <w:r w:rsidRPr="00A036B2">
              <w:rPr>
                <w:rFonts w:eastAsia="Times New Roman" w:cstheme="minorHAnsi"/>
                <w:color w:val="000000"/>
                <w:sz w:val="20"/>
                <w:szCs w:val="20"/>
                <w:lang w:eastAsia="en-GB"/>
              </w:rPr>
              <w:t>Behav</w:t>
            </w:r>
            <w:proofErr w:type="spellEnd"/>
            <w:r w:rsidRPr="00A036B2">
              <w:rPr>
                <w:rFonts w:eastAsia="Times New Roman" w:cstheme="minorHAnsi"/>
                <w:color w:val="000000"/>
                <w:sz w:val="20"/>
                <w:szCs w:val="20"/>
                <w:lang w:eastAsia="en-GB"/>
              </w:rPr>
              <w:t xml:space="preserve"> Add, 2014</w:t>
            </w:r>
          </w:p>
        </w:tc>
        <w:tc>
          <w:tcPr>
            <w:tcW w:w="825" w:type="dxa"/>
            <w:noWrap/>
            <w:hideMark/>
          </w:tcPr>
          <w:p w14:paraId="1B2C1572" w14:textId="77777777" w:rsidR="00865A76" w:rsidRPr="00A036B2"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Y/A</w:t>
            </w:r>
            <w:r w:rsidRPr="00A036B2">
              <w:rPr>
                <w:rFonts w:eastAsia="Times New Roman" w:cstheme="minorHAnsi"/>
                <w:color w:val="000000"/>
                <w:sz w:val="20"/>
                <w:szCs w:val="20"/>
                <w:lang w:eastAsia="en-GB"/>
              </w:rPr>
              <w:t xml:space="preserve">* </w:t>
            </w:r>
          </w:p>
        </w:tc>
        <w:tc>
          <w:tcPr>
            <w:tcW w:w="1059" w:type="dxa"/>
            <w:noWrap/>
            <w:hideMark/>
          </w:tcPr>
          <w:p w14:paraId="053F79DA"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Male only</w:t>
            </w:r>
          </w:p>
        </w:tc>
        <w:tc>
          <w:tcPr>
            <w:tcW w:w="850" w:type="dxa"/>
            <w:noWrap/>
            <w:hideMark/>
          </w:tcPr>
          <w:p w14:paraId="6F3265F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South Korea</w:t>
            </w:r>
          </w:p>
        </w:tc>
        <w:tc>
          <w:tcPr>
            <w:tcW w:w="992" w:type="dxa"/>
            <w:noWrap/>
            <w:hideMark/>
          </w:tcPr>
          <w:p w14:paraId="7B7E1F9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308F286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70 IAT score</w:t>
            </w:r>
          </w:p>
        </w:tc>
        <w:tc>
          <w:tcPr>
            <w:tcW w:w="1417" w:type="dxa"/>
            <w:noWrap/>
            <w:hideMark/>
          </w:tcPr>
          <w:p w14:paraId="7F0D6F3F"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4171CBCF"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SSRT</w:t>
            </w:r>
          </w:p>
        </w:tc>
        <w:tc>
          <w:tcPr>
            <w:tcW w:w="1021" w:type="dxa"/>
          </w:tcPr>
          <w:p w14:paraId="45A48ADB" w14:textId="77777777" w:rsidR="00865A76" w:rsidRPr="00A036B2"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A036B2" w14:paraId="4E7E7702" w14:textId="77777777" w:rsidTr="00865A76">
        <w:trPr>
          <w:trHeight w:val="300"/>
        </w:trPr>
        <w:tc>
          <w:tcPr>
            <w:tcW w:w="440" w:type="dxa"/>
            <w:shd w:val="clear" w:color="auto" w:fill="F2F2F2" w:themeFill="background1" w:themeFillShade="F2"/>
            <w:noWrap/>
            <w:hideMark/>
          </w:tcPr>
          <w:p w14:paraId="61CE20B7"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6</w:t>
            </w:r>
          </w:p>
        </w:tc>
        <w:tc>
          <w:tcPr>
            <w:tcW w:w="1896" w:type="dxa"/>
            <w:shd w:val="clear" w:color="auto" w:fill="F2F2F2" w:themeFill="background1" w:themeFillShade="F2"/>
            <w:noWrap/>
            <w:hideMark/>
          </w:tcPr>
          <w:p w14:paraId="3BC9EDE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Choi et al., Psych Res, 2014</w:t>
            </w:r>
          </w:p>
        </w:tc>
        <w:tc>
          <w:tcPr>
            <w:tcW w:w="825" w:type="dxa"/>
            <w:noWrap/>
            <w:hideMark/>
          </w:tcPr>
          <w:p w14:paraId="4CB7FC6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495AB43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w:t>
            </w:r>
          </w:p>
        </w:tc>
        <w:tc>
          <w:tcPr>
            <w:tcW w:w="850" w:type="dxa"/>
            <w:noWrap/>
            <w:hideMark/>
          </w:tcPr>
          <w:p w14:paraId="37C06FAF"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South Korea</w:t>
            </w:r>
          </w:p>
        </w:tc>
        <w:tc>
          <w:tcPr>
            <w:tcW w:w="992" w:type="dxa"/>
            <w:noWrap/>
            <w:hideMark/>
          </w:tcPr>
          <w:p w14:paraId="6C894DE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6A7ECC78"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80 IAT score</w:t>
            </w:r>
          </w:p>
        </w:tc>
        <w:tc>
          <w:tcPr>
            <w:tcW w:w="1417" w:type="dxa"/>
            <w:noWrap/>
            <w:hideMark/>
          </w:tcPr>
          <w:p w14:paraId="1D76F5EE"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77C5793C"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Stroop</w:t>
            </w:r>
          </w:p>
        </w:tc>
        <w:tc>
          <w:tcPr>
            <w:tcW w:w="1021" w:type="dxa"/>
          </w:tcPr>
          <w:p w14:paraId="6DC8E177" w14:textId="77777777" w:rsidR="00865A76" w:rsidRPr="00A036B2"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A036B2" w14:paraId="448B5994" w14:textId="77777777" w:rsidTr="00865A76">
        <w:trPr>
          <w:trHeight w:val="300"/>
        </w:trPr>
        <w:tc>
          <w:tcPr>
            <w:tcW w:w="440" w:type="dxa"/>
            <w:shd w:val="clear" w:color="auto" w:fill="F2F2F2" w:themeFill="background1" w:themeFillShade="F2"/>
            <w:noWrap/>
            <w:hideMark/>
          </w:tcPr>
          <w:p w14:paraId="64A86D67"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7</w:t>
            </w:r>
          </w:p>
        </w:tc>
        <w:tc>
          <w:tcPr>
            <w:tcW w:w="1896" w:type="dxa"/>
            <w:shd w:val="clear" w:color="auto" w:fill="F2F2F2" w:themeFill="background1" w:themeFillShade="F2"/>
            <w:noWrap/>
            <w:hideMark/>
          </w:tcPr>
          <w:p w14:paraId="2C79F4EA"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Ding et al., </w:t>
            </w:r>
            <w:proofErr w:type="spellStart"/>
            <w:r w:rsidRPr="00A036B2">
              <w:rPr>
                <w:rFonts w:eastAsia="Times New Roman" w:cstheme="minorHAnsi"/>
                <w:color w:val="000000"/>
                <w:sz w:val="20"/>
                <w:szCs w:val="20"/>
                <w:lang w:eastAsia="en-GB"/>
              </w:rPr>
              <w:t>Behav</w:t>
            </w:r>
            <w:proofErr w:type="spellEnd"/>
            <w:r w:rsidRPr="00A036B2">
              <w:rPr>
                <w:rFonts w:eastAsia="Times New Roman" w:cstheme="minorHAnsi"/>
                <w:color w:val="000000"/>
                <w:sz w:val="20"/>
                <w:szCs w:val="20"/>
                <w:lang w:eastAsia="en-GB"/>
              </w:rPr>
              <w:t xml:space="preserve"> Brain </w:t>
            </w:r>
            <w:proofErr w:type="spellStart"/>
            <w:r w:rsidRPr="00A036B2">
              <w:rPr>
                <w:rFonts w:eastAsia="Times New Roman" w:cstheme="minorHAnsi"/>
                <w:color w:val="000000"/>
                <w:sz w:val="20"/>
                <w:szCs w:val="20"/>
                <w:lang w:eastAsia="en-GB"/>
              </w:rPr>
              <w:t>Func</w:t>
            </w:r>
            <w:proofErr w:type="spellEnd"/>
            <w:r w:rsidRPr="00A036B2">
              <w:rPr>
                <w:rFonts w:eastAsia="Times New Roman" w:cstheme="minorHAnsi"/>
                <w:color w:val="000000"/>
                <w:sz w:val="20"/>
                <w:szCs w:val="20"/>
                <w:lang w:eastAsia="en-GB"/>
              </w:rPr>
              <w:t>, 2014</w:t>
            </w:r>
          </w:p>
        </w:tc>
        <w:tc>
          <w:tcPr>
            <w:tcW w:w="825" w:type="dxa"/>
            <w:noWrap/>
            <w:hideMark/>
          </w:tcPr>
          <w:p w14:paraId="5DB58F7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194CEB7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Mixed</w:t>
            </w:r>
          </w:p>
        </w:tc>
        <w:tc>
          <w:tcPr>
            <w:tcW w:w="850" w:type="dxa"/>
            <w:noWrap/>
            <w:hideMark/>
          </w:tcPr>
          <w:p w14:paraId="36F2396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China</w:t>
            </w:r>
          </w:p>
        </w:tc>
        <w:tc>
          <w:tcPr>
            <w:tcW w:w="992" w:type="dxa"/>
            <w:noWrap/>
            <w:hideMark/>
          </w:tcPr>
          <w:p w14:paraId="05900F7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modified YDQ (8 items)</w:t>
            </w:r>
          </w:p>
        </w:tc>
        <w:tc>
          <w:tcPr>
            <w:tcW w:w="1134" w:type="dxa"/>
            <w:noWrap/>
            <w:hideMark/>
          </w:tcPr>
          <w:p w14:paraId="02ADF7D0"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6 items</w:t>
            </w:r>
          </w:p>
        </w:tc>
        <w:tc>
          <w:tcPr>
            <w:tcW w:w="1417" w:type="dxa"/>
            <w:noWrap/>
            <w:hideMark/>
          </w:tcPr>
          <w:p w14:paraId="6708A72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52014CAD"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GNG</w:t>
            </w:r>
          </w:p>
        </w:tc>
        <w:tc>
          <w:tcPr>
            <w:tcW w:w="1021" w:type="dxa"/>
          </w:tcPr>
          <w:p w14:paraId="16E75A99" w14:textId="77777777" w:rsidR="00865A76" w:rsidRPr="00A036B2"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A036B2" w14:paraId="5285F38D" w14:textId="77777777" w:rsidTr="00865A76">
        <w:trPr>
          <w:trHeight w:val="300"/>
        </w:trPr>
        <w:tc>
          <w:tcPr>
            <w:tcW w:w="440" w:type="dxa"/>
            <w:shd w:val="clear" w:color="auto" w:fill="F2F2F2" w:themeFill="background1" w:themeFillShade="F2"/>
            <w:noWrap/>
            <w:hideMark/>
          </w:tcPr>
          <w:p w14:paraId="30F84CDF"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8</w:t>
            </w:r>
          </w:p>
        </w:tc>
        <w:tc>
          <w:tcPr>
            <w:tcW w:w="1896" w:type="dxa"/>
            <w:shd w:val="clear" w:color="auto" w:fill="F2F2F2" w:themeFill="background1" w:themeFillShade="F2"/>
            <w:noWrap/>
            <w:hideMark/>
          </w:tcPr>
          <w:p w14:paraId="40A9D324"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Dong &amp; Zhao, </w:t>
            </w:r>
            <w:proofErr w:type="spellStart"/>
            <w:r w:rsidRPr="00A036B2">
              <w:rPr>
                <w:rFonts w:eastAsia="Times New Roman" w:cstheme="minorHAnsi"/>
                <w:color w:val="000000"/>
                <w:sz w:val="20"/>
                <w:szCs w:val="20"/>
                <w:lang w:eastAsia="en-GB"/>
              </w:rPr>
              <w:t>Neurosci</w:t>
            </w:r>
            <w:proofErr w:type="spellEnd"/>
            <w:r w:rsidRPr="00A036B2">
              <w:rPr>
                <w:rFonts w:eastAsia="Times New Roman" w:cstheme="minorHAnsi"/>
                <w:color w:val="000000"/>
                <w:sz w:val="20"/>
                <w:szCs w:val="20"/>
                <w:lang w:eastAsia="en-GB"/>
              </w:rPr>
              <w:t xml:space="preserve"> </w:t>
            </w:r>
            <w:proofErr w:type="spellStart"/>
            <w:r w:rsidRPr="00A036B2">
              <w:rPr>
                <w:rFonts w:eastAsia="Times New Roman" w:cstheme="minorHAnsi"/>
                <w:color w:val="000000"/>
                <w:sz w:val="20"/>
                <w:szCs w:val="20"/>
                <w:lang w:eastAsia="en-GB"/>
              </w:rPr>
              <w:t>Lett</w:t>
            </w:r>
            <w:proofErr w:type="spellEnd"/>
            <w:r w:rsidRPr="00A036B2">
              <w:rPr>
                <w:rFonts w:eastAsia="Times New Roman" w:cstheme="minorHAnsi"/>
                <w:color w:val="000000"/>
                <w:sz w:val="20"/>
                <w:szCs w:val="20"/>
                <w:lang w:eastAsia="en-GB"/>
              </w:rPr>
              <w:t>, 2011</w:t>
            </w:r>
          </w:p>
        </w:tc>
        <w:tc>
          <w:tcPr>
            <w:tcW w:w="825" w:type="dxa"/>
            <w:noWrap/>
            <w:hideMark/>
          </w:tcPr>
          <w:p w14:paraId="4E15D48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3687580C"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Male only</w:t>
            </w:r>
          </w:p>
        </w:tc>
        <w:tc>
          <w:tcPr>
            <w:tcW w:w="850" w:type="dxa"/>
            <w:noWrap/>
            <w:hideMark/>
          </w:tcPr>
          <w:p w14:paraId="01499AC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China</w:t>
            </w:r>
          </w:p>
        </w:tc>
        <w:tc>
          <w:tcPr>
            <w:tcW w:w="992" w:type="dxa"/>
            <w:noWrap/>
            <w:hideMark/>
          </w:tcPr>
          <w:p w14:paraId="7FC2A22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(8 items)</w:t>
            </w:r>
          </w:p>
        </w:tc>
        <w:tc>
          <w:tcPr>
            <w:tcW w:w="1134" w:type="dxa"/>
            <w:noWrap/>
            <w:hideMark/>
          </w:tcPr>
          <w:p w14:paraId="68D362F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&gt; 5 items</w:t>
            </w:r>
          </w:p>
        </w:tc>
        <w:tc>
          <w:tcPr>
            <w:tcW w:w="1417" w:type="dxa"/>
            <w:noWrap/>
            <w:hideMark/>
          </w:tcPr>
          <w:p w14:paraId="1087CCE3"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44CBD451"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Stroop</w:t>
            </w:r>
          </w:p>
        </w:tc>
        <w:tc>
          <w:tcPr>
            <w:tcW w:w="1021" w:type="dxa"/>
          </w:tcPr>
          <w:p w14:paraId="5A9CF593" w14:textId="77777777" w:rsidR="00865A76" w:rsidRPr="00A036B2"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A036B2" w14:paraId="22823519" w14:textId="77777777" w:rsidTr="00865A76">
        <w:trPr>
          <w:trHeight w:val="300"/>
        </w:trPr>
        <w:tc>
          <w:tcPr>
            <w:tcW w:w="440" w:type="dxa"/>
            <w:shd w:val="clear" w:color="auto" w:fill="F2F2F2" w:themeFill="background1" w:themeFillShade="F2"/>
            <w:noWrap/>
            <w:hideMark/>
          </w:tcPr>
          <w:p w14:paraId="77DD3851"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9</w:t>
            </w:r>
          </w:p>
        </w:tc>
        <w:tc>
          <w:tcPr>
            <w:tcW w:w="1896" w:type="dxa"/>
            <w:shd w:val="clear" w:color="auto" w:fill="F2F2F2" w:themeFill="background1" w:themeFillShade="F2"/>
            <w:noWrap/>
            <w:hideMark/>
          </w:tcPr>
          <w:p w14:paraId="7CC6824B"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 xml:space="preserve">Dong et al., Addict </w:t>
            </w:r>
            <w:proofErr w:type="spellStart"/>
            <w:r w:rsidRPr="00A036B2">
              <w:rPr>
                <w:rFonts w:eastAsia="Times New Roman" w:cstheme="minorHAnsi"/>
                <w:color w:val="000000"/>
                <w:sz w:val="20"/>
                <w:szCs w:val="20"/>
                <w:lang w:eastAsia="en-GB"/>
              </w:rPr>
              <w:t>Behav</w:t>
            </w:r>
            <w:proofErr w:type="spellEnd"/>
            <w:r w:rsidRPr="00A036B2">
              <w:rPr>
                <w:rFonts w:eastAsia="Times New Roman" w:cstheme="minorHAnsi"/>
                <w:color w:val="000000"/>
                <w:sz w:val="20"/>
                <w:szCs w:val="20"/>
                <w:lang w:eastAsia="en-GB"/>
              </w:rPr>
              <w:t>, 2014</w:t>
            </w:r>
          </w:p>
        </w:tc>
        <w:tc>
          <w:tcPr>
            <w:tcW w:w="825" w:type="dxa"/>
            <w:noWrap/>
            <w:hideMark/>
          </w:tcPr>
          <w:p w14:paraId="668175A6"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0F8B4BA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Male only</w:t>
            </w:r>
          </w:p>
        </w:tc>
        <w:tc>
          <w:tcPr>
            <w:tcW w:w="850" w:type="dxa"/>
            <w:noWrap/>
            <w:hideMark/>
          </w:tcPr>
          <w:p w14:paraId="6DE12FA9"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China</w:t>
            </w:r>
          </w:p>
        </w:tc>
        <w:tc>
          <w:tcPr>
            <w:tcW w:w="992" w:type="dxa"/>
            <w:noWrap/>
            <w:hideMark/>
          </w:tcPr>
          <w:p w14:paraId="72EE4DDE"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3B2E3802"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80 IAT score</w:t>
            </w:r>
          </w:p>
        </w:tc>
        <w:tc>
          <w:tcPr>
            <w:tcW w:w="1417" w:type="dxa"/>
            <w:noWrap/>
            <w:hideMark/>
          </w:tcPr>
          <w:p w14:paraId="7727700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3F01AB70"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Stroop</w:t>
            </w:r>
          </w:p>
        </w:tc>
        <w:tc>
          <w:tcPr>
            <w:tcW w:w="1021" w:type="dxa"/>
          </w:tcPr>
          <w:p w14:paraId="3E1ABAEF" w14:textId="77777777" w:rsidR="00865A76" w:rsidRPr="00A036B2"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A036B2" w14:paraId="085D0419" w14:textId="77777777" w:rsidTr="00865A76">
        <w:trPr>
          <w:trHeight w:val="300"/>
        </w:trPr>
        <w:tc>
          <w:tcPr>
            <w:tcW w:w="440" w:type="dxa"/>
            <w:shd w:val="clear" w:color="auto" w:fill="F2F2F2" w:themeFill="background1" w:themeFillShade="F2"/>
            <w:noWrap/>
            <w:hideMark/>
          </w:tcPr>
          <w:p w14:paraId="783BC47D"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10</w:t>
            </w:r>
          </w:p>
        </w:tc>
        <w:tc>
          <w:tcPr>
            <w:tcW w:w="1896" w:type="dxa"/>
            <w:shd w:val="clear" w:color="auto" w:fill="F2F2F2" w:themeFill="background1" w:themeFillShade="F2"/>
            <w:noWrap/>
            <w:hideMark/>
          </w:tcPr>
          <w:p w14:paraId="27EDE96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Dong et al., Bio Psych, 2013</w:t>
            </w:r>
          </w:p>
        </w:tc>
        <w:tc>
          <w:tcPr>
            <w:tcW w:w="825" w:type="dxa"/>
            <w:noWrap/>
            <w:hideMark/>
          </w:tcPr>
          <w:p w14:paraId="6D1F9670"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Youth</w:t>
            </w:r>
          </w:p>
        </w:tc>
        <w:tc>
          <w:tcPr>
            <w:tcW w:w="1059" w:type="dxa"/>
            <w:noWrap/>
            <w:hideMark/>
          </w:tcPr>
          <w:p w14:paraId="6FDB4337"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Male only</w:t>
            </w:r>
          </w:p>
        </w:tc>
        <w:tc>
          <w:tcPr>
            <w:tcW w:w="850" w:type="dxa"/>
            <w:noWrap/>
            <w:hideMark/>
          </w:tcPr>
          <w:p w14:paraId="49AE90FD"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China</w:t>
            </w:r>
          </w:p>
        </w:tc>
        <w:tc>
          <w:tcPr>
            <w:tcW w:w="992" w:type="dxa"/>
            <w:noWrap/>
            <w:hideMark/>
          </w:tcPr>
          <w:p w14:paraId="48FD0510"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IAT (20 items)</w:t>
            </w:r>
          </w:p>
        </w:tc>
        <w:tc>
          <w:tcPr>
            <w:tcW w:w="1134" w:type="dxa"/>
            <w:noWrap/>
            <w:hideMark/>
          </w:tcPr>
          <w:p w14:paraId="2DB817C5"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PIU ≥ 80 IAT score</w:t>
            </w:r>
          </w:p>
        </w:tc>
        <w:tc>
          <w:tcPr>
            <w:tcW w:w="1417" w:type="dxa"/>
            <w:noWrap/>
            <w:hideMark/>
          </w:tcPr>
          <w:p w14:paraId="0A74BC0F"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Healthy sample</w:t>
            </w:r>
          </w:p>
        </w:tc>
        <w:tc>
          <w:tcPr>
            <w:tcW w:w="1418" w:type="dxa"/>
            <w:noWrap/>
            <w:hideMark/>
          </w:tcPr>
          <w:p w14:paraId="3B5F369C" w14:textId="77777777" w:rsidR="00865A76" w:rsidRPr="00A036B2" w:rsidRDefault="00865A76" w:rsidP="000E1816">
            <w:pPr>
              <w:spacing w:line="240" w:lineRule="auto"/>
              <w:rPr>
                <w:rFonts w:eastAsia="Times New Roman" w:cstheme="minorHAnsi"/>
                <w:color w:val="000000"/>
                <w:sz w:val="20"/>
                <w:szCs w:val="20"/>
                <w:lang w:eastAsia="en-GB"/>
              </w:rPr>
            </w:pPr>
            <w:r w:rsidRPr="00A036B2">
              <w:rPr>
                <w:rFonts w:eastAsia="Times New Roman" w:cstheme="minorHAnsi"/>
                <w:color w:val="000000"/>
                <w:sz w:val="20"/>
                <w:szCs w:val="20"/>
                <w:lang w:eastAsia="en-GB"/>
              </w:rPr>
              <w:t>Stroop</w:t>
            </w:r>
          </w:p>
        </w:tc>
        <w:tc>
          <w:tcPr>
            <w:tcW w:w="1021" w:type="dxa"/>
          </w:tcPr>
          <w:p w14:paraId="4EBECA20" w14:textId="77777777" w:rsidR="00865A76" w:rsidRPr="00A036B2"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13CEC147" w14:textId="77777777" w:rsidTr="00865A76">
        <w:trPr>
          <w:trHeight w:val="300"/>
        </w:trPr>
        <w:tc>
          <w:tcPr>
            <w:tcW w:w="440" w:type="dxa"/>
            <w:shd w:val="clear" w:color="auto" w:fill="F2F2F2" w:themeFill="background1" w:themeFillShade="F2"/>
            <w:noWrap/>
            <w:hideMark/>
          </w:tcPr>
          <w:p w14:paraId="7372D7B8"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11</w:t>
            </w:r>
          </w:p>
        </w:tc>
        <w:tc>
          <w:tcPr>
            <w:tcW w:w="1896" w:type="dxa"/>
            <w:shd w:val="clear" w:color="auto" w:fill="F2F2F2" w:themeFill="background1" w:themeFillShade="F2"/>
            <w:noWrap/>
            <w:hideMark/>
          </w:tcPr>
          <w:p w14:paraId="17CAA73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Dong et al., </w:t>
            </w:r>
            <w:proofErr w:type="spellStart"/>
            <w:r w:rsidRPr="00B514A7">
              <w:rPr>
                <w:rFonts w:eastAsia="Times New Roman" w:cstheme="minorHAnsi"/>
                <w:color w:val="000000"/>
                <w:sz w:val="20"/>
                <w:szCs w:val="20"/>
                <w:lang w:eastAsia="en-GB"/>
              </w:rPr>
              <w:t>Eur</w:t>
            </w:r>
            <w:proofErr w:type="spellEnd"/>
            <w:r w:rsidRPr="00B514A7">
              <w:rPr>
                <w:rFonts w:eastAsia="Times New Roman" w:cstheme="minorHAnsi"/>
                <w:color w:val="000000"/>
                <w:sz w:val="20"/>
                <w:szCs w:val="20"/>
                <w:lang w:eastAsia="en-GB"/>
              </w:rPr>
              <w:t xml:space="preserve"> Addict Res, 2013</w:t>
            </w:r>
          </w:p>
        </w:tc>
        <w:tc>
          <w:tcPr>
            <w:tcW w:w="825" w:type="dxa"/>
            <w:noWrap/>
            <w:hideMark/>
          </w:tcPr>
          <w:p w14:paraId="547E3FC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0A626C4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7CDF7F6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2526ABE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579E1DA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80 IAT score</w:t>
            </w:r>
          </w:p>
        </w:tc>
        <w:tc>
          <w:tcPr>
            <w:tcW w:w="1417" w:type="dxa"/>
            <w:noWrap/>
            <w:hideMark/>
          </w:tcPr>
          <w:p w14:paraId="67E3795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1CB3B064"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3482AA5F"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714A164E" w14:textId="77777777" w:rsidTr="00865A76">
        <w:trPr>
          <w:trHeight w:val="300"/>
        </w:trPr>
        <w:tc>
          <w:tcPr>
            <w:tcW w:w="440" w:type="dxa"/>
            <w:shd w:val="clear" w:color="auto" w:fill="F2F2F2" w:themeFill="background1" w:themeFillShade="F2"/>
            <w:noWrap/>
            <w:hideMark/>
          </w:tcPr>
          <w:p w14:paraId="7DD96E32"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12</w:t>
            </w:r>
          </w:p>
        </w:tc>
        <w:tc>
          <w:tcPr>
            <w:tcW w:w="1896" w:type="dxa"/>
            <w:shd w:val="clear" w:color="auto" w:fill="F2F2F2" w:themeFill="background1" w:themeFillShade="F2"/>
            <w:noWrap/>
            <w:hideMark/>
          </w:tcPr>
          <w:p w14:paraId="1965773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Dong et al., </w:t>
            </w:r>
            <w:proofErr w:type="spellStart"/>
            <w:r w:rsidRPr="00B514A7">
              <w:rPr>
                <w:rFonts w:eastAsia="Times New Roman" w:cstheme="minorHAnsi"/>
                <w:color w:val="000000"/>
                <w:sz w:val="20"/>
                <w:szCs w:val="20"/>
                <w:lang w:eastAsia="en-GB"/>
              </w:rPr>
              <w:t>Europ</w:t>
            </w:r>
            <w:proofErr w:type="spellEnd"/>
            <w:r w:rsidRPr="00B514A7">
              <w:rPr>
                <w:rFonts w:eastAsia="Times New Roman" w:cstheme="minorHAnsi"/>
                <w:color w:val="000000"/>
                <w:sz w:val="20"/>
                <w:szCs w:val="20"/>
                <w:lang w:eastAsia="en-GB"/>
              </w:rPr>
              <w:t xml:space="preserve"> Psych 2017</w:t>
            </w:r>
          </w:p>
        </w:tc>
        <w:tc>
          <w:tcPr>
            <w:tcW w:w="825" w:type="dxa"/>
            <w:noWrap/>
            <w:hideMark/>
          </w:tcPr>
          <w:p w14:paraId="649B46F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33FEE865"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5526430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37E669A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1D707DD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PIU ≥ 50 </w:t>
            </w:r>
          </w:p>
        </w:tc>
        <w:tc>
          <w:tcPr>
            <w:tcW w:w="1417" w:type="dxa"/>
            <w:noWrap/>
            <w:hideMark/>
          </w:tcPr>
          <w:p w14:paraId="7F988E3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1A94265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40900CDB"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5A4D9972" w14:textId="77777777" w:rsidTr="00865A76">
        <w:trPr>
          <w:trHeight w:val="300"/>
        </w:trPr>
        <w:tc>
          <w:tcPr>
            <w:tcW w:w="440" w:type="dxa"/>
            <w:shd w:val="clear" w:color="auto" w:fill="F2F2F2" w:themeFill="background1" w:themeFillShade="F2"/>
            <w:noWrap/>
            <w:hideMark/>
          </w:tcPr>
          <w:p w14:paraId="4246ABFE"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13</w:t>
            </w:r>
          </w:p>
        </w:tc>
        <w:tc>
          <w:tcPr>
            <w:tcW w:w="1896" w:type="dxa"/>
            <w:shd w:val="clear" w:color="auto" w:fill="F2F2F2" w:themeFill="background1" w:themeFillShade="F2"/>
            <w:noWrap/>
            <w:hideMark/>
          </w:tcPr>
          <w:p w14:paraId="2C40FA4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Dong et al., </w:t>
            </w:r>
            <w:proofErr w:type="spellStart"/>
            <w:r w:rsidRPr="00B514A7">
              <w:rPr>
                <w:rFonts w:eastAsia="Times New Roman" w:cstheme="minorHAnsi"/>
                <w:color w:val="000000"/>
                <w:sz w:val="20"/>
                <w:szCs w:val="20"/>
                <w:lang w:eastAsia="en-GB"/>
              </w:rPr>
              <w:t>Neurosci</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Lett</w:t>
            </w:r>
            <w:proofErr w:type="spellEnd"/>
            <w:r w:rsidRPr="00B514A7">
              <w:rPr>
                <w:rFonts w:eastAsia="Times New Roman" w:cstheme="minorHAnsi"/>
                <w:color w:val="000000"/>
                <w:sz w:val="20"/>
                <w:szCs w:val="20"/>
                <w:lang w:eastAsia="en-GB"/>
              </w:rPr>
              <w:t>, 2010</w:t>
            </w:r>
          </w:p>
        </w:tc>
        <w:tc>
          <w:tcPr>
            <w:tcW w:w="825" w:type="dxa"/>
            <w:noWrap/>
            <w:hideMark/>
          </w:tcPr>
          <w:p w14:paraId="53CE48D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2BCC374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54720905"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35D0D75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(8 items)</w:t>
            </w:r>
          </w:p>
        </w:tc>
        <w:tc>
          <w:tcPr>
            <w:tcW w:w="1134" w:type="dxa"/>
            <w:noWrap/>
            <w:hideMark/>
          </w:tcPr>
          <w:p w14:paraId="27E0F16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7 items</w:t>
            </w:r>
          </w:p>
        </w:tc>
        <w:tc>
          <w:tcPr>
            <w:tcW w:w="1417" w:type="dxa"/>
            <w:noWrap/>
            <w:hideMark/>
          </w:tcPr>
          <w:p w14:paraId="7B98DD7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3276210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78DD3BD7" w14:textId="77777777" w:rsidR="00865A76" w:rsidRPr="00B514A7"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279A68AF" w14:textId="77777777" w:rsidTr="00865A76">
        <w:trPr>
          <w:trHeight w:val="300"/>
        </w:trPr>
        <w:tc>
          <w:tcPr>
            <w:tcW w:w="440" w:type="dxa"/>
            <w:shd w:val="clear" w:color="auto" w:fill="F2F2F2" w:themeFill="background1" w:themeFillShade="F2"/>
            <w:noWrap/>
            <w:hideMark/>
          </w:tcPr>
          <w:p w14:paraId="6E048B72"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14</w:t>
            </w:r>
          </w:p>
        </w:tc>
        <w:tc>
          <w:tcPr>
            <w:tcW w:w="1896" w:type="dxa"/>
            <w:shd w:val="clear" w:color="auto" w:fill="F2F2F2" w:themeFill="background1" w:themeFillShade="F2"/>
            <w:noWrap/>
            <w:hideMark/>
          </w:tcPr>
          <w:p w14:paraId="3F6676DF"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Dong et al., </w:t>
            </w:r>
            <w:proofErr w:type="spellStart"/>
            <w:r w:rsidRPr="00B514A7">
              <w:rPr>
                <w:rFonts w:eastAsia="Times New Roman" w:cstheme="minorHAnsi"/>
                <w:color w:val="000000"/>
                <w:sz w:val="20"/>
                <w:szCs w:val="20"/>
                <w:lang w:eastAsia="en-GB"/>
              </w:rPr>
              <w:t>Prog</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w:t>
            </w:r>
            <w:proofErr w:type="spellEnd"/>
            <w:r w:rsidRPr="00B514A7">
              <w:rPr>
                <w:rFonts w:eastAsia="Times New Roman" w:cstheme="minorHAnsi"/>
                <w:color w:val="000000"/>
                <w:sz w:val="20"/>
                <w:szCs w:val="20"/>
                <w:lang w:eastAsia="en-GB"/>
              </w:rPr>
              <w:t>-psycho, 2013</w:t>
            </w:r>
          </w:p>
        </w:tc>
        <w:tc>
          <w:tcPr>
            <w:tcW w:w="825" w:type="dxa"/>
            <w:noWrap/>
            <w:hideMark/>
          </w:tcPr>
          <w:p w14:paraId="58EB169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DCD6C1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5CB805F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1AC9D89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4C878029"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80 IAT score</w:t>
            </w:r>
          </w:p>
        </w:tc>
        <w:tc>
          <w:tcPr>
            <w:tcW w:w="1417" w:type="dxa"/>
            <w:noWrap/>
            <w:hideMark/>
          </w:tcPr>
          <w:p w14:paraId="054C742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61117634"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75F087E6"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13848932" w14:textId="77777777" w:rsidTr="00865A76">
        <w:trPr>
          <w:trHeight w:val="300"/>
        </w:trPr>
        <w:tc>
          <w:tcPr>
            <w:tcW w:w="440" w:type="dxa"/>
            <w:shd w:val="clear" w:color="auto" w:fill="F2F2F2" w:themeFill="background1" w:themeFillShade="F2"/>
            <w:noWrap/>
            <w:hideMark/>
          </w:tcPr>
          <w:p w14:paraId="69AECB3A"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15</w:t>
            </w:r>
          </w:p>
        </w:tc>
        <w:tc>
          <w:tcPr>
            <w:tcW w:w="1896" w:type="dxa"/>
            <w:shd w:val="clear" w:color="auto" w:fill="F2F2F2" w:themeFill="background1" w:themeFillShade="F2"/>
            <w:noWrap/>
            <w:hideMark/>
          </w:tcPr>
          <w:p w14:paraId="71B75F1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Dong et al., Psych Res, 2012</w:t>
            </w:r>
          </w:p>
        </w:tc>
        <w:tc>
          <w:tcPr>
            <w:tcW w:w="825" w:type="dxa"/>
            <w:noWrap/>
            <w:hideMark/>
          </w:tcPr>
          <w:p w14:paraId="22C8BCB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09FCA8F4"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3CEA3E6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0168E43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3008C47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80 IAT score</w:t>
            </w:r>
          </w:p>
        </w:tc>
        <w:tc>
          <w:tcPr>
            <w:tcW w:w="1417" w:type="dxa"/>
            <w:noWrap/>
            <w:hideMark/>
          </w:tcPr>
          <w:p w14:paraId="5B64D314"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46029C2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6D2DDD02"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6EF321D1" w14:textId="77777777" w:rsidTr="00865A76">
        <w:trPr>
          <w:trHeight w:val="300"/>
        </w:trPr>
        <w:tc>
          <w:tcPr>
            <w:tcW w:w="440" w:type="dxa"/>
            <w:shd w:val="clear" w:color="auto" w:fill="F2F2F2" w:themeFill="background1" w:themeFillShade="F2"/>
            <w:noWrap/>
            <w:hideMark/>
          </w:tcPr>
          <w:p w14:paraId="5E8FF331"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16</w:t>
            </w:r>
          </w:p>
        </w:tc>
        <w:tc>
          <w:tcPr>
            <w:tcW w:w="1896" w:type="dxa"/>
            <w:shd w:val="clear" w:color="auto" w:fill="F2F2F2" w:themeFill="background1" w:themeFillShade="F2"/>
            <w:noWrap/>
            <w:hideMark/>
          </w:tcPr>
          <w:p w14:paraId="5371893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Kim et al., </w:t>
            </w:r>
            <w:proofErr w:type="spellStart"/>
            <w:r w:rsidRPr="00B514A7">
              <w:rPr>
                <w:rFonts w:eastAsia="Times New Roman" w:cstheme="minorHAnsi"/>
                <w:color w:val="000000"/>
                <w:sz w:val="20"/>
                <w:szCs w:val="20"/>
                <w:lang w:eastAsia="en-GB"/>
              </w:rPr>
              <w:t>Sci</w:t>
            </w:r>
            <w:proofErr w:type="spellEnd"/>
            <w:r w:rsidRPr="00B514A7">
              <w:rPr>
                <w:rFonts w:eastAsia="Times New Roman" w:cstheme="minorHAnsi"/>
                <w:color w:val="000000"/>
                <w:sz w:val="20"/>
                <w:szCs w:val="20"/>
                <w:lang w:eastAsia="en-GB"/>
              </w:rPr>
              <w:t xml:space="preserve"> Re;, 2017</w:t>
            </w:r>
          </w:p>
        </w:tc>
        <w:tc>
          <w:tcPr>
            <w:tcW w:w="825" w:type="dxa"/>
            <w:noWrap/>
            <w:hideMark/>
          </w:tcPr>
          <w:p w14:paraId="45A940A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w:t>
            </w:r>
          </w:p>
        </w:tc>
        <w:tc>
          <w:tcPr>
            <w:tcW w:w="1059" w:type="dxa"/>
            <w:noWrap/>
            <w:hideMark/>
          </w:tcPr>
          <w:p w14:paraId="0922C37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15B1F39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South Korea</w:t>
            </w:r>
          </w:p>
        </w:tc>
        <w:tc>
          <w:tcPr>
            <w:tcW w:w="992" w:type="dxa"/>
            <w:noWrap/>
            <w:hideMark/>
          </w:tcPr>
          <w:p w14:paraId="66DBB52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Clinical Interview</w:t>
            </w:r>
          </w:p>
        </w:tc>
        <w:tc>
          <w:tcPr>
            <w:tcW w:w="1134" w:type="dxa"/>
            <w:noWrap/>
            <w:hideMark/>
          </w:tcPr>
          <w:p w14:paraId="15C0D729"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Diagnostic interview</w:t>
            </w:r>
          </w:p>
        </w:tc>
        <w:tc>
          <w:tcPr>
            <w:tcW w:w="1417" w:type="dxa"/>
            <w:noWrap/>
            <w:hideMark/>
          </w:tcPr>
          <w:p w14:paraId="220AF26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1901F6D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7B6864E2"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2A41439D" w14:textId="77777777" w:rsidTr="00865A76">
        <w:trPr>
          <w:trHeight w:val="300"/>
        </w:trPr>
        <w:tc>
          <w:tcPr>
            <w:tcW w:w="440" w:type="dxa"/>
            <w:shd w:val="clear" w:color="auto" w:fill="F2F2F2" w:themeFill="background1" w:themeFillShade="F2"/>
            <w:noWrap/>
            <w:hideMark/>
          </w:tcPr>
          <w:p w14:paraId="0065488A"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17</w:t>
            </w:r>
          </w:p>
        </w:tc>
        <w:tc>
          <w:tcPr>
            <w:tcW w:w="1896" w:type="dxa"/>
            <w:shd w:val="clear" w:color="auto" w:fill="F2F2F2" w:themeFill="background1" w:themeFillShade="F2"/>
            <w:noWrap/>
            <w:hideMark/>
          </w:tcPr>
          <w:p w14:paraId="489C821E" w14:textId="77777777" w:rsidR="00865A76" w:rsidRPr="00B514A7" w:rsidRDefault="00865A76" w:rsidP="000E1816">
            <w:pPr>
              <w:spacing w:line="240" w:lineRule="auto"/>
              <w:rPr>
                <w:rFonts w:eastAsia="Times New Roman" w:cstheme="minorHAnsi"/>
                <w:color w:val="000000"/>
                <w:sz w:val="20"/>
                <w:szCs w:val="20"/>
                <w:lang w:eastAsia="en-GB"/>
              </w:rPr>
            </w:pPr>
            <w:proofErr w:type="spellStart"/>
            <w:r w:rsidRPr="00B514A7">
              <w:rPr>
                <w:rFonts w:eastAsia="Times New Roman" w:cstheme="minorHAnsi"/>
                <w:color w:val="000000"/>
                <w:sz w:val="20"/>
                <w:szCs w:val="20"/>
                <w:lang w:eastAsia="en-GB"/>
              </w:rPr>
              <w:t>Ko</w:t>
            </w:r>
            <w:proofErr w:type="spellEnd"/>
            <w:r w:rsidRPr="00B514A7">
              <w:rPr>
                <w:rFonts w:eastAsia="Times New Roman" w:cstheme="minorHAnsi"/>
                <w:color w:val="000000"/>
                <w:sz w:val="20"/>
                <w:szCs w:val="20"/>
                <w:lang w:eastAsia="en-GB"/>
              </w:rPr>
              <w:t xml:space="preserve"> et al., </w:t>
            </w:r>
            <w:proofErr w:type="spellStart"/>
            <w:r w:rsidRPr="00B514A7">
              <w:rPr>
                <w:rFonts w:eastAsia="Times New Roman" w:cstheme="minorHAnsi"/>
                <w:color w:val="000000"/>
                <w:sz w:val="20"/>
                <w:szCs w:val="20"/>
                <w:lang w:eastAsia="en-GB"/>
              </w:rPr>
              <w:t>Eur</w:t>
            </w:r>
            <w:proofErr w:type="spellEnd"/>
            <w:r w:rsidRPr="00B514A7">
              <w:rPr>
                <w:rFonts w:eastAsia="Times New Roman" w:cstheme="minorHAnsi"/>
                <w:color w:val="000000"/>
                <w:sz w:val="20"/>
                <w:szCs w:val="20"/>
                <w:lang w:eastAsia="en-GB"/>
              </w:rPr>
              <w:t xml:space="preserve"> Arch Psych, 2014</w:t>
            </w:r>
          </w:p>
        </w:tc>
        <w:tc>
          <w:tcPr>
            <w:tcW w:w="825" w:type="dxa"/>
            <w:noWrap/>
            <w:hideMark/>
          </w:tcPr>
          <w:p w14:paraId="3738844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w:t>
            </w:r>
          </w:p>
        </w:tc>
        <w:tc>
          <w:tcPr>
            <w:tcW w:w="1059" w:type="dxa"/>
            <w:noWrap/>
            <w:hideMark/>
          </w:tcPr>
          <w:p w14:paraId="0E3775A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00AA5E8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Taiwan</w:t>
            </w:r>
          </w:p>
        </w:tc>
        <w:tc>
          <w:tcPr>
            <w:tcW w:w="992" w:type="dxa"/>
            <w:noWrap/>
            <w:hideMark/>
          </w:tcPr>
          <w:p w14:paraId="22F9B52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DCIA-C (</w:t>
            </w:r>
            <w:proofErr w:type="spellStart"/>
            <w:r w:rsidRPr="00B514A7">
              <w:rPr>
                <w:rFonts w:eastAsia="Times New Roman" w:cstheme="minorHAnsi"/>
                <w:color w:val="000000"/>
                <w:sz w:val="20"/>
                <w:szCs w:val="20"/>
                <w:lang w:eastAsia="en-GB"/>
              </w:rPr>
              <w:t>Ko</w:t>
            </w:r>
            <w:proofErr w:type="spellEnd"/>
            <w:r w:rsidRPr="00B514A7">
              <w:rPr>
                <w:rFonts w:eastAsia="Times New Roman" w:cstheme="minorHAnsi"/>
                <w:color w:val="000000"/>
                <w:sz w:val="20"/>
                <w:szCs w:val="20"/>
                <w:lang w:eastAsia="en-GB"/>
              </w:rPr>
              <w:t xml:space="preserve"> et al. 2009)</w:t>
            </w:r>
          </w:p>
        </w:tc>
        <w:tc>
          <w:tcPr>
            <w:tcW w:w="1134" w:type="dxa"/>
            <w:noWrap/>
            <w:hideMark/>
          </w:tcPr>
          <w:p w14:paraId="60A7EEB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Diagnostic interview</w:t>
            </w:r>
          </w:p>
        </w:tc>
        <w:tc>
          <w:tcPr>
            <w:tcW w:w="1417" w:type="dxa"/>
            <w:noWrap/>
            <w:hideMark/>
          </w:tcPr>
          <w:p w14:paraId="257DBB6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 sample (including a % of axis-I comorbidities)</w:t>
            </w:r>
          </w:p>
        </w:tc>
        <w:tc>
          <w:tcPr>
            <w:tcW w:w="1418" w:type="dxa"/>
            <w:noWrap/>
            <w:hideMark/>
          </w:tcPr>
          <w:p w14:paraId="638A791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5255378F"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2537EAD2" w14:textId="77777777" w:rsidTr="00865A76">
        <w:trPr>
          <w:trHeight w:val="300"/>
        </w:trPr>
        <w:tc>
          <w:tcPr>
            <w:tcW w:w="440" w:type="dxa"/>
            <w:shd w:val="clear" w:color="auto" w:fill="F2F2F2" w:themeFill="background1" w:themeFillShade="F2"/>
            <w:noWrap/>
            <w:hideMark/>
          </w:tcPr>
          <w:p w14:paraId="24CBAFA2"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18</w:t>
            </w:r>
          </w:p>
        </w:tc>
        <w:tc>
          <w:tcPr>
            <w:tcW w:w="1896" w:type="dxa"/>
            <w:shd w:val="clear" w:color="auto" w:fill="F2F2F2" w:themeFill="background1" w:themeFillShade="F2"/>
            <w:noWrap/>
            <w:hideMark/>
          </w:tcPr>
          <w:p w14:paraId="351DAC4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Li et al, </w:t>
            </w:r>
            <w:proofErr w:type="spellStart"/>
            <w:r w:rsidRPr="00B514A7">
              <w:rPr>
                <w:rFonts w:eastAsia="Times New Roman" w:cstheme="minorHAnsi"/>
                <w:color w:val="000000"/>
                <w:sz w:val="20"/>
                <w:szCs w:val="20"/>
                <w:lang w:eastAsia="en-GB"/>
              </w:rPr>
              <w:t>Cyberpsychol</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Beh</w:t>
            </w:r>
            <w:proofErr w:type="spellEnd"/>
            <w:r w:rsidRPr="00B514A7">
              <w:rPr>
                <w:rFonts w:eastAsia="Times New Roman" w:cstheme="minorHAnsi"/>
                <w:color w:val="000000"/>
                <w:sz w:val="20"/>
                <w:szCs w:val="20"/>
                <w:lang w:eastAsia="en-GB"/>
              </w:rPr>
              <w:t xml:space="preserve"> and </w:t>
            </w:r>
            <w:proofErr w:type="spellStart"/>
            <w:r w:rsidRPr="00B514A7">
              <w:rPr>
                <w:rFonts w:eastAsia="Times New Roman" w:cstheme="minorHAnsi"/>
                <w:color w:val="000000"/>
                <w:sz w:val="20"/>
                <w:szCs w:val="20"/>
                <w:lang w:eastAsia="en-GB"/>
              </w:rPr>
              <w:t>Soc</w:t>
            </w:r>
            <w:proofErr w:type="spellEnd"/>
            <w:r w:rsidRPr="00B514A7">
              <w:rPr>
                <w:rFonts w:eastAsia="Times New Roman" w:cstheme="minorHAnsi"/>
                <w:color w:val="000000"/>
                <w:sz w:val="20"/>
                <w:szCs w:val="20"/>
                <w:lang w:eastAsia="en-GB"/>
              </w:rPr>
              <w:t xml:space="preserve"> N, 2016</w:t>
            </w:r>
          </w:p>
        </w:tc>
        <w:tc>
          <w:tcPr>
            <w:tcW w:w="825" w:type="dxa"/>
            <w:noWrap/>
            <w:hideMark/>
          </w:tcPr>
          <w:p w14:paraId="4E66CBC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58A45CA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348401F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474CEFA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YDQ (8 items)</w:t>
            </w:r>
          </w:p>
        </w:tc>
        <w:tc>
          <w:tcPr>
            <w:tcW w:w="1134" w:type="dxa"/>
            <w:noWrap/>
            <w:hideMark/>
          </w:tcPr>
          <w:p w14:paraId="6D936C2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 items</w:t>
            </w:r>
          </w:p>
        </w:tc>
        <w:tc>
          <w:tcPr>
            <w:tcW w:w="1417" w:type="dxa"/>
            <w:noWrap/>
            <w:hideMark/>
          </w:tcPr>
          <w:p w14:paraId="4BA8153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0A43AAB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Discounting</w:t>
            </w:r>
          </w:p>
        </w:tc>
        <w:tc>
          <w:tcPr>
            <w:tcW w:w="1021" w:type="dxa"/>
          </w:tcPr>
          <w:p w14:paraId="60F8007F" w14:textId="77777777" w:rsidR="00865A76" w:rsidRPr="00B514A7"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2A864BB8" w14:textId="77777777" w:rsidTr="00865A76">
        <w:trPr>
          <w:trHeight w:val="300"/>
        </w:trPr>
        <w:tc>
          <w:tcPr>
            <w:tcW w:w="440" w:type="dxa"/>
            <w:shd w:val="clear" w:color="auto" w:fill="F2F2F2" w:themeFill="background1" w:themeFillShade="F2"/>
            <w:noWrap/>
            <w:hideMark/>
          </w:tcPr>
          <w:p w14:paraId="6D38363B"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19</w:t>
            </w:r>
          </w:p>
        </w:tc>
        <w:tc>
          <w:tcPr>
            <w:tcW w:w="1896" w:type="dxa"/>
            <w:shd w:val="clear" w:color="auto" w:fill="F2F2F2" w:themeFill="background1" w:themeFillShade="F2"/>
            <w:noWrap/>
            <w:hideMark/>
          </w:tcPr>
          <w:p w14:paraId="20855B4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Li et al., Front </w:t>
            </w:r>
            <w:proofErr w:type="spellStart"/>
            <w:r w:rsidRPr="00B514A7">
              <w:rPr>
                <w:rFonts w:eastAsia="Times New Roman" w:cstheme="minorHAnsi"/>
                <w:color w:val="000000"/>
                <w:sz w:val="20"/>
                <w:szCs w:val="20"/>
                <w:lang w:eastAsia="en-GB"/>
              </w:rPr>
              <w:t>Psychol</w:t>
            </w:r>
            <w:proofErr w:type="spellEnd"/>
            <w:r w:rsidRPr="00B514A7">
              <w:rPr>
                <w:rFonts w:eastAsia="Times New Roman" w:cstheme="minorHAnsi"/>
                <w:color w:val="000000"/>
                <w:sz w:val="20"/>
                <w:szCs w:val="20"/>
                <w:lang w:eastAsia="en-GB"/>
              </w:rPr>
              <w:t>, 2016</w:t>
            </w:r>
          </w:p>
        </w:tc>
        <w:tc>
          <w:tcPr>
            <w:tcW w:w="825" w:type="dxa"/>
            <w:noWrap/>
            <w:hideMark/>
          </w:tcPr>
          <w:p w14:paraId="370AED7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3945873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3B61024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13A21C1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(8 items)</w:t>
            </w:r>
          </w:p>
        </w:tc>
        <w:tc>
          <w:tcPr>
            <w:tcW w:w="1134" w:type="dxa"/>
            <w:noWrap/>
            <w:hideMark/>
          </w:tcPr>
          <w:p w14:paraId="4D1C6935"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5 items</w:t>
            </w:r>
          </w:p>
        </w:tc>
        <w:tc>
          <w:tcPr>
            <w:tcW w:w="1417" w:type="dxa"/>
            <w:noWrap/>
            <w:hideMark/>
          </w:tcPr>
          <w:p w14:paraId="55FD01B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66371BFF"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SSRT</w:t>
            </w:r>
          </w:p>
        </w:tc>
        <w:tc>
          <w:tcPr>
            <w:tcW w:w="1021" w:type="dxa"/>
          </w:tcPr>
          <w:p w14:paraId="6B39FC05" w14:textId="77777777" w:rsidR="00865A76" w:rsidRPr="00B514A7" w:rsidRDefault="00865A76" w:rsidP="000E1816">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2F0ED539" w14:textId="77777777" w:rsidTr="00865A76">
        <w:trPr>
          <w:trHeight w:val="300"/>
        </w:trPr>
        <w:tc>
          <w:tcPr>
            <w:tcW w:w="440" w:type="dxa"/>
            <w:shd w:val="clear" w:color="auto" w:fill="F2F2F2" w:themeFill="background1" w:themeFillShade="F2"/>
            <w:noWrap/>
            <w:hideMark/>
          </w:tcPr>
          <w:p w14:paraId="7D13AE14"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lastRenderedPageBreak/>
              <w:t>20</w:t>
            </w:r>
          </w:p>
        </w:tc>
        <w:tc>
          <w:tcPr>
            <w:tcW w:w="1896" w:type="dxa"/>
            <w:shd w:val="clear" w:color="auto" w:fill="F2F2F2" w:themeFill="background1" w:themeFillShade="F2"/>
            <w:noWrap/>
            <w:hideMark/>
          </w:tcPr>
          <w:p w14:paraId="770A261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Lim et al., Medicine Open, 2016</w:t>
            </w:r>
          </w:p>
        </w:tc>
        <w:tc>
          <w:tcPr>
            <w:tcW w:w="825" w:type="dxa"/>
            <w:noWrap/>
            <w:hideMark/>
          </w:tcPr>
          <w:p w14:paraId="5B64C8E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47D1453"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0D818108"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South Korea</w:t>
            </w:r>
          </w:p>
        </w:tc>
        <w:tc>
          <w:tcPr>
            <w:tcW w:w="992" w:type="dxa"/>
            <w:noWrap/>
            <w:hideMark/>
          </w:tcPr>
          <w:p w14:paraId="3C3FD15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DSM-5 + IAT (20 items)</w:t>
            </w:r>
          </w:p>
        </w:tc>
        <w:tc>
          <w:tcPr>
            <w:tcW w:w="1134" w:type="dxa"/>
            <w:noWrap/>
            <w:hideMark/>
          </w:tcPr>
          <w:p w14:paraId="774E003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PIU ≥ 70 </w:t>
            </w:r>
          </w:p>
        </w:tc>
        <w:tc>
          <w:tcPr>
            <w:tcW w:w="1417" w:type="dxa"/>
            <w:noWrap/>
            <w:hideMark/>
          </w:tcPr>
          <w:p w14:paraId="066B3E7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5B48E24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SSRT Stroop, WM</w:t>
            </w:r>
          </w:p>
        </w:tc>
        <w:tc>
          <w:tcPr>
            <w:tcW w:w="1021" w:type="dxa"/>
          </w:tcPr>
          <w:p w14:paraId="161E9A36"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6EF46931" w14:textId="77777777" w:rsidTr="00865A76">
        <w:trPr>
          <w:trHeight w:val="300"/>
        </w:trPr>
        <w:tc>
          <w:tcPr>
            <w:tcW w:w="440" w:type="dxa"/>
            <w:shd w:val="clear" w:color="auto" w:fill="F2F2F2" w:themeFill="background1" w:themeFillShade="F2"/>
            <w:noWrap/>
            <w:hideMark/>
          </w:tcPr>
          <w:p w14:paraId="6716A9BF"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21</w:t>
            </w:r>
          </w:p>
        </w:tc>
        <w:tc>
          <w:tcPr>
            <w:tcW w:w="1896" w:type="dxa"/>
            <w:shd w:val="clear" w:color="auto" w:fill="F2F2F2" w:themeFill="background1" w:themeFillShade="F2"/>
            <w:noWrap/>
            <w:hideMark/>
          </w:tcPr>
          <w:p w14:paraId="6B7AED8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Lin et al., </w:t>
            </w:r>
            <w:proofErr w:type="spellStart"/>
            <w:r w:rsidRPr="00B514A7">
              <w:rPr>
                <w:rFonts w:eastAsia="Times New Roman" w:cstheme="minorHAnsi"/>
                <w:color w:val="000000"/>
                <w:sz w:val="20"/>
                <w:szCs w:val="20"/>
                <w:lang w:eastAsia="en-GB"/>
              </w:rPr>
              <w:t>Prog</w:t>
            </w:r>
            <w:proofErr w:type="spellEnd"/>
            <w:r w:rsidRPr="00B514A7">
              <w:rPr>
                <w:rFonts w:eastAsia="Times New Roman" w:cstheme="minorHAnsi"/>
                <w:color w:val="000000"/>
                <w:sz w:val="20"/>
                <w:szCs w:val="20"/>
                <w:lang w:eastAsia="en-GB"/>
              </w:rPr>
              <w:t xml:space="preserve"> in </w:t>
            </w:r>
            <w:proofErr w:type="spellStart"/>
            <w:r w:rsidRPr="00B514A7">
              <w:rPr>
                <w:rFonts w:eastAsia="Times New Roman" w:cstheme="minorHAnsi"/>
                <w:color w:val="000000"/>
                <w:sz w:val="20"/>
                <w:szCs w:val="20"/>
                <w:lang w:eastAsia="en-GB"/>
              </w:rPr>
              <w:t>Neuro</w:t>
            </w:r>
            <w:proofErr w:type="spellEnd"/>
            <w:r w:rsidRPr="00B514A7">
              <w:rPr>
                <w:rFonts w:eastAsia="Times New Roman" w:cstheme="minorHAnsi"/>
                <w:color w:val="000000"/>
                <w:sz w:val="20"/>
                <w:szCs w:val="20"/>
                <w:lang w:eastAsia="en-GB"/>
              </w:rPr>
              <w:t>-Psych, 2015</w:t>
            </w:r>
          </w:p>
        </w:tc>
        <w:tc>
          <w:tcPr>
            <w:tcW w:w="825" w:type="dxa"/>
            <w:noWrap/>
            <w:hideMark/>
          </w:tcPr>
          <w:p w14:paraId="65F68E5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3EC03C4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6FD48BD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4805851B"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16D03A19"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PIU ≥ 50 </w:t>
            </w:r>
          </w:p>
        </w:tc>
        <w:tc>
          <w:tcPr>
            <w:tcW w:w="1417" w:type="dxa"/>
            <w:noWrap/>
            <w:hideMark/>
          </w:tcPr>
          <w:p w14:paraId="4D518A0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 sample (including a % of axis-I comorbidities)</w:t>
            </w:r>
          </w:p>
        </w:tc>
        <w:tc>
          <w:tcPr>
            <w:tcW w:w="1418" w:type="dxa"/>
            <w:noWrap/>
            <w:hideMark/>
          </w:tcPr>
          <w:p w14:paraId="4C290A2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Discounting</w:t>
            </w:r>
          </w:p>
        </w:tc>
        <w:tc>
          <w:tcPr>
            <w:tcW w:w="1021" w:type="dxa"/>
          </w:tcPr>
          <w:p w14:paraId="5D78662B"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4BA55808" w14:textId="77777777" w:rsidTr="00865A76">
        <w:trPr>
          <w:trHeight w:val="345"/>
        </w:trPr>
        <w:tc>
          <w:tcPr>
            <w:tcW w:w="440" w:type="dxa"/>
            <w:shd w:val="clear" w:color="auto" w:fill="F2F2F2" w:themeFill="background1" w:themeFillShade="F2"/>
            <w:noWrap/>
            <w:hideMark/>
          </w:tcPr>
          <w:p w14:paraId="31747A62"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22</w:t>
            </w:r>
          </w:p>
        </w:tc>
        <w:tc>
          <w:tcPr>
            <w:tcW w:w="1896" w:type="dxa"/>
            <w:shd w:val="clear" w:color="auto" w:fill="F2F2F2" w:themeFill="background1" w:themeFillShade="F2"/>
            <w:noWrap/>
            <w:hideMark/>
          </w:tcPr>
          <w:p w14:paraId="5C87C58F" w14:textId="77777777" w:rsidR="00865A76" w:rsidRPr="00B514A7" w:rsidRDefault="00865A76" w:rsidP="000E1816">
            <w:pPr>
              <w:spacing w:line="240" w:lineRule="auto"/>
              <w:rPr>
                <w:rFonts w:eastAsia="Times New Roman" w:cstheme="minorHAnsi"/>
                <w:color w:val="000000"/>
                <w:sz w:val="20"/>
                <w:szCs w:val="20"/>
                <w:lang w:eastAsia="en-GB"/>
              </w:rPr>
            </w:pPr>
            <w:proofErr w:type="spellStart"/>
            <w:r w:rsidRPr="00B514A7">
              <w:rPr>
                <w:rFonts w:eastAsia="Times New Roman" w:cstheme="minorHAnsi"/>
                <w:color w:val="000000"/>
                <w:sz w:val="20"/>
                <w:szCs w:val="20"/>
                <w:lang w:eastAsia="en-GB"/>
              </w:rPr>
              <w:t>Littel</w:t>
            </w:r>
            <w:proofErr w:type="spellEnd"/>
            <w:r w:rsidRPr="00B514A7">
              <w:rPr>
                <w:rFonts w:eastAsia="Times New Roman" w:cstheme="minorHAnsi"/>
                <w:color w:val="000000"/>
                <w:sz w:val="20"/>
                <w:szCs w:val="20"/>
                <w:lang w:eastAsia="en-GB"/>
              </w:rPr>
              <w:t xml:space="preserve"> et al., Addict </w:t>
            </w:r>
            <w:proofErr w:type="spellStart"/>
            <w:r w:rsidRPr="00B514A7">
              <w:rPr>
                <w:rFonts w:eastAsia="Times New Roman" w:cstheme="minorHAnsi"/>
                <w:color w:val="000000"/>
                <w:sz w:val="20"/>
                <w:szCs w:val="20"/>
                <w:lang w:eastAsia="en-GB"/>
              </w:rPr>
              <w:t>Biol</w:t>
            </w:r>
            <w:proofErr w:type="spellEnd"/>
            <w:r w:rsidRPr="00B514A7">
              <w:rPr>
                <w:rFonts w:eastAsia="Times New Roman" w:cstheme="minorHAnsi"/>
                <w:color w:val="000000"/>
                <w:sz w:val="20"/>
                <w:szCs w:val="20"/>
                <w:lang w:eastAsia="en-GB"/>
              </w:rPr>
              <w:t>, 2012</w:t>
            </w:r>
          </w:p>
        </w:tc>
        <w:tc>
          <w:tcPr>
            <w:tcW w:w="825" w:type="dxa"/>
            <w:noWrap/>
            <w:hideMark/>
          </w:tcPr>
          <w:p w14:paraId="5FB2F57C"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6F807D85"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 Significant difference in gender. x</w:t>
            </w:r>
            <w:r w:rsidRPr="00B514A7">
              <w:rPr>
                <w:rFonts w:eastAsia="Times New Roman" w:cstheme="minorHAnsi"/>
                <w:color w:val="000000"/>
                <w:sz w:val="20"/>
                <w:szCs w:val="20"/>
                <w:vertAlign w:val="superscript"/>
                <w:lang w:eastAsia="en-GB"/>
              </w:rPr>
              <w:t>2</w:t>
            </w:r>
            <w:r w:rsidRPr="00B514A7">
              <w:rPr>
                <w:rFonts w:eastAsia="Times New Roman" w:cstheme="minorHAnsi"/>
                <w:color w:val="000000"/>
                <w:sz w:val="20"/>
                <w:szCs w:val="20"/>
                <w:lang w:eastAsia="en-GB"/>
              </w:rPr>
              <w:t>(1) = 16.91, P &lt; 0.001</w:t>
            </w:r>
          </w:p>
        </w:tc>
        <w:tc>
          <w:tcPr>
            <w:tcW w:w="850" w:type="dxa"/>
            <w:noWrap/>
            <w:hideMark/>
          </w:tcPr>
          <w:p w14:paraId="2F5C519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Netherlands</w:t>
            </w:r>
          </w:p>
        </w:tc>
        <w:tc>
          <w:tcPr>
            <w:tcW w:w="992" w:type="dxa"/>
            <w:noWrap/>
            <w:hideMark/>
          </w:tcPr>
          <w:p w14:paraId="03B3453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VAT (14 items) (van </w:t>
            </w:r>
            <w:proofErr w:type="spellStart"/>
            <w:r w:rsidRPr="00B514A7">
              <w:rPr>
                <w:rFonts w:eastAsia="Times New Roman" w:cstheme="minorHAnsi"/>
                <w:color w:val="000000"/>
                <w:sz w:val="20"/>
                <w:szCs w:val="20"/>
                <w:lang w:eastAsia="en-GB"/>
              </w:rPr>
              <w:t>Rooij</w:t>
            </w:r>
            <w:proofErr w:type="spellEnd"/>
            <w:r w:rsidRPr="00B514A7">
              <w:rPr>
                <w:rFonts w:eastAsia="Times New Roman" w:cstheme="minorHAnsi"/>
                <w:color w:val="000000"/>
                <w:sz w:val="20"/>
                <w:szCs w:val="20"/>
                <w:lang w:eastAsia="en-GB"/>
              </w:rPr>
              <w:t xml:space="preserve"> et al. 2012)</w:t>
            </w:r>
          </w:p>
        </w:tc>
        <w:tc>
          <w:tcPr>
            <w:tcW w:w="1134" w:type="dxa"/>
            <w:noWrap/>
            <w:hideMark/>
          </w:tcPr>
          <w:p w14:paraId="0F72C7F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&gt; 2.5</w:t>
            </w:r>
          </w:p>
        </w:tc>
        <w:tc>
          <w:tcPr>
            <w:tcW w:w="1417" w:type="dxa"/>
            <w:noWrap/>
            <w:hideMark/>
          </w:tcPr>
          <w:p w14:paraId="416D192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Not reported</w:t>
            </w:r>
          </w:p>
        </w:tc>
        <w:tc>
          <w:tcPr>
            <w:tcW w:w="1418" w:type="dxa"/>
            <w:noWrap/>
            <w:hideMark/>
          </w:tcPr>
          <w:p w14:paraId="116BCF2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6FF60186"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44F81AC6" w14:textId="77777777" w:rsidTr="00865A76">
        <w:trPr>
          <w:trHeight w:val="300"/>
        </w:trPr>
        <w:tc>
          <w:tcPr>
            <w:tcW w:w="440" w:type="dxa"/>
            <w:shd w:val="clear" w:color="auto" w:fill="F2F2F2" w:themeFill="background1" w:themeFillShade="F2"/>
            <w:noWrap/>
            <w:hideMark/>
          </w:tcPr>
          <w:p w14:paraId="212F098B"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23</w:t>
            </w:r>
          </w:p>
        </w:tc>
        <w:tc>
          <w:tcPr>
            <w:tcW w:w="1896" w:type="dxa"/>
            <w:shd w:val="clear" w:color="auto" w:fill="F2F2F2" w:themeFill="background1" w:themeFillShade="F2"/>
            <w:noWrap/>
            <w:hideMark/>
          </w:tcPr>
          <w:p w14:paraId="248DDCC9"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Liu et al., </w:t>
            </w:r>
            <w:proofErr w:type="spellStart"/>
            <w:r w:rsidRPr="00B514A7">
              <w:rPr>
                <w:rFonts w:eastAsia="Times New Roman" w:cstheme="minorHAnsi"/>
                <w:color w:val="000000"/>
                <w:sz w:val="20"/>
                <w:szCs w:val="20"/>
                <w:lang w:eastAsia="en-GB"/>
              </w:rPr>
              <w:t>Kaohs</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Journ</w:t>
            </w:r>
            <w:proofErr w:type="spellEnd"/>
            <w:r w:rsidRPr="00B514A7">
              <w:rPr>
                <w:rFonts w:eastAsia="Times New Roman" w:cstheme="minorHAnsi"/>
                <w:color w:val="000000"/>
                <w:sz w:val="20"/>
                <w:szCs w:val="20"/>
                <w:lang w:eastAsia="en-GB"/>
              </w:rPr>
              <w:t xml:space="preserve"> Med </w:t>
            </w:r>
            <w:proofErr w:type="spellStart"/>
            <w:r w:rsidRPr="00B514A7">
              <w:rPr>
                <w:rFonts w:eastAsia="Times New Roman" w:cstheme="minorHAnsi"/>
                <w:color w:val="000000"/>
                <w:sz w:val="20"/>
                <w:szCs w:val="20"/>
                <w:lang w:eastAsia="en-GB"/>
              </w:rPr>
              <w:t>Sci</w:t>
            </w:r>
            <w:proofErr w:type="spellEnd"/>
            <w:r w:rsidRPr="00B514A7">
              <w:rPr>
                <w:rFonts w:eastAsia="Times New Roman" w:cstheme="minorHAnsi"/>
                <w:color w:val="000000"/>
                <w:sz w:val="20"/>
                <w:szCs w:val="20"/>
                <w:lang w:eastAsia="en-GB"/>
              </w:rPr>
              <w:t>, 2014</w:t>
            </w:r>
          </w:p>
        </w:tc>
        <w:tc>
          <w:tcPr>
            <w:tcW w:w="825" w:type="dxa"/>
            <w:noWrap/>
            <w:hideMark/>
          </w:tcPr>
          <w:p w14:paraId="715BC2D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684E984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2A35DF40"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Taiwan</w:t>
            </w:r>
          </w:p>
        </w:tc>
        <w:tc>
          <w:tcPr>
            <w:tcW w:w="992" w:type="dxa"/>
            <w:noWrap/>
            <w:hideMark/>
          </w:tcPr>
          <w:p w14:paraId="6FC257D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DCIA-C (</w:t>
            </w:r>
            <w:proofErr w:type="spellStart"/>
            <w:r w:rsidRPr="00B514A7">
              <w:rPr>
                <w:rFonts w:eastAsia="Times New Roman" w:cstheme="minorHAnsi"/>
                <w:color w:val="000000"/>
                <w:sz w:val="20"/>
                <w:szCs w:val="20"/>
                <w:lang w:eastAsia="en-GB"/>
              </w:rPr>
              <w:t>Ko</w:t>
            </w:r>
            <w:proofErr w:type="spellEnd"/>
            <w:r w:rsidRPr="00B514A7">
              <w:rPr>
                <w:rFonts w:eastAsia="Times New Roman" w:cstheme="minorHAnsi"/>
                <w:color w:val="000000"/>
                <w:sz w:val="20"/>
                <w:szCs w:val="20"/>
                <w:lang w:eastAsia="en-GB"/>
              </w:rPr>
              <w:t xml:space="preserve"> et al. 2009)</w:t>
            </w:r>
          </w:p>
        </w:tc>
        <w:tc>
          <w:tcPr>
            <w:tcW w:w="1134" w:type="dxa"/>
            <w:noWrap/>
            <w:hideMark/>
          </w:tcPr>
          <w:p w14:paraId="0DB0B8C9"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Diagnostic interview</w:t>
            </w:r>
          </w:p>
        </w:tc>
        <w:tc>
          <w:tcPr>
            <w:tcW w:w="1417" w:type="dxa"/>
            <w:noWrap/>
            <w:hideMark/>
          </w:tcPr>
          <w:p w14:paraId="4FADBD3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 sample (including a % of axis-I comorbidities)</w:t>
            </w:r>
          </w:p>
        </w:tc>
        <w:tc>
          <w:tcPr>
            <w:tcW w:w="1418" w:type="dxa"/>
            <w:noWrap/>
            <w:hideMark/>
          </w:tcPr>
          <w:p w14:paraId="57413B7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7C939640"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1482988C" w14:textId="77777777" w:rsidTr="00865A76">
        <w:trPr>
          <w:trHeight w:val="300"/>
        </w:trPr>
        <w:tc>
          <w:tcPr>
            <w:tcW w:w="440" w:type="dxa"/>
            <w:shd w:val="clear" w:color="auto" w:fill="F2F2F2" w:themeFill="background1" w:themeFillShade="F2"/>
            <w:noWrap/>
            <w:hideMark/>
          </w:tcPr>
          <w:p w14:paraId="7D27EBC7"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24</w:t>
            </w:r>
          </w:p>
        </w:tc>
        <w:tc>
          <w:tcPr>
            <w:tcW w:w="1896" w:type="dxa"/>
            <w:shd w:val="clear" w:color="auto" w:fill="F2F2F2" w:themeFill="background1" w:themeFillShade="F2"/>
            <w:noWrap/>
            <w:hideMark/>
          </w:tcPr>
          <w:p w14:paraId="7F8D26E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Lorenz et al., Addiction </w:t>
            </w:r>
            <w:proofErr w:type="spellStart"/>
            <w:r w:rsidRPr="00B514A7">
              <w:rPr>
                <w:rFonts w:eastAsia="Times New Roman" w:cstheme="minorHAnsi"/>
                <w:color w:val="000000"/>
                <w:sz w:val="20"/>
                <w:szCs w:val="20"/>
                <w:lang w:eastAsia="en-GB"/>
              </w:rPr>
              <w:t>Biol</w:t>
            </w:r>
            <w:proofErr w:type="spellEnd"/>
            <w:r w:rsidRPr="00B514A7">
              <w:rPr>
                <w:rFonts w:eastAsia="Times New Roman" w:cstheme="minorHAnsi"/>
                <w:color w:val="000000"/>
                <w:sz w:val="20"/>
                <w:szCs w:val="20"/>
                <w:lang w:eastAsia="en-GB"/>
              </w:rPr>
              <w:t>, 2012</w:t>
            </w:r>
          </w:p>
        </w:tc>
        <w:tc>
          <w:tcPr>
            <w:tcW w:w="825" w:type="dxa"/>
            <w:noWrap/>
            <w:hideMark/>
          </w:tcPr>
          <w:p w14:paraId="651B593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Adults</w:t>
            </w:r>
          </w:p>
        </w:tc>
        <w:tc>
          <w:tcPr>
            <w:tcW w:w="1059" w:type="dxa"/>
            <w:noWrap/>
            <w:hideMark/>
          </w:tcPr>
          <w:p w14:paraId="653999D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6DCEF224"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Germany</w:t>
            </w:r>
          </w:p>
        </w:tc>
        <w:tc>
          <w:tcPr>
            <w:tcW w:w="992" w:type="dxa"/>
            <w:noWrap/>
            <w:hideMark/>
          </w:tcPr>
          <w:p w14:paraId="372C3BA6" w14:textId="77777777" w:rsidR="00865A76" w:rsidRPr="00B514A7" w:rsidRDefault="00865A76" w:rsidP="000E1816">
            <w:pPr>
              <w:spacing w:line="240" w:lineRule="auto"/>
              <w:rPr>
                <w:rFonts w:eastAsia="Times New Roman" w:cstheme="minorHAnsi"/>
                <w:color w:val="000000"/>
                <w:sz w:val="20"/>
                <w:szCs w:val="20"/>
                <w:lang w:eastAsia="en-GB"/>
              </w:rPr>
            </w:pPr>
            <w:proofErr w:type="spellStart"/>
            <w:r w:rsidRPr="00B514A7">
              <w:rPr>
                <w:rFonts w:eastAsia="Times New Roman" w:cstheme="minorHAnsi"/>
                <w:color w:val="000000"/>
                <w:sz w:val="20"/>
                <w:szCs w:val="20"/>
                <w:lang w:eastAsia="en-GB"/>
              </w:rPr>
              <w:t>WoWAI</w:t>
            </w:r>
            <w:proofErr w:type="spellEnd"/>
            <w:r w:rsidRPr="00B514A7">
              <w:rPr>
                <w:rFonts w:eastAsia="Times New Roman" w:cstheme="minorHAnsi"/>
                <w:color w:val="000000"/>
                <w:sz w:val="20"/>
                <w:szCs w:val="20"/>
                <w:lang w:eastAsia="en-GB"/>
              </w:rPr>
              <w:t xml:space="preserve"> &amp; CGB scores</w:t>
            </w:r>
          </w:p>
        </w:tc>
        <w:tc>
          <w:tcPr>
            <w:tcW w:w="1134" w:type="dxa"/>
            <w:noWrap/>
            <w:hideMark/>
          </w:tcPr>
          <w:p w14:paraId="36F930C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Score-based criteria</w:t>
            </w:r>
          </w:p>
        </w:tc>
        <w:tc>
          <w:tcPr>
            <w:tcW w:w="1417" w:type="dxa"/>
            <w:noWrap/>
            <w:hideMark/>
          </w:tcPr>
          <w:p w14:paraId="10D174E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4E7F5CC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Iowa Gambling Task</w:t>
            </w:r>
          </w:p>
        </w:tc>
        <w:tc>
          <w:tcPr>
            <w:tcW w:w="1021" w:type="dxa"/>
          </w:tcPr>
          <w:p w14:paraId="0716E602"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414588A6" w14:textId="77777777" w:rsidTr="00865A76">
        <w:trPr>
          <w:trHeight w:val="300"/>
        </w:trPr>
        <w:tc>
          <w:tcPr>
            <w:tcW w:w="440" w:type="dxa"/>
            <w:shd w:val="clear" w:color="auto" w:fill="F2F2F2" w:themeFill="background1" w:themeFillShade="F2"/>
            <w:noWrap/>
            <w:hideMark/>
          </w:tcPr>
          <w:p w14:paraId="7122E0B6"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25</w:t>
            </w:r>
          </w:p>
        </w:tc>
        <w:tc>
          <w:tcPr>
            <w:tcW w:w="1896" w:type="dxa"/>
            <w:shd w:val="clear" w:color="auto" w:fill="F2F2F2" w:themeFill="background1" w:themeFillShade="F2"/>
            <w:noWrap/>
            <w:hideMark/>
          </w:tcPr>
          <w:p w14:paraId="6213AC9D" w14:textId="77777777" w:rsidR="00865A76" w:rsidRPr="00B514A7" w:rsidRDefault="00865A76" w:rsidP="000E1816">
            <w:pPr>
              <w:spacing w:line="240" w:lineRule="auto"/>
              <w:rPr>
                <w:rFonts w:eastAsia="Times New Roman" w:cstheme="minorHAnsi"/>
                <w:color w:val="000000"/>
                <w:sz w:val="20"/>
                <w:szCs w:val="20"/>
                <w:lang w:eastAsia="en-GB"/>
              </w:rPr>
            </w:pPr>
            <w:proofErr w:type="spellStart"/>
            <w:r w:rsidRPr="00B514A7">
              <w:rPr>
                <w:rFonts w:eastAsia="Times New Roman" w:cstheme="minorHAnsi"/>
                <w:color w:val="000000"/>
                <w:sz w:val="20"/>
                <w:szCs w:val="20"/>
                <w:lang w:eastAsia="en-GB"/>
              </w:rPr>
              <w:t>Luijen</w:t>
            </w:r>
            <w:proofErr w:type="spellEnd"/>
            <w:r w:rsidRPr="00B514A7">
              <w:rPr>
                <w:rFonts w:eastAsia="Times New Roman" w:cstheme="minorHAnsi"/>
                <w:color w:val="000000"/>
                <w:sz w:val="20"/>
                <w:szCs w:val="20"/>
                <w:lang w:eastAsia="en-GB"/>
              </w:rPr>
              <w:t xml:space="preserve"> et al., Psych Res: </w:t>
            </w:r>
            <w:proofErr w:type="spellStart"/>
            <w:r w:rsidRPr="00B514A7">
              <w:rPr>
                <w:rFonts w:eastAsia="Times New Roman" w:cstheme="minorHAnsi"/>
                <w:color w:val="000000"/>
                <w:sz w:val="20"/>
                <w:szCs w:val="20"/>
                <w:lang w:eastAsia="en-GB"/>
              </w:rPr>
              <w:t>Neuroim</w:t>
            </w:r>
            <w:proofErr w:type="spellEnd"/>
            <w:r w:rsidRPr="00B514A7">
              <w:rPr>
                <w:rFonts w:eastAsia="Times New Roman" w:cstheme="minorHAnsi"/>
                <w:color w:val="000000"/>
                <w:sz w:val="20"/>
                <w:szCs w:val="20"/>
                <w:lang w:eastAsia="en-GB"/>
              </w:rPr>
              <w:t>, 2015</w:t>
            </w:r>
          </w:p>
        </w:tc>
        <w:tc>
          <w:tcPr>
            <w:tcW w:w="825" w:type="dxa"/>
            <w:noWrap/>
            <w:hideMark/>
          </w:tcPr>
          <w:p w14:paraId="27D1DEA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39584BF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0B66462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Netherlands</w:t>
            </w:r>
          </w:p>
        </w:tc>
        <w:tc>
          <w:tcPr>
            <w:tcW w:w="992" w:type="dxa"/>
            <w:noWrap/>
            <w:hideMark/>
          </w:tcPr>
          <w:p w14:paraId="6D9D10D7"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VAT (14 items) (van </w:t>
            </w:r>
            <w:proofErr w:type="spellStart"/>
            <w:r w:rsidRPr="00B514A7">
              <w:rPr>
                <w:rFonts w:eastAsia="Times New Roman" w:cstheme="minorHAnsi"/>
                <w:color w:val="000000"/>
                <w:sz w:val="20"/>
                <w:szCs w:val="20"/>
                <w:lang w:eastAsia="en-GB"/>
              </w:rPr>
              <w:t>Rooij</w:t>
            </w:r>
            <w:proofErr w:type="spellEnd"/>
            <w:r w:rsidRPr="00B514A7">
              <w:rPr>
                <w:rFonts w:eastAsia="Times New Roman" w:cstheme="minorHAnsi"/>
                <w:color w:val="000000"/>
                <w:sz w:val="20"/>
                <w:szCs w:val="20"/>
                <w:lang w:eastAsia="en-GB"/>
              </w:rPr>
              <w:t xml:space="preserve"> et al. 2012)</w:t>
            </w:r>
          </w:p>
        </w:tc>
        <w:tc>
          <w:tcPr>
            <w:tcW w:w="1134" w:type="dxa"/>
            <w:noWrap/>
            <w:hideMark/>
          </w:tcPr>
          <w:p w14:paraId="3D9BF26E"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2.5</w:t>
            </w:r>
          </w:p>
        </w:tc>
        <w:tc>
          <w:tcPr>
            <w:tcW w:w="1417" w:type="dxa"/>
            <w:noWrap/>
            <w:hideMark/>
          </w:tcPr>
          <w:p w14:paraId="22B03636"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5D1C7DB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 Stroop</w:t>
            </w:r>
          </w:p>
        </w:tc>
        <w:tc>
          <w:tcPr>
            <w:tcW w:w="1021" w:type="dxa"/>
          </w:tcPr>
          <w:p w14:paraId="290F0BD4"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1ABA9038" w14:textId="77777777" w:rsidTr="00865A76">
        <w:trPr>
          <w:trHeight w:val="300"/>
        </w:trPr>
        <w:tc>
          <w:tcPr>
            <w:tcW w:w="440" w:type="dxa"/>
            <w:shd w:val="clear" w:color="auto" w:fill="F2F2F2" w:themeFill="background1" w:themeFillShade="F2"/>
            <w:noWrap/>
            <w:hideMark/>
          </w:tcPr>
          <w:p w14:paraId="239830D5" w14:textId="77777777" w:rsidR="00865A76" w:rsidRPr="00CB212E" w:rsidRDefault="00865A76" w:rsidP="000E1816">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26</w:t>
            </w:r>
          </w:p>
        </w:tc>
        <w:tc>
          <w:tcPr>
            <w:tcW w:w="1896" w:type="dxa"/>
            <w:shd w:val="clear" w:color="auto" w:fill="F2F2F2" w:themeFill="background1" w:themeFillShade="F2"/>
            <w:noWrap/>
            <w:hideMark/>
          </w:tcPr>
          <w:p w14:paraId="20961DC5"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Metcalf et al., </w:t>
            </w:r>
            <w:proofErr w:type="spellStart"/>
            <w:r w:rsidRPr="00B514A7">
              <w:rPr>
                <w:rFonts w:eastAsia="Times New Roman" w:cstheme="minorHAnsi"/>
                <w:color w:val="000000"/>
                <w:sz w:val="20"/>
                <w:szCs w:val="20"/>
                <w:lang w:eastAsia="en-GB"/>
              </w:rPr>
              <w:t>Cyberpsychol</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Beh</w:t>
            </w:r>
            <w:proofErr w:type="spellEnd"/>
            <w:r w:rsidRPr="00B514A7">
              <w:rPr>
                <w:rFonts w:eastAsia="Times New Roman" w:cstheme="minorHAnsi"/>
                <w:color w:val="000000"/>
                <w:sz w:val="20"/>
                <w:szCs w:val="20"/>
                <w:lang w:eastAsia="en-GB"/>
              </w:rPr>
              <w:t xml:space="preserve"> and </w:t>
            </w:r>
            <w:proofErr w:type="spellStart"/>
            <w:r w:rsidRPr="00B514A7">
              <w:rPr>
                <w:rFonts w:eastAsia="Times New Roman" w:cstheme="minorHAnsi"/>
                <w:color w:val="000000"/>
                <w:sz w:val="20"/>
                <w:szCs w:val="20"/>
                <w:lang w:eastAsia="en-GB"/>
              </w:rPr>
              <w:t>Soc</w:t>
            </w:r>
            <w:proofErr w:type="spellEnd"/>
            <w:r w:rsidRPr="00B514A7">
              <w:rPr>
                <w:rFonts w:eastAsia="Times New Roman" w:cstheme="minorHAnsi"/>
                <w:color w:val="000000"/>
                <w:sz w:val="20"/>
                <w:szCs w:val="20"/>
                <w:lang w:eastAsia="en-GB"/>
              </w:rPr>
              <w:t xml:space="preserve"> N, 2014</w:t>
            </w:r>
          </w:p>
        </w:tc>
        <w:tc>
          <w:tcPr>
            <w:tcW w:w="825" w:type="dxa"/>
            <w:noWrap/>
            <w:hideMark/>
          </w:tcPr>
          <w:p w14:paraId="3A00BF7F"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9BF3611"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4789F63A"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Australia</w:t>
            </w:r>
          </w:p>
        </w:tc>
        <w:tc>
          <w:tcPr>
            <w:tcW w:w="992" w:type="dxa"/>
            <w:noWrap/>
            <w:hideMark/>
          </w:tcPr>
          <w:p w14:paraId="12B7F6ED"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AEQ questionnaire (24 item)</w:t>
            </w:r>
          </w:p>
        </w:tc>
        <w:tc>
          <w:tcPr>
            <w:tcW w:w="1134" w:type="dxa"/>
            <w:noWrap/>
            <w:hideMark/>
          </w:tcPr>
          <w:p w14:paraId="36888C2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4/7 core criteria</w:t>
            </w:r>
          </w:p>
        </w:tc>
        <w:tc>
          <w:tcPr>
            <w:tcW w:w="1417" w:type="dxa"/>
            <w:noWrap/>
            <w:hideMark/>
          </w:tcPr>
          <w:p w14:paraId="2F74CA5F"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Not reported</w:t>
            </w:r>
          </w:p>
        </w:tc>
        <w:tc>
          <w:tcPr>
            <w:tcW w:w="1418" w:type="dxa"/>
            <w:noWrap/>
            <w:hideMark/>
          </w:tcPr>
          <w:p w14:paraId="2E846612" w14:textId="77777777" w:rsidR="00865A76" w:rsidRPr="00B514A7" w:rsidRDefault="00865A76" w:rsidP="000E1816">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 IGT</w:t>
            </w:r>
          </w:p>
        </w:tc>
        <w:tc>
          <w:tcPr>
            <w:tcW w:w="1021" w:type="dxa"/>
          </w:tcPr>
          <w:p w14:paraId="284C85ED" w14:textId="77777777" w:rsidR="00865A76" w:rsidRPr="00B514A7" w:rsidRDefault="00865A76" w:rsidP="000E1816">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18548F5B" w14:textId="77777777" w:rsidTr="00865A76">
        <w:trPr>
          <w:trHeight w:val="300"/>
        </w:trPr>
        <w:tc>
          <w:tcPr>
            <w:tcW w:w="440" w:type="dxa"/>
            <w:shd w:val="clear" w:color="auto" w:fill="F2F2F2" w:themeFill="background1" w:themeFillShade="F2"/>
            <w:noWrap/>
          </w:tcPr>
          <w:p w14:paraId="023B73E3"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27</w:t>
            </w:r>
          </w:p>
        </w:tc>
        <w:tc>
          <w:tcPr>
            <w:tcW w:w="1896" w:type="dxa"/>
            <w:shd w:val="clear" w:color="auto" w:fill="F2F2F2" w:themeFill="background1" w:themeFillShade="F2"/>
            <w:noWrap/>
          </w:tcPr>
          <w:p w14:paraId="3DD98024" w14:textId="77777777" w:rsidR="00865A76" w:rsidRPr="00B514A7" w:rsidRDefault="00865A76" w:rsidP="00AB7EA2">
            <w:pPr>
              <w:spacing w:line="240" w:lineRule="auto"/>
              <w:rPr>
                <w:rFonts w:eastAsia="Times New Roman" w:cstheme="minorHAnsi"/>
                <w:color w:val="000000"/>
                <w:sz w:val="20"/>
                <w:szCs w:val="20"/>
                <w:lang w:eastAsia="en-GB"/>
              </w:rPr>
            </w:pPr>
            <w:proofErr w:type="spellStart"/>
            <w:r w:rsidRPr="00AB7EA2">
              <w:rPr>
                <w:rFonts w:eastAsia="Times New Roman" w:cstheme="minorHAnsi"/>
                <w:color w:val="000000"/>
                <w:sz w:val="20"/>
                <w:szCs w:val="20"/>
                <w:lang w:eastAsia="en-GB"/>
              </w:rPr>
              <w:t>Nikolaidou</w:t>
            </w:r>
            <w:proofErr w:type="spellEnd"/>
            <w:r w:rsidRPr="00AB7EA2">
              <w:rPr>
                <w:rFonts w:eastAsia="Times New Roman" w:cstheme="minorHAnsi"/>
                <w:color w:val="000000"/>
                <w:sz w:val="20"/>
                <w:szCs w:val="20"/>
                <w:lang w:eastAsia="en-GB"/>
              </w:rPr>
              <w:t xml:space="preserve"> et al., J </w:t>
            </w:r>
            <w:proofErr w:type="spellStart"/>
            <w:r w:rsidRPr="00AB7EA2">
              <w:rPr>
                <w:rFonts w:eastAsia="Times New Roman" w:cstheme="minorHAnsi"/>
                <w:color w:val="000000"/>
                <w:sz w:val="20"/>
                <w:szCs w:val="20"/>
                <w:lang w:eastAsia="en-GB"/>
              </w:rPr>
              <w:t>Behav</w:t>
            </w:r>
            <w:proofErr w:type="spellEnd"/>
            <w:r w:rsidRPr="00AB7EA2">
              <w:rPr>
                <w:rFonts w:eastAsia="Times New Roman" w:cstheme="minorHAnsi"/>
                <w:color w:val="000000"/>
                <w:sz w:val="20"/>
                <w:szCs w:val="20"/>
                <w:lang w:eastAsia="en-GB"/>
              </w:rPr>
              <w:t xml:space="preserve"> Add 2016</w:t>
            </w:r>
          </w:p>
        </w:tc>
        <w:tc>
          <w:tcPr>
            <w:tcW w:w="825" w:type="dxa"/>
            <w:noWrap/>
          </w:tcPr>
          <w:p w14:paraId="5C15B328"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Youth</w:t>
            </w:r>
          </w:p>
        </w:tc>
        <w:tc>
          <w:tcPr>
            <w:tcW w:w="1059" w:type="dxa"/>
            <w:noWrap/>
          </w:tcPr>
          <w:p w14:paraId="4786DA5A"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Mixed</w:t>
            </w:r>
          </w:p>
        </w:tc>
        <w:tc>
          <w:tcPr>
            <w:tcW w:w="850" w:type="dxa"/>
            <w:noWrap/>
          </w:tcPr>
          <w:p w14:paraId="1B7379DA"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UK</w:t>
            </w:r>
          </w:p>
        </w:tc>
        <w:tc>
          <w:tcPr>
            <w:tcW w:w="992" w:type="dxa"/>
            <w:noWrap/>
          </w:tcPr>
          <w:p w14:paraId="38165ACA"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PIUQ(18 items)</w:t>
            </w:r>
          </w:p>
        </w:tc>
        <w:tc>
          <w:tcPr>
            <w:tcW w:w="1134" w:type="dxa"/>
            <w:noWrap/>
          </w:tcPr>
          <w:p w14:paraId="4CA5D2DF"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PIUQ score ≥ 53</w:t>
            </w:r>
          </w:p>
        </w:tc>
        <w:tc>
          <w:tcPr>
            <w:tcW w:w="1417" w:type="dxa"/>
            <w:noWrap/>
          </w:tcPr>
          <w:p w14:paraId="10978689" w14:textId="77777777" w:rsidR="00865A76" w:rsidRPr="00B514A7" w:rsidRDefault="00865A76" w:rsidP="00AB7EA2">
            <w:pPr>
              <w:spacing w:line="240" w:lineRule="auto"/>
              <w:rPr>
                <w:rFonts w:eastAsia="Times New Roman" w:cstheme="minorHAnsi"/>
                <w:color w:val="000000"/>
                <w:sz w:val="20"/>
                <w:szCs w:val="20"/>
                <w:lang w:eastAsia="en-GB"/>
              </w:rPr>
            </w:pPr>
            <w:r w:rsidRPr="00AB7EA2">
              <w:rPr>
                <w:rFonts w:eastAsia="Times New Roman" w:cstheme="minorHAnsi"/>
                <w:color w:val="000000"/>
                <w:sz w:val="20"/>
                <w:szCs w:val="20"/>
                <w:lang w:eastAsia="en-GB"/>
              </w:rPr>
              <w:t>Mixed sample (including a % of axis-I comorbidities)</w:t>
            </w:r>
          </w:p>
        </w:tc>
        <w:tc>
          <w:tcPr>
            <w:tcW w:w="1418" w:type="dxa"/>
            <w:noWrap/>
          </w:tcPr>
          <w:p w14:paraId="20110139"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IGT</w:t>
            </w:r>
          </w:p>
        </w:tc>
        <w:tc>
          <w:tcPr>
            <w:tcW w:w="1021" w:type="dxa"/>
          </w:tcPr>
          <w:p w14:paraId="4768BE2D" w14:textId="77777777" w:rsidR="00865A76"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5A184193" w14:textId="77777777" w:rsidTr="00865A76">
        <w:trPr>
          <w:trHeight w:val="300"/>
        </w:trPr>
        <w:tc>
          <w:tcPr>
            <w:tcW w:w="440" w:type="dxa"/>
            <w:shd w:val="clear" w:color="auto" w:fill="F2F2F2" w:themeFill="background1" w:themeFillShade="F2"/>
            <w:noWrap/>
          </w:tcPr>
          <w:p w14:paraId="7F0C42B6"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28</w:t>
            </w:r>
          </w:p>
        </w:tc>
        <w:tc>
          <w:tcPr>
            <w:tcW w:w="1896" w:type="dxa"/>
            <w:shd w:val="clear" w:color="auto" w:fill="F2F2F2" w:themeFill="background1" w:themeFillShade="F2"/>
            <w:noWrap/>
            <w:hideMark/>
          </w:tcPr>
          <w:p w14:paraId="14684A37" w14:textId="77777777" w:rsidR="00865A76" w:rsidRPr="00B514A7" w:rsidRDefault="00865A76" w:rsidP="00AB7EA2">
            <w:pPr>
              <w:spacing w:line="240" w:lineRule="auto"/>
              <w:rPr>
                <w:rFonts w:eastAsia="Times New Roman" w:cstheme="minorHAnsi"/>
                <w:color w:val="000000"/>
                <w:sz w:val="20"/>
                <w:szCs w:val="20"/>
                <w:lang w:eastAsia="en-GB"/>
              </w:rPr>
            </w:pPr>
            <w:proofErr w:type="spellStart"/>
            <w:r w:rsidRPr="00B514A7">
              <w:rPr>
                <w:rFonts w:eastAsia="Times New Roman" w:cstheme="minorHAnsi"/>
                <w:color w:val="000000"/>
                <w:sz w:val="20"/>
                <w:szCs w:val="20"/>
                <w:lang w:eastAsia="en-GB"/>
              </w:rPr>
              <w:t>Pawlikowski</w:t>
            </w:r>
            <w:proofErr w:type="spellEnd"/>
            <w:r w:rsidRPr="00B514A7">
              <w:rPr>
                <w:rFonts w:eastAsia="Times New Roman" w:cstheme="minorHAnsi"/>
                <w:color w:val="000000"/>
                <w:sz w:val="20"/>
                <w:szCs w:val="20"/>
                <w:lang w:eastAsia="en-GB"/>
              </w:rPr>
              <w:t xml:space="preserve"> &amp; Brand, Psych Res, 2011</w:t>
            </w:r>
          </w:p>
        </w:tc>
        <w:tc>
          <w:tcPr>
            <w:tcW w:w="825" w:type="dxa"/>
            <w:noWrap/>
            <w:hideMark/>
          </w:tcPr>
          <w:p w14:paraId="7FF3CA76"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6AB10B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2BAC520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Germany</w:t>
            </w:r>
          </w:p>
        </w:tc>
        <w:tc>
          <w:tcPr>
            <w:tcW w:w="992" w:type="dxa"/>
            <w:noWrap/>
            <w:hideMark/>
          </w:tcPr>
          <w:p w14:paraId="0CD2EC4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IAT + </w:t>
            </w:r>
            <w:proofErr w:type="spellStart"/>
            <w:r w:rsidRPr="00B514A7">
              <w:rPr>
                <w:rFonts w:eastAsia="Times New Roman" w:cstheme="minorHAnsi"/>
                <w:color w:val="000000"/>
                <w:sz w:val="20"/>
                <w:szCs w:val="20"/>
                <w:lang w:eastAsia="en-GB"/>
              </w:rPr>
              <w:t>IATwow</w:t>
            </w:r>
            <w:proofErr w:type="spellEnd"/>
            <w:r w:rsidRPr="00B514A7">
              <w:rPr>
                <w:rFonts w:eastAsia="Times New Roman" w:cstheme="minorHAnsi"/>
                <w:color w:val="000000"/>
                <w:sz w:val="20"/>
                <w:szCs w:val="20"/>
                <w:lang w:eastAsia="en-GB"/>
              </w:rPr>
              <w:t xml:space="preserve"> (20 items) </w:t>
            </w:r>
          </w:p>
        </w:tc>
        <w:tc>
          <w:tcPr>
            <w:tcW w:w="1134" w:type="dxa"/>
            <w:noWrap/>
            <w:hideMark/>
          </w:tcPr>
          <w:p w14:paraId="12BFE3B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PIU ≥ 50 </w:t>
            </w:r>
          </w:p>
        </w:tc>
        <w:tc>
          <w:tcPr>
            <w:tcW w:w="1417" w:type="dxa"/>
            <w:noWrap/>
            <w:hideMark/>
          </w:tcPr>
          <w:p w14:paraId="668FE7F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39C25AE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Decision-making</w:t>
            </w:r>
          </w:p>
        </w:tc>
        <w:tc>
          <w:tcPr>
            <w:tcW w:w="1021" w:type="dxa"/>
          </w:tcPr>
          <w:p w14:paraId="7025180B"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392AE9EA" w14:textId="77777777" w:rsidTr="00865A76">
        <w:trPr>
          <w:trHeight w:val="300"/>
        </w:trPr>
        <w:tc>
          <w:tcPr>
            <w:tcW w:w="440" w:type="dxa"/>
            <w:shd w:val="clear" w:color="auto" w:fill="F2F2F2" w:themeFill="background1" w:themeFillShade="F2"/>
            <w:noWrap/>
          </w:tcPr>
          <w:p w14:paraId="6F988DAD"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29</w:t>
            </w:r>
          </w:p>
        </w:tc>
        <w:tc>
          <w:tcPr>
            <w:tcW w:w="1896" w:type="dxa"/>
            <w:shd w:val="clear" w:color="auto" w:fill="F2F2F2" w:themeFill="background1" w:themeFillShade="F2"/>
            <w:noWrap/>
            <w:hideMark/>
          </w:tcPr>
          <w:p w14:paraId="4A80078E"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Qi et al., Front in </w:t>
            </w:r>
            <w:proofErr w:type="spellStart"/>
            <w:r w:rsidRPr="00B514A7">
              <w:rPr>
                <w:rFonts w:eastAsia="Times New Roman" w:cstheme="minorHAnsi"/>
                <w:color w:val="000000"/>
                <w:sz w:val="20"/>
                <w:szCs w:val="20"/>
                <w:lang w:eastAsia="en-GB"/>
              </w:rPr>
              <w:t>Behav</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w:t>
            </w:r>
            <w:proofErr w:type="spellEnd"/>
            <w:r w:rsidRPr="00B514A7">
              <w:rPr>
                <w:rFonts w:eastAsia="Times New Roman" w:cstheme="minorHAnsi"/>
                <w:color w:val="000000"/>
                <w:sz w:val="20"/>
                <w:szCs w:val="20"/>
                <w:lang w:eastAsia="en-GB"/>
              </w:rPr>
              <w:t>, 2015</w:t>
            </w:r>
          </w:p>
        </w:tc>
        <w:tc>
          <w:tcPr>
            <w:tcW w:w="825" w:type="dxa"/>
            <w:noWrap/>
            <w:hideMark/>
          </w:tcPr>
          <w:p w14:paraId="2CAEA70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34AAC9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22CB9F5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78AC332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YDQ (8 items) + IAT </w:t>
            </w:r>
          </w:p>
        </w:tc>
        <w:tc>
          <w:tcPr>
            <w:tcW w:w="1134" w:type="dxa"/>
            <w:noWrap/>
            <w:hideMark/>
          </w:tcPr>
          <w:p w14:paraId="01325C1F"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5 items + ≥ 50</w:t>
            </w:r>
          </w:p>
        </w:tc>
        <w:tc>
          <w:tcPr>
            <w:tcW w:w="1417" w:type="dxa"/>
            <w:noWrap/>
            <w:hideMark/>
          </w:tcPr>
          <w:p w14:paraId="0404D0B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47C843A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BART</w:t>
            </w:r>
          </w:p>
        </w:tc>
        <w:tc>
          <w:tcPr>
            <w:tcW w:w="1021" w:type="dxa"/>
          </w:tcPr>
          <w:p w14:paraId="68D7C845"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4A48935B" w14:textId="77777777" w:rsidTr="00865A76">
        <w:trPr>
          <w:trHeight w:val="300"/>
        </w:trPr>
        <w:tc>
          <w:tcPr>
            <w:tcW w:w="440" w:type="dxa"/>
            <w:shd w:val="clear" w:color="auto" w:fill="F2F2F2" w:themeFill="background1" w:themeFillShade="F2"/>
            <w:noWrap/>
          </w:tcPr>
          <w:p w14:paraId="3E5C9099"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30</w:t>
            </w:r>
          </w:p>
        </w:tc>
        <w:tc>
          <w:tcPr>
            <w:tcW w:w="1896" w:type="dxa"/>
            <w:shd w:val="clear" w:color="auto" w:fill="F2F2F2" w:themeFill="background1" w:themeFillShade="F2"/>
            <w:noWrap/>
            <w:hideMark/>
          </w:tcPr>
          <w:p w14:paraId="0024083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Sun et al., CNS </w:t>
            </w:r>
            <w:proofErr w:type="spellStart"/>
            <w:r w:rsidRPr="00B514A7">
              <w:rPr>
                <w:rFonts w:eastAsia="Times New Roman" w:cstheme="minorHAnsi"/>
                <w:color w:val="000000"/>
                <w:sz w:val="20"/>
                <w:szCs w:val="20"/>
                <w:lang w:eastAsia="en-GB"/>
              </w:rPr>
              <w:t>Spectr</w:t>
            </w:r>
            <w:proofErr w:type="spellEnd"/>
            <w:r w:rsidRPr="00B514A7">
              <w:rPr>
                <w:rFonts w:eastAsia="Times New Roman" w:cstheme="minorHAnsi"/>
                <w:color w:val="000000"/>
                <w:sz w:val="20"/>
                <w:szCs w:val="20"/>
                <w:lang w:eastAsia="en-GB"/>
              </w:rPr>
              <w:t>, 2009</w:t>
            </w:r>
          </w:p>
        </w:tc>
        <w:tc>
          <w:tcPr>
            <w:tcW w:w="825" w:type="dxa"/>
            <w:hideMark/>
          </w:tcPr>
          <w:p w14:paraId="015BD62A"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hideMark/>
          </w:tcPr>
          <w:p w14:paraId="3B33B4DE"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49AE85E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475482A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(8 items)</w:t>
            </w:r>
          </w:p>
        </w:tc>
        <w:tc>
          <w:tcPr>
            <w:tcW w:w="1134" w:type="dxa"/>
            <w:noWrap/>
            <w:hideMark/>
          </w:tcPr>
          <w:p w14:paraId="10252B4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5 items</w:t>
            </w:r>
          </w:p>
        </w:tc>
        <w:tc>
          <w:tcPr>
            <w:tcW w:w="1417" w:type="dxa"/>
            <w:noWrap/>
            <w:hideMark/>
          </w:tcPr>
          <w:p w14:paraId="7CFAA1E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3622FE7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IGT, GNG</w:t>
            </w:r>
          </w:p>
        </w:tc>
        <w:tc>
          <w:tcPr>
            <w:tcW w:w="1021" w:type="dxa"/>
          </w:tcPr>
          <w:p w14:paraId="77887DA1" w14:textId="77777777" w:rsidR="00865A76" w:rsidRPr="00B514A7" w:rsidRDefault="00865A76" w:rsidP="00AB7EA2">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6F5BB3DB" w14:textId="77777777" w:rsidTr="00865A76">
        <w:trPr>
          <w:trHeight w:val="300"/>
        </w:trPr>
        <w:tc>
          <w:tcPr>
            <w:tcW w:w="440" w:type="dxa"/>
            <w:shd w:val="clear" w:color="auto" w:fill="F2F2F2" w:themeFill="background1" w:themeFillShade="F2"/>
            <w:noWrap/>
          </w:tcPr>
          <w:p w14:paraId="5D49EC4A"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31</w:t>
            </w:r>
          </w:p>
        </w:tc>
        <w:tc>
          <w:tcPr>
            <w:tcW w:w="1896" w:type="dxa"/>
            <w:shd w:val="clear" w:color="auto" w:fill="F2F2F2" w:themeFill="background1" w:themeFillShade="F2"/>
            <w:noWrap/>
            <w:hideMark/>
          </w:tcPr>
          <w:p w14:paraId="77FAB1B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Wang et al., </w:t>
            </w:r>
            <w:proofErr w:type="spellStart"/>
            <w:r w:rsidRPr="00B514A7">
              <w:rPr>
                <w:rFonts w:eastAsia="Times New Roman" w:cstheme="minorHAnsi"/>
                <w:color w:val="000000"/>
                <w:sz w:val="20"/>
                <w:szCs w:val="20"/>
                <w:lang w:eastAsia="en-GB"/>
              </w:rPr>
              <w:t>Eur</w:t>
            </w:r>
            <w:proofErr w:type="spellEnd"/>
            <w:r w:rsidRPr="00B514A7">
              <w:rPr>
                <w:rFonts w:eastAsia="Times New Roman" w:cstheme="minorHAnsi"/>
                <w:color w:val="000000"/>
                <w:sz w:val="20"/>
                <w:szCs w:val="20"/>
                <w:lang w:eastAsia="en-GB"/>
              </w:rPr>
              <w:t xml:space="preserve"> Arch Psychiatry </w:t>
            </w:r>
            <w:proofErr w:type="spellStart"/>
            <w:r w:rsidRPr="00B514A7">
              <w:rPr>
                <w:rFonts w:eastAsia="Times New Roman" w:cstheme="minorHAnsi"/>
                <w:color w:val="000000"/>
                <w:sz w:val="20"/>
                <w:szCs w:val="20"/>
                <w:lang w:eastAsia="en-GB"/>
              </w:rPr>
              <w:t>Clin</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Neurosci</w:t>
            </w:r>
            <w:proofErr w:type="spellEnd"/>
            <w:r w:rsidRPr="00B514A7">
              <w:rPr>
                <w:rFonts w:eastAsia="Times New Roman" w:cstheme="minorHAnsi"/>
                <w:color w:val="000000"/>
                <w:sz w:val="20"/>
                <w:szCs w:val="20"/>
                <w:lang w:eastAsia="en-GB"/>
              </w:rPr>
              <w:t>, 2017</w:t>
            </w:r>
          </w:p>
        </w:tc>
        <w:tc>
          <w:tcPr>
            <w:tcW w:w="825" w:type="dxa"/>
            <w:noWrap/>
            <w:hideMark/>
          </w:tcPr>
          <w:p w14:paraId="67819E36"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729F75E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6A7A00A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6578885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5C138B3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PIU ≥ 50 </w:t>
            </w:r>
          </w:p>
        </w:tc>
        <w:tc>
          <w:tcPr>
            <w:tcW w:w="1417" w:type="dxa"/>
            <w:noWrap/>
            <w:hideMark/>
          </w:tcPr>
          <w:p w14:paraId="74D0580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77CDF45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Discounting</w:t>
            </w:r>
          </w:p>
        </w:tc>
        <w:tc>
          <w:tcPr>
            <w:tcW w:w="1021" w:type="dxa"/>
          </w:tcPr>
          <w:p w14:paraId="33236162"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14FDE80B" w14:textId="77777777" w:rsidTr="00865A76">
        <w:trPr>
          <w:trHeight w:val="300"/>
        </w:trPr>
        <w:tc>
          <w:tcPr>
            <w:tcW w:w="440" w:type="dxa"/>
            <w:shd w:val="clear" w:color="auto" w:fill="F2F2F2" w:themeFill="background1" w:themeFillShade="F2"/>
            <w:noWrap/>
          </w:tcPr>
          <w:p w14:paraId="2C0FCECC"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32</w:t>
            </w:r>
          </w:p>
        </w:tc>
        <w:tc>
          <w:tcPr>
            <w:tcW w:w="1896" w:type="dxa"/>
            <w:shd w:val="clear" w:color="auto" w:fill="F2F2F2" w:themeFill="background1" w:themeFillShade="F2"/>
            <w:noWrap/>
            <w:hideMark/>
          </w:tcPr>
          <w:p w14:paraId="757D33D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Wang et al., European Psych, 2016</w:t>
            </w:r>
          </w:p>
        </w:tc>
        <w:tc>
          <w:tcPr>
            <w:tcW w:w="825" w:type="dxa"/>
            <w:noWrap/>
            <w:hideMark/>
          </w:tcPr>
          <w:p w14:paraId="5F3B7143"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0674F86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506936F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6F6E957E"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0069F4F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&gt;50</w:t>
            </w:r>
          </w:p>
        </w:tc>
        <w:tc>
          <w:tcPr>
            <w:tcW w:w="1417" w:type="dxa"/>
            <w:noWrap/>
            <w:hideMark/>
          </w:tcPr>
          <w:p w14:paraId="7BE77AA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7A5A1B9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Discounting</w:t>
            </w:r>
          </w:p>
        </w:tc>
        <w:tc>
          <w:tcPr>
            <w:tcW w:w="1021" w:type="dxa"/>
          </w:tcPr>
          <w:p w14:paraId="6DE212F3"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397FFB60" w14:textId="77777777" w:rsidTr="00865A76">
        <w:trPr>
          <w:trHeight w:val="300"/>
        </w:trPr>
        <w:tc>
          <w:tcPr>
            <w:tcW w:w="440" w:type="dxa"/>
            <w:shd w:val="clear" w:color="auto" w:fill="F2F2F2" w:themeFill="background1" w:themeFillShade="F2"/>
            <w:noWrap/>
          </w:tcPr>
          <w:p w14:paraId="6BBBB9E5"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33</w:t>
            </w:r>
          </w:p>
        </w:tc>
        <w:tc>
          <w:tcPr>
            <w:tcW w:w="1896" w:type="dxa"/>
            <w:shd w:val="clear" w:color="auto" w:fill="F2F2F2" w:themeFill="background1" w:themeFillShade="F2"/>
            <w:noWrap/>
            <w:hideMark/>
          </w:tcPr>
          <w:p w14:paraId="1BD7867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Wang et al., Front in </w:t>
            </w:r>
            <w:proofErr w:type="spellStart"/>
            <w:r w:rsidRPr="00B514A7">
              <w:rPr>
                <w:rFonts w:eastAsia="Times New Roman" w:cstheme="minorHAnsi"/>
                <w:color w:val="000000"/>
                <w:sz w:val="20"/>
                <w:szCs w:val="20"/>
                <w:lang w:eastAsia="en-GB"/>
              </w:rPr>
              <w:t>Behav</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w:t>
            </w:r>
            <w:proofErr w:type="spellEnd"/>
            <w:r w:rsidRPr="00B514A7">
              <w:rPr>
                <w:rFonts w:eastAsia="Times New Roman" w:cstheme="minorHAnsi"/>
                <w:color w:val="000000"/>
                <w:sz w:val="20"/>
                <w:szCs w:val="20"/>
                <w:lang w:eastAsia="en-GB"/>
              </w:rPr>
              <w:t>, 2015</w:t>
            </w:r>
          </w:p>
        </w:tc>
        <w:tc>
          <w:tcPr>
            <w:tcW w:w="825" w:type="dxa"/>
            <w:noWrap/>
            <w:hideMark/>
          </w:tcPr>
          <w:p w14:paraId="364E823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7CE70D1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46ED13C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101C819A"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modified YDQ (8 items)</w:t>
            </w:r>
          </w:p>
        </w:tc>
        <w:tc>
          <w:tcPr>
            <w:tcW w:w="1134" w:type="dxa"/>
            <w:noWrap/>
            <w:hideMark/>
          </w:tcPr>
          <w:p w14:paraId="30A4AF4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 items</w:t>
            </w:r>
          </w:p>
        </w:tc>
        <w:tc>
          <w:tcPr>
            <w:tcW w:w="1417" w:type="dxa"/>
            <w:noWrap/>
            <w:hideMark/>
          </w:tcPr>
          <w:p w14:paraId="38E5622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52F35BD1"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5D163F1C"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73108986" w14:textId="77777777" w:rsidTr="00865A76">
        <w:trPr>
          <w:trHeight w:val="300"/>
        </w:trPr>
        <w:tc>
          <w:tcPr>
            <w:tcW w:w="440" w:type="dxa"/>
            <w:shd w:val="clear" w:color="auto" w:fill="F2F2F2" w:themeFill="background1" w:themeFillShade="F2"/>
            <w:noWrap/>
          </w:tcPr>
          <w:p w14:paraId="7DDB626B"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34</w:t>
            </w:r>
          </w:p>
        </w:tc>
        <w:tc>
          <w:tcPr>
            <w:tcW w:w="1896" w:type="dxa"/>
            <w:shd w:val="clear" w:color="auto" w:fill="F2F2F2" w:themeFill="background1" w:themeFillShade="F2"/>
            <w:noWrap/>
            <w:hideMark/>
          </w:tcPr>
          <w:p w14:paraId="645BAD3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Xing et al., Brain Res, 2014</w:t>
            </w:r>
          </w:p>
        </w:tc>
        <w:tc>
          <w:tcPr>
            <w:tcW w:w="825" w:type="dxa"/>
            <w:noWrap/>
            <w:hideMark/>
          </w:tcPr>
          <w:p w14:paraId="2C0FF04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7A8134C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49D2622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270B498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IAT (20 items)</w:t>
            </w:r>
          </w:p>
        </w:tc>
        <w:tc>
          <w:tcPr>
            <w:tcW w:w="1134" w:type="dxa"/>
            <w:noWrap/>
            <w:hideMark/>
          </w:tcPr>
          <w:p w14:paraId="770FB89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&gt;50</w:t>
            </w:r>
          </w:p>
        </w:tc>
        <w:tc>
          <w:tcPr>
            <w:tcW w:w="1417" w:type="dxa"/>
            <w:noWrap/>
            <w:hideMark/>
          </w:tcPr>
          <w:p w14:paraId="3128A9A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00016C2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519F9B2A"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3AD2827F" w14:textId="77777777" w:rsidTr="00865A76">
        <w:trPr>
          <w:trHeight w:val="300"/>
        </w:trPr>
        <w:tc>
          <w:tcPr>
            <w:tcW w:w="440" w:type="dxa"/>
            <w:shd w:val="clear" w:color="auto" w:fill="F2F2F2" w:themeFill="background1" w:themeFillShade="F2"/>
            <w:noWrap/>
          </w:tcPr>
          <w:p w14:paraId="5C78DDA1"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35</w:t>
            </w:r>
          </w:p>
        </w:tc>
        <w:tc>
          <w:tcPr>
            <w:tcW w:w="1896" w:type="dxa"/>
            <w:shd w:val="clear" w:color="auto" w:fill="F2F2F2" w:themeFill="background1" w:themeFillShade="F2"/>
            <w:noWrap/>
            <w:hideMark/>
          </w:tcPr>
          <w:p w14:paraId="23DB3E6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Yao et al., Psych Res, 2015</w:t>
            </w:r>
          </w:p>
        </w:tc>
        <w:tc>
          <w:tcPr>
            <w:tcW w:w="825" w:type="dxa"/>
            <w:noWrap/>
            <w:hideMark/>
          </w:tcPr>
          <w:p w14:paraId="2CF507B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4F36210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Male only</w:t>
            </w:r>
          </w:p>
        </w:tc>
        <w:tc>
          <w:tcPr>
            <w:tcW w:w="850" w:type="dxa"/>
            <w:noWrap/>
            <w:hideMark/>
          </w:tcPr>
          <w:p w14:paraId="6A9E7ED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5D758BE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CIAS 26 items</w:t>
            </w:r>
          </w:p>
        </w:tc>
        <w:tc>
          <w:tcPr>
            <w:tcW w:w="1134" w:type="dxa"/>
            <w:noWrap/>
            <w:hideMark/>
          </w:tcPr>
          <w:p w14:paraId="0185B9F3"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67 CIAS score</w:t>
            </w:r>
          </w:p>
        </w:tc>
        <w:tc>
          <w:tcPr>
            <w:tcW w:w="1417" w:type="dxa"/>
            <w:noWrap/>
            <w:hideMark/>
          </w:tcPr>
          <w:p w14:paraId="023B514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38A90A6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 GNG</w:t>
            </w:r>
          </w:p>
        </w:tc>
        <w:tc>
          <w:tcPr>
            <w:tcW w:w="1021" w:type="dxa"/>
          </w:tcPr>
          <w:p w14:paraId="47FFC918"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0917A86B" w14:textId="77777777" w:rsidTr="00865A76">
        <w:trPr>
          <w:trHeight w:val="300"/>
        </w:trPr>
        <w:tc>
          <w:tcPr>
            <w:tcW w:w="440" w:type="dxa"/>
            <w:shd w:val="clear" w:color="auto" w:fill="F2F2F2" w:themeFill="background1" w:themeFillShade="F2"/>
            <w:noWrap/>
          </w:tcPr>
          <w:p w14:paraId="38E527BE"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36</w:t>
            </w:r>
          </w:p>
        </w:tc>
        <w:tc>
          <w:tcPr>
            <w:tcW w:w="1896" w:type="dxa"/>
            <w:shd w:val="clear" w:color="auto" w:fill="F2F2F2" w:themeFill="background1" w:themeFillShade="F2"/>
            <w:noWrap/>
            <w:hideMark/>
          </w:tcPr>
          <w:p w14:paraId="4A32633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Yuan et al., Addiction </w:t>
            </w:r>
            <w:proofErr w:type="spellStart"/>
            <w:r w:rsidRPr="00B514A7">
              <w:rPr>
                <w:rFonts w:eastAsia="Times New Roman" w:cstheme="minorHAnsi"/>
                <w:color w:val="000000"/>
                <w:sz w:val="20"/>
                <w:szCs w:val="20"/>
                <w:lang w:eastAsia="en-GB"/>
              </w:rPr>
              <w:t>Biol</w:t>
            </w:r>
            <w:proofErr w:type="spellEnd"/>
            <w:r w:rsidRPr="00B514A7">
              <w:rPr>
                <w:rFonts w:eastAsia="Times New Roman" w:cstheme="minorHAnsi"/>
                <w:color w:val="000000"/>
                <w:sz w:val="20"/>
                <w:szCs w:val="20"/>
                <w:lang w:eastAsia="en-GB"/>
              </w:rPr>
              <w:t>, 2016</w:t>
            </w:r>
          </w:p>
        </w:tc>
        <w:tc>
          <w:tcPr>
            <w:tcW w:w="825" w:type="dxa"/>
            <w:noWrap/>
            <w:hideMark/>
          </w:tcPr>
          <w:p w14:paraId="0A14070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3D5D4751"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3E85D0B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2EA57BC3"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DSM-5</w:t>
            </w:r>
          </w:p>
        </w:tc>
        <w:tc>
          <w:tcPr>
            <w:tcW w:w="1134" w:type="dxa"/>
            <w:noWrap/>
            <w:hideMark/>
          </w:tcPr>
          <w:p w14:paraId="1D89BBE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5 criteria</w:t>
            </w:r>
          </w:p>
        </w:tc>
        <w:tc>
          <w:tcPr>
            <w:tcW w:w="1417" w:type="dxa"/>
            <w:noWrap/>
            <w:hideMark/>
          </w:tcPr>
          <w:p w14:paraId="47FAABD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769F3AE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55A3D462"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2510B792" w14:textId="77777777" w:rsidTr="00865A76">
        <w:trPr>
          <w:trHeight w:val="300"/>
        </w:trPr>
        <w:tc>
          <w:tcPr>
            <w:tcW w:w="440" w:type="dxa"/>
            <w:shd w:val="clear" w:color="auto" w:fill="F2F2F2" w:themeFill="background1" w:themeFillShade="F2"/>
            <w:noWrap/>
          </w:tcPr>
          <w:p w14:paraId="6BA4CB2A"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lastRenderedPageBreak/>
              <w:t>37</w:t>
            </w:r>
          </w:p>
        </w:tc>
        <w:tc>
          <w:tcPr>
            <w:tcW w:w="1896" w:type="dxa"/>
            <w:shd w:val="clear" w:color="auto" w:fill="F2F2F2" w:themeFill="background1" w:themeFillShade="F2"/>
            <w:noWrap/>
            <w:hideMark/>
          </w:tcPr>
          <w:p w14:paraId="2C12F03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Yuan et al., Brain </w:t>
            </w:r>
            <w:proofErr w:type="spellStart"/>
            <w:r w:rsidRPr="00B514A7">
              <w:rPr>
                <w:rFonts w:eastAsia="Times New Roman" w:cstheme="minorHAnsi"/>
                <w:color w:val="000000"/>
                <w:sz w:val="20"/>
                <w:szCs w:val="20"/>
                <w:lang w:eastAsia="en-GB"/>
              </w:rPr>
              <w:t>Struct</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Funct</w:t>
            </w:r>
            <w:proofErr w:type="spellEnd"/>
            <w:r w:rsidRPr="00B514A7">
              <w:rPr>
                <w:rFonts w:eastAsia="Times New Roman" w:cstheme="minorHAnsi"/>
                <w:color w:val="000000"/>
                <w:sz w:val="20"/>
                <w:szCs w:val="20"/>
                <w:lang w:eastAsia="en-GB"/>
              </w:rPr>
              <w:t>, 2016</w:t>
            </w:r>
          </w:p>
        </w:tc>
        <w:tc>
          <w:tcPr>
            <w:tcW w:w="825" w:type="dxa"/>
            <w:noWrap/>
            <w:hideMark/>
          </w:tcPr>
          <w:p w14:paraId="6D970FE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Youth</w:t>
            </w:r>
          </w:p>
        </w:tc>
        <w:tc>
          <w:tcPr>
            <w:tcW w:w="1059" w:type="dxa"/>
            <w:noWrap/>
            <w:hideMark/>
          </w:tcPr>
          <w:p w14:paraId="5748FBA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25EB62D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523B3016"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modified YDQ (8 items)</w:t>
            </w:r>
          </w:p>
        </w:tc>
        <w:tc>
          <w:tcPr>
            <w:tcW w:w="1134" w:type="dxa"/>
            <w:noWrap/>
            <w:hideMark/>
          </w:tcPr>
          <w:p w14:paraId="43B0AA5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Not reported</w:t>
            </w:r>
          </w:p>
        </w:tc>
        <w:tc>
          <w:tcPr>
            <w:tcW w:w="1417" w:type="dxa"/>
            <w:noWrap/>
            <w:hideMark/>
          </w:tcPr>
          <w:p w14:paraId="6B847A9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5460C82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Stroop</w:t>
            </w:r>
          </w:p>
        </w:tc>
        <w:tc>
          <w:tcPr>
            <w:tcW w:w="1021" w:type="dxa"/>
          </w:tcPr>
          <w:p w14:paraId="1FEB6865" w14:textId="77777777" w:rsidR="00865A76" w:rsidRPr="00B514A7" w:rsidRDefault="00865A76" w:rsidP="00AB7EA2">
            <w:pPr>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IGD</w:t>
            </w:r>
          </w:p>
        </w:tc>
      </w:tr>
      <w:tr w:rsidR="00865A76" w:rsidRPr="00B514A7" w14:paraId="22099F1F" w14:textId="77777777" w:rsidTr="00865A76">
        <w:trPr>
          <w:trHeight w:val="300"/>
        </w:trPr>
        <w:tc>
          <w:tcPr>
            <w:tcW w:w="440" w:type="dxa"/>
            <w:shd w:val="clear" w:color="auto" w:fill="F2F2F2" w:themeFill="background1" w:themeFillShade="F2"/>
            <w:noWrap/>
          </w:tcPr>
          <w:p w14:paraId="0D5F1D74"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38</w:t>
            </w:r>
          </w:p>
        </w:tc>
        <w:tc>
          <w:tcPr>
            <w:tcW w:w="1896" w:type="dxa"/>
            <w:shd w:val="clear" w:color="auto" w:fill="F2F2F2" w:themeFill="background1" w:themeFillShade="F2"/>
            <w:noWrap/>
            <w:hideMark/>
          </w:tcPr>
          <w:p w14:paraId="14F9B493"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Zhou et al, Act </w:t>
            </w:r>
            <w:proofErr w:type="spellStart"/>
            <w:r w:rsidRPr="00B514A7">
              <w:rPr>
                <w:rFonts w:eastAsia="Times New Roman" w:cstheme="minorHAnsi"/>
                <w:color w:val="000000"/>
                <w:sz w:val="20"/>
                <w:szCs w:val="20"/>
                <w:lang w:eastAsia="en-GB"/>
              </w:rPr>
              <w:t>Neuropsychiatrica</w:t>
            </w:r>
            <w:proofErr w:type="spellEnd"/>
            <w:r w:rsidRPr="00B514A7">
              <w:rPr>
                <w:rFonts w:eastAsia="Times New Roman" w:cstheme="minorHAnsi"/>
                <w:color w:val="000000"/>
                <w:sz w:val="20"/>
                <w:szCs w:val="20"/>
                <w:lang w:eastAsia="en-GB"/>
              </w:rPr>
              <w:t>, 2010</w:t>
            </w:r>
          </w:p>
        </w:tc>
        <w:tc>
          <w:tcPr>
            <w:tcW w:w="825" w:type="dxa"/>
            <w:noWrap/>
            <w:hideMark/>
          </w:tcPr>
          <w:p w14:paraId="4A911F2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w:t>
            </w:r>
          </w:p>
        </w:tc>
        <w:tc>
          <w:tcPr>
            <w:tcW w:w="1059" w:type="dxa"/>
            <w:noWrap/>
            <w:hideMark/>
          </w:tcPr>
          <w:p w14:paraId="3C65EEE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2D8A901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37C6DECE"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modified YDQ (8 items)</w:t>
            </w:r>
          </w:p>
        </w:tc>
        <w:tc>
          <w:tcPr>
            <w:tcW w:w="1134" w:type="dxa"/>
            <w:noWrap/>
            <w:hideMark/>
          </w:tcPr>
          <w:p w14:paraId="635E68D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 items</w:t>
            </w:r>
          </w:p>
        </w:tc>
        <w:tc>
          <w:tcPr>
            <w:tcW w:w="1417" w:type="dxa"/>
            <w:noWrap/>
            <w:hideMark/>
          </w:tcPr>
          <w:p w14:paraId="37E9D2EF"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204DDCD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w:t>
            </w:r>
          </w:p>
        </w:tc>
        <w:tc>
          <w:tcPr>
            <w:tcW w:w="1021" w:type="dxa"/>
          </w:tcPr>
          <w:p w14:paraId="661DD88E" w14:textId="77777777" w:rsidR="00865A76" w:rsidRPr="00B514A7" w:rsidRDefault="00865A76" w:rsidP="00AB7EA2">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353B6B38" w14:textId="77777777" w:rsidTr="00865A76">
        <w:trPr>
          <w:trHeight w:val="300"/>
        </w:trPr>
        <w:tc>
          <w:tcPr>
            <w:tcW w:w="440" w:type="dxa"/>
            <w:shd w:val="clear" w:color="auto" w:fill="F2F2F2" w:themeFill="background1" w:themeFillShade="F2"/>
            <w:noWrap/>
          </w:tcPr>
          <w:p w14:paraId="662A3270" w14:textId="77777777" w:rsidR="00865A76" w:rsidRPr="00CB212E" w:rsidRDefault="00865A76" w:rsidP="00AB7EA2">
            <w:pPr>
              <w:spacing w:line="240" w:lineRule="auto"/>
              <w:rPr>
                <w:rFonts w:eastAsia="Times New Roman" w:cstheme="minorHAnsi"/>
                <w:b/>
                <w:color w:val="000000"/>
                <w:sz w:val="20"/>
                <w:szCs w:val="20"/>
                <w:lang w:eastAsia="en-GB"/>
              </w:rPr>
            </w:pPr>
            <w:r w:rsidRPr="00CB212E">
              <w:rPr>
                <w:rFonts w:eastAsia="Times New Roman" w:cstheme="minorHAnsi"/>
                <w:b/>
                <w:color w:val="000000"/>
                <w:sz w:val="20"/>
                <w:szCs w:val="20"/>
                <w:lang w:eastAsia="en-GB"/>
              </w:rPr>
              <w:t>39</w:t>
            </w:r>
          </w:p>
        </w:tc>
        <w:tc>
          <w:tcPr>
            <w:tcW w:w="1896" w:type="dxa"/>
            <w:shd w:val="clear" w:color="auto" w:fill="F2F2F2" w:themeFill="background1" w:themeFillShade="F2"/>
            <w:noWrap/>
            <w:hideMark/>
          </w:tcPr>
          <w:p w14:paraId="7BDDEC2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Zhou et al., </w:t>
            </w:r>
            <w:proofErr w:type="spellStart"/>
            <w:r w:rsidRPr="00B514A7">
              <w:rPr>
                <w:rFonts w:eastAsia="Times New Roman" w:cstheme="minorHAnsi"/>
                <w:color w:val="000000"/>
                <w:sz w:val="20"/>
                <w:szCs w:val="20"/>
                <w:lang w:eastAsia="en-GB"/>
              </w:rPr>
              <w:t>Acta</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Neuropsychiatrica</w:t>
            </w:r>
            <w:proofErr w:type="spellEnd"/>
            <w:r w:rsidRPr="00B514A7">
              <w:rPr>
                <w:rFonts w:eastAsia="Times New Roman" w:cstheme="minorHAnsi"/>
                <w:color w:val="000000"/>
                <w:sz w:val="20"/>
                <w:szCs w:val="20"/>
                <w:lang w:eastAsia="en-GB"/>
              </w:rPr>
              <w:t>, 2016</w:t>
            </w:r>
          </w:p>
        </w:tc>
        <w:tc>
          <w:tcPr>
            <w:tcW w:w="825" w:type="dxa"/>
            <w:noWrap/>
            <w:hideMark/>
          </w:tcPr>
          <w:p w14:paraId="0BB93225"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w:t>
            </w:r>
          </w:p>
        </w:tc>
        <w:tc>
          <w:tcPr>
            <w:tcW w:w="1059" w:type="dxa"/>
            <w:noWrap/>
            <w:hideMark/>
          </w:tcPr>
          <w:p w14:paraId="5AC55BBA"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605CE7CD"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67359FA0"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modified YDQ (8 items)</w:t>
            </w:r>
          </w:p>
        </w:tc>
        <w:tc>
          <w:tcPr>
            <w:tcW w:w="1134" w:type="dxa"/>
            <w:noWrap/>
            <w:hideMark/>
          </w:tcPr>
          <w:p w14:paraId="0F39BC82"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 items</w:t>
            </w:r>
          </w:p>
        </w:tc>
        <w:tc>
          <w:tcPr>
            <w:tcW w:w="1417" w:type="dxa"/>
            <w:noWrap/>
            <w:hideMark/>
          </w:tcPr>
          <w:p w14:paraId="3501729C"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1396AB08"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GNG, Working memory</w:t>
            </w:r>
          </w:p>
        </w:tc>
        <w:tc>
          <w:tcPr>
            <w:tcW w:w="1021" w:type="dxa"/>
          </w:tcPr>
          <w:p w14:paraId="162C1C03" w14:textId="77777777" w:rsidR="00865A76" w:rsidRPr="00B514A7" w:rsidRDefault="00865A76" w:rsidP="00AB7EA2">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r w:rsidR="00865A76" w:rsidRPr="00B514A7" w14:paraId="6A9736B0" w14:textId="77777777" w:rsidTr="00865A76">
        <w:trPr>
          <w:trHeight w:val="300"/>
        </w:trPr>
        <w:tc>
          <w:tcPr>
            <w:tcW w:w="440" w:type="dxa"/>
            <w:shd w:val="clear" w:color="auto" w:fill="F2F2F2" w:themeFill="background1" w:themeFillShade="F2"/>
            <w:noWrap/>
          </w:tcPr>
          <w:p w14:paraId="438D0BCD" w14:textId="77777777" w:rsidR="00865A76" w:rsidRPr="00CB212E" w:rsidRDefault="00865A76" w:rsidP="00AB7EA2">
            <w:pPr>
              <w:spacing w:line="240" w:lineRule="auto"/>
              <w:rPr>
                <w:rFonts w:eastAsia="Times New Roman" w:cstheme="minorHAnsi"/>
                <w:b/>
                <w:color w:val="000000"/>
                <w:sz w:val="20"/>
                <w:szCs w:val="20"/>
                <w:lang w:eastAsia="en-GB"/>
              </w:rPr>
            </w:pPr>
            <w:r>
              <w:rPr>
                <w:rFonts w:eastAsia="Times New Roman" w:cstheme="minorHAnsi"/>
                <w:b/>
                <w:color w:val="000000"/>
                <w:sz w:val="20"/>
                <w:szCs w:val="20"/>
                <w:lang w:eastAsia="en-GB"/>
              </w:rPr>
              <w:t>40</w:t>
            </w:r>
          </w:p>
        </w:tc>
        <w:tc>
          <w:tcPr>
            <w:tcW w:w="1896" w:type="dxa"/>
            <w:shd w:val="clear" w:color="auto" w:fill="F2F2F2" w:themeFill="background1" w:themeFillShade="F2"/>
            <w:noWrap/>
            <w:hideMark/>
          </w:tcPr>
          <w:p w14:paraId="150A83C1"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 xml:space="preserve">Zhou et el., Front </w:t>
            </w:r>
            <w:proofErr w:type="spellStart"/>
            <w:r w:rsidRPr="00B514A7">
              <w:rPr>
                <w:rFonts w:eastAsia="Times New Roman" w:cstheme="minorHAnsi"/>
                <w:color w:val="000000"/>
                <w:sz w:val="20"/>
                <w:szCs w:val="20"/>
                <w:lang w:eastAsia="en-GB"/>
              </w:rPr>
              <w:t>Behav</w:t>
            </w:r>
            <w:proofErr w:type="spellEnd"/>
            <w:r w:rsidRPr="00B514A7">
              <w:rPr>
                <w:rFonts w:eastAsia="Times New Roman" w:cstheme="minorHAnsi"/>
                <w:color w:val="000000"/>
                <w:sz w:val="20"/>
                <w:szCs w:val="20"/>
                <w:lang w:eastAsia="en-GB"/>
              </w:rPr>
              <w:t xml:space="preserve"> </w:t>
            </w:r>
            <w:proofErr w:type="spellStart"/>
            <w:r w:rsidRPr="00B514A7">
              <w:rPr>
                <w:rFonts w:eastAsia="Times New Roman" w:cstheme="minorHAnsi"/>
                <w:color w:val="000000"/>
                <w:sz w:val="20"/>
                <w:szCs w:val="20"/>
                <w:lang w:eastAsia="en-GB"/>
              </w:rPr>
              <w:t>Neurosc</w:t>
            </w:r>
            <w:proofErr w:type="spellEnd"/>
            <w:r w:rsidRPr="00B514A7">
              <w:rPr>
                <w:rFonts w:eastAsia="Times New Roman" w:cstheme="minorHAnsi"/>
                <w:color w:val="000000"/>
                <w:sz w:val="20"/>
                <w:szCs w:val="20"/>
                <w:lang w:eastAsia="en-GB"/>
              </w:rPr>
              <w:t xml:space="preserve"> 2014</w:t>
            </w:r>
          </w:p>
        </w:tc>
        <w:tc>
          <w:tcPr>
            <w:tcW w:w="825" w:type="dxa"/>
            <w:noWrap/>
            <w:hideMark/>
          </w:tcPr>
          <w:p w14:paraId="4F6D3324"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Adult</w:t>
            </w:r>
          </w:p>
        </w:tc>
        <w:tc>
          <w:tcPr>
            <w:tcW w:w="1059" w:type="dxa"/>
            <w:noWrap/>
            <w:hideMark/>
          </w:tcPr>
          <w:p w14:paraId="2B4FD67A"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Mixed</w:t>
            </w:r>
          </w:p>
        </w:tc>
        <w:tc>
          <w:tcPr>
            <w:tcW w:w="850" w:type="dxa"/>
            <w:noWrap/>
            <w:hideMark/>
          </w:tcPr>
          <w:p w14:paraId="30E3DD77"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China</w:t>
            </w:r>
          </w:p>
        </w:tc>
        <w:tc>
          <w:tcPr>
            <w:tcW w:w="992" w:type="dxa"/>
            <w:noWrap/>
            <w:hideMark/>
          </w:tcPr>
          <w:p w14:paraId="30B3DB39"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modified YDQ (8 items)</w:t>
            </w:r>
          </w:p>
        </w:tc>
        <w:tc>
          <w:tcPr>
            <w:tcW w:w="1134" w:type="dxa"/>
            <w:noWrap/>
            <w:hideMark/>
          </w:tcPr>
          <w:p w14:paraId="7EEDEDFF"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PIU ≥ 6 items</w:t>
            </w:r>
          </w:p>
        </w:tc>
        <w:tc>
          <w:tcPr>
            <w:tcW w:w="1417" w:type="dxa"/>
            <w:noWrap/>
            <w:hideMark/>
          </w:tcPr>
          <w:p w14:paraId="08D05D1B"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Healthy sample</w:t>
            </w:r>
          </w:p>
        </w:tc>
        <w:tc>
          <w:tcPr>
            <w:tcW w:w="1418" w:type="dxa"/>
            <w:noWrap/>
            <w:hideMark/>
          </w:tcPr>
          <w:p w14:paraId="3C9085E3" w14:textId="77777777" w:rsidR="00865A76" w:rsidRPr="00B514A7" w:rsidRDefault="00865A76" w:rsidP="00AB7EA2">
            <w:pPr>
              <w:spacing w:line="240" w:lineRule="auto"/>
              <w:rPr>
                <w:rFonts w:eastAsia="Times New Roman" w:cstheme="minorHAnsi"/>
                <w:color w:val="000000"/>
                <w:sz w:val="20"/>
                <w:szCs w:val="20"/>
                <w:lang w:eastAsia="en-GB"/>
              </w:rPr>
            </w:pPr>
            <w:r w:rsidRPr="00B514A7">
              <w:rPr>
                <w:rFonts w:eastAsia="Times New Roman" w:cstheme="minorHAnsi"/>
                <w:color w:val="000000"/>
                <w:sz w:val="20"/>
                <w:szCs w:val="20"/>
                <w:lang w:eastAsia="en-GB"/>
              </w:rPr>
              <w:t>WM, GNG</w:t>
            </w:r>
          </w:p>
        </w:tc>
        <w:tc>
          <w:tcPr>
            <w:tcW w:w="1021" w:type="dxa"/>
          </w:tcPr>
          <w:p w14:paraId="0F6D2E55" w14:textId="77777777" w:rsidR="00865A76" w:rsidRPr="00B514A7" w:rsidRDefault="00865A76" w:rsidP="00AB7EA2">
            <w:pPr>
              <w:spacing w:line="240" w:lineRule="auto"/>
              <w:rPr>
                <w:rFonts w:eastAsia="Times New Roman" w:cstheme="minorHAnsi"/>
                <w:color w:val="000000"/>
                <w:sz w:val="20"/>
                <w:szCs w:val="20"/>
                <w:lang w:eastAsia="en-GB"/>
              </w:rPr>
            </w:pPr>
            <w:r w:rsidRPr="00865A76">
              <w:rPr>
                <w:rFonts w:eastAsia="Times New Roman" w:cstheme="minorHAnsi"/>
                <w:color w:val="000000"/>
                <w:sz w:val="20"/>
                <w:szCs w:val="20"/>
                <w:lang w:eastAsia="en-GB"/>
              </w:rPr>
              <w:t>PIU</w:t>
            </w:r>
          </w:p>
        </w:tc>
      </w:tr>
    </w:tbl>
    <w:p w14:paraId="4619E68A" w14:textId="77777777" w:rsidR="00FE07DA" w:rsidRDefault="00FE07DA"/>
    <w:p w14:paraId="6AAE057C" w14:textId="035375E1" w:rsidR="00143CCA" w:rsidRDefault="00143CCA">
      <w:r w:rsidRPr="00143CCA">
        <w:rPr>
          <w:b/>
        </w:rPr>
        <w:t>Legend</w:t>
      </w:r>
      <w:r>
        <w:t xml:space="preserve">: Full list of studies are presented here in </w:t>
      </w:r>
      <w:r w:rsidRPr="006D6F15">
        <w:rPr>
          <w:b/>
        </w:rPr>
        <w:t>Table S</w:t>
      </w:r>
      <w:r w:rsidR="006D6F15">
        <w:rPr>
          <w:b/>
        </w:rPr>
        <w:t>1</w:t>
      </w:r>
      <w:r>
        <w:t xml:space="preserve"> </w:t>
      </w:r>
      <w:r>
        <w:fldChar w:fldCharType="begin" w:fldLock="1"/>
      </w:r>
      <w:r w:rsidR="00E67458">
        <w:instrText>ADDIN CSL_CITATION {"citationItems":[{"id":"ITEM-1","itemData":{"DOI":"10.1007/s11682-015-9358-8","ISBN":"1931-7557","ISSN":"19317565","PMID":"25720356","abstract":"Internet gaming disorder (IGD), identified in the fifth edition of the Diagnostic and Statistical Manual of Mental Disorders (DSM-V) Section III as a condition warranting more clinical research, may be associated with impaired cognitive control. Previous IGD-related studies had revealed structural abnormalities in the prefrontal cortex, an important part of prefrontal-striatal circuits, which play critical roles in cognitive control. However, little is known about the relationship between the striatal nuclei (caudate, putamen, and nucleus accumbens) volumes and cognitive control deficit in individuals with IGD. Twenty-seven adolescents with IGD and 30 age-, gender- and education-matched healthy controls participated in this study. The volume differences of the striatum were assessed by measuring subcortical volume in FreeSurfer. Meanwhile, the Stroop task was used to detect cognitive control deficits. Correlation analysis was used to investigate the relationship between striatal volumes and performance in the Stroop task as well as severity in IGD. Relative to controls, the IGD committed more incongruent condition response errors during the Stroop task and showed increased volumes of dorsal striatum (caudate) and ventral striatum (nucleus accumbens). In addition, caudate volume was correlated with Stroop task performance and nucleus accumbens (NAc) volume was associated with the internet addiction test (IAT) score in the IGD group. The increased volumes of the right caudate and NAc and their association with behavioral characteristics (i.e., cognitive control and severity) in IGD were detected in the present study. Our findings suggest that the striatum may be implicated in the underlying pathophysiology of IGD.","author":[{"dropping-particle":"","family":"Cai","given":"Chenxi","non-dropping-particle":"","parse-names":false,"suffix":""},{"dropping-particle":"","family":"Yuan","given":"Kai","non-dropping-particle":"","parse-names":false,"suffix":""},{"dropping-particle":"","family":"Yin","given":"Junsen","non-dropping-particle":"","parse-names":false,"suffix":""},{"dropping-particle":"","family":"Feng","given":"Dan","non-dropping-particle":"","parse-names":false,"suffix":""},{"dropping-particle":"","family":"Bi","given":"Yanzhi","non-dropping-particle":"","parse-names":false,"suffix":""},{"dropping-particle":"","family":"Li","given":"Yangding","non-dropping-particle":"","parse-names":false,"suffix":""},{"dropping-particle":"","family":"Yu","given":"Dahua","non-dropping-particle":"","parse-names":false,"suffix":""},{"dropping-particle":"","family":"Jin","given":"Chenwang","non-dropping-particle":"","parse-names":false,"suffix":""},{"dropping-particle":"","family":"Qin","given":"Wei","non-dropping-particle":"","parse-names":false,"suffix":""},{"dropping-particle":"","family":"Tian","given":"Jie","non-dropping-particle":"","parse-names":false,"suffix":""}],"container-title":"Brain Imaging and Behavior","id":"ITEM-1","issue":"1","issued":{"date-parts":[["2016"]]},"page":"12-20","title":"Striatum morphometry is associated with cognitive control deficits and symptom severity in internet gaming disorder","type":"article-journal","volume":"10"},"uris":["http://www.mendeley.com/documents/?uuid=bef75c92-b217-4a2b-8f3f-033274946cf3"]},{"id":"ITEM-2","itemData":{"DOI":"10.1017/S1092852917000037","ISBN":"1092852917000","ISSN":"1092-8529","PMID":"28893336","author":[{"dropping-particle":"","family":"Chamberlain","given":"Samuel R.","non-dropping-particle":"","parse-names":false,"suffix":""},{"dropping-particle":"","family":"Redden","given":"Sarah A.","non-dropping-particle":"","parse-names":false,"suffix":""},{"dropping-particle":"","family":"Leppink","given":"Eric","non-dropping-particle":"","parse-names":false,"suffix":""},{"dropping-particle":"","family":"Grant","given":"Jon E.","non-dropping-particle":"","parse-names":false,"suffix":""}],"container-title":"CNS Spectrums","id":"ITEM-2","issued":{"date-parts":[["2017"]]},"page":"1-9","title":"Problematic internet use in gamblers: impact on clinical and cognitive measures","type":"article-journal"},"uris":["http://www.mendeley.com/documents/?uuid=c18dd242-85f8-48de-8954-2c10468d160d"]},{"id":"ITEM-3","itemData":{"DOI":"10.1111/pcn.12224","ISBN":"1323-1316\\r1440-1819","ISSN":"14401819","PMID":"25047685","abstract":"AIM: The present study aimed to evaluate the brain correlates of response inhibition among subjects with internet gaming disorder (IGD).\\n\\nMETHODS: For this purpose, 15 men with IGD for at least 1 year, and 15 controls with no history of IGD were recruited to perform the Go/Nogo task under functional magnetic resonance imaging (fMRI) investigation. Prior to scanning, the subjects were assessed using the Chen Internet Addiction Scale and the Barrett Impulsivity Scale.\\n\\nRESULTS: The control group exhibited activation of the right supplement motor area, dorsolateral prefrontal cortex, and caudate for response inhibition. However, the IGD group had a higher impulsivity and lower activity of the right supplement motor area (SMA)/preSMA in comparison to the control group.\\n\\nCONCLUSION: The results obtained ssuggest that dysfunctional activation of the supplement motor area for response inhibition is one of the candidate mechanisms of IGD.","author":[{"dropping-particle":"","family":"Chen","given":"Chiao Yun","non-dropping-particle":"","parse-names":false,"suffix":""},{"dropping-particle":"","family":"Huang","given":"Mei Feng","non-dropping-particle":"","parse-names":false,"suffix":""},{"dropping-particle":"","family":"Yen","given":"Ju Yu","non-dropping-particle":"","parse-names":false,"suffix":""},{"dropping-particle":"","family":"Chen","given":"Cheng Sheng","non-dropping-particle":"","parse-names":false,"suffix":""},{"dropping-particle":"","family":"Liu","given":"Gin Chung","non-dropping-particle":"","parse-names":false,"suffix":""},{"dropping-particle":"","family":"Yen","given":"Cheng Fang","non-dropping-particle":"","parse-names":false,"suffix":""},{"dropping-particle":"","family":"Ko","given":"Chih Hung","non-dropping-particle":"","parse-names":false,"suffix":""}],"container-title":"Psychiatry and Clinical Neurosciences","id":"ITEM-3","issue":"4","issued":{"date-parts":[["2015"]]},"page":"201-209","title":"Brain correlates of response inhibition in Internet gaming disorder","type":"article-journal","volume":"69"},"uris":["http://www.mendeley.com/documents/?uuid=a3474bbe-d0c3-420c-a87f-19c75830cd65"]},{"id":"ITEM-4","itemData":{"DOI":"10.1016/j.psychres.2013.12.001","ISBN":"0165-1781(Print)","ISSN":"01651781","PMID":"24370334","abstract":"The purpose of this study was to explore a psychological profile of Internet addiction (IA) considering impulsivity as a key personality trait and as a key component of neuropsychological functioning. Twenty three subjects with IA (Young's Internet Addiction Test scores=70 or more) and 24 sex-, age-, and intelligence-matched healthy controls were enrolled. Participants filled out a questionnaire about trait impulsivity, the Trait Characteristic Inventory, depression, and anxiety. Next, we administered traditional neuropsychological tests including the Stroop et al. and computerized neuropsychological tests using the Cambridge Neuropsychological Test Automated Battery. The IA group exhibited more trait impulsivity than the healthy control group. They also scored higher for novelty seeking and harm avoidance. The IA group performed more poorly than the healthy control group in a computerized stop signal test, a test for inhibitory function and impulsivity; no group differences appeared for other neuropsychological tests. The IA group also scored higher for depression and anxiety, and lower for self-directedness and cooperativeness. In conclusion, individuals with IA exhibited impulsivity as a core personality trait and in their neuropsychological functioning. ?? 2013 Elsevier Ireland Ltd.","author":[{"dropping-particle":"","family":"Choi","given":"Jung Seok","non-dropping-particle":"","parse-names":false,"suffix":""},{"dropping-particle":"","family":"Park","given":"Su Mi","non-dropping-particle":"","parse-names":false,"suffix":""},{"dropping-particle":"","family":"Roh","given":"Myoung Sun","non-dropping-particle":"","parse-names":false,"suffix":""},{"dropping-particle":"","family":"Lee","given":"Jun Young","non-dropping-particle":"","parse-names":false,"suffix":""},{"dropping-particle":"Bin","family":"Park","given":"Chan","non-dropping-particle":"","parse-names":false,"suffix":""},{"dropping-particle":"","family":"Hwang","given":"Jae Yeon","non-dropping-particle":"","parse-names":false,"suffix":""},{"dropping-particle":"","family":"Gwak","given":"Ah Reum","non-dropping-particle":"","parse-names":false,"suffix":""},{"dropping-particle":"","family":"Jung","given":"Hee Yeon","non-dropping-particle":"","parse-names":false,"suffix":""}],"container-title":"Psychiatry Research","id":"ITEM-4","issue":"2","issued":{"date-parts":[["2014"]]},"page":"424-428","publisher":"Elsevier","title":"Dysfunctional inhibitory control and impulsivity in Internet addiction","type":"article-journal","volume":"215"},"uris":["http://www.mendeley.com/documents/?uuid=92ad5037-29af-47d0-9f3e-615d56d25077"]},{"id":"ITEM-5","itemData":{"DOI":"10.1556/JBA.3.2014.4.6","ISBN":"2063-5303","ISSN":"2062-5871","PMID":"25592310","abstract":"BACKGROUND AND AIMS: The aim of the present study was to test the impulsivities and compulsivities of behavioral addictions, including Internet gaming disorder (IGD) and gambling disorder (GD), by directly comparing them with alcohol use disorder (AUD) and a healthy control (HC) group.\\n\\nMETHODS: We enrolled male patients who were diagnosed with IGD, GD or AUD, with 15 patients per group, as well as 15 HCs. Trait impulsivity was measured using the Barratt Impulsiveness Scale version 11 (BIS-11). The stop-signal test (SST) from the Cambridge Neuropsychological Test Automated Battery (CANTAB) was used to assess the patients’ abilities to inhibit prepotent responses. Compulsivity was measured using the intra–extra dimensional set shift (IED) test from the CANTAB. The Trail Making Test (TMT) was also used in this study.\\n\\nRESULTS: The IGD and AUD groups scored significantly higher on the BIS-11 as a whole than did the HC group (p = 0.001 and p = 0.001, respectively). The IGD and AUD groups also scored significantly higher on the BIS-11 as a whole than did the GD group (p = 0.006 and p = 0.001, respectively). In addition, the GDgroup made significantly more errors (p = 0.017 and p = 0.022, respectively) and more individuals failed to achieve criterion on the IED test compared with the IGD and HC groups (p = 0.018 and p = 0.017, respectively). Discussion: These findings may aid in the understanding of not only the differences in categorical aspects between individuals with IGD and GD but also in impulsivity–compulsivity dimensional domains.\\n\\nCONCLUSION: Additional studies are needed to elucidate the neurocognitive characteristics of behavioral addictive disorders in terms of impulsivity and compulsivity.","author":[{"dropping-particle":"","family":"Choi","given":"Sam-Wook","non-dropping-particle":"","parse-names":false,"suffix":""},{"dropping-particle":"","family":"Kim","given":"Hyun","non-dropping-particle":"","parse-names":false,"suffix":""},{"dropping-particle":"","family":"Kim","given":"Ga-Young","non-dropping-particle":"","parse-names":false,"suffix":""},{"dropping-particle":"","family":"Jeon","given":"Yeongju","non-dropping-particle":"","parse-names":false,"suffix":""},{"dropping-particle":"","family":"Park","given":"Su","non-dropping-particle":"","parse-names":false,"suffix":""},{"dropping-particle":"","family":"Lee","given":"Jun-Young","non-dropping-particle":"","parse-names":false,"suffix":""},{"dropping-particle":"","family":"Jung","given":"Hee","non-dropping-particle":"","parse-names":false,"suffix":""},{"dropping-particle":"","family":"Sohn","given":"Bo","non-dropping-particle":"","parse-names":false,"suffix":""},{"dropping-particle":"","family":"Choi","given":"Jung-Seok","non-dropping-particle":"","parse-names":false,"suffix":""},{"dropping-particle":"","family":"Kim","given":"Dai-Jin","non-dropping-particle":"","parse-names":false,"suffix":""}],"container-title":"Journal of Behavioral Addictions","id":"ITEM-5","issue":"4","issued":{"date-parts":[["2014"]]},"page":"246-253","title":"Similarities and differences among Internet gaming disorder, gambling disorder and alcohol use disorder: A focus on impulsivity and compulsivity","type":"article-journal","volume":"3"},"uris":["http://www.mendeley.com/documents/?uuid=6e470900-27c3-4047-bb98-4866278d151f"]},{"id":"ITEM-6","itemData":{"DOI":"10.1016/j.ijpsycho.2013.06.007","ISBN":"1872-7697 (Electronic)\\r0167-8760 (Linking)","ISSN":"01678760","PMID":"23770040","abstract":"Internet addiction is the inability to control one's use of the Internet and is related to impulsivity. Although a few studies have examined neurophysiological activity as individuals with Internet addiction engage in cognitive processing, no information on spontaneous EEG activity in the eyes-closed resting-state is available. We investigated resting-state EEG activities in beta and gamma bands and examined their relationships with impulsivity among individuals with Internet addiction and healthy controls. Twenty-one drug-naïve patients with Internet addiction (age: 23.33. ±. 3.50. years) and 20 age-, sex-, and IQ-matched healthy controls (age: 22.40. ±. 2.33. years) were enrolled in this study. Severity of Internet addiction was identified by the total score on Young's Internet Addiction Test. Impulsivity was measured with the Barratt Impulsiveness Scale-11 and a stop-signal task. Resting-state EEG during eyes closed was recorded, and the absolute/relative power of beta and gamma bands was analyzed. The Internet addiction group showed high impulsivity and impaired inhibitory control. The generalized estimating equation showed that the Internet-addiction group showed lower absolute power on the beta band than did the control group (estimate. =-3.370, p&lt;. 0.01). On the other hand, the Internet-addiction group showed higher absolute power on the gamma band than did the control group (estimate. =0.434, p&lt;. 0.01). These EEG activities were significantly associated with the severity of Internet addiction as well as with the extent of impulsivity. The present study suggests that resting-state fast-wave brain activity is related to the impulsivity characterizing Internet addiction. These differences may be neurobiological markers for the pathophysiology of Internet addiction. © 2013 Elsevier B.V.","author":[{"dropping-particle":"","family":"Choi","given":"Jung Seok","non-dropping-particle":"","parse-names":false,"suffix":""},{"dropping-particle":"","family":"Park","given":"Su Mi","non-dropping-particle":"","parse-names":false,"suffix":""},{"dropping-particle":"","family":"Lee","given":"Jaewon","non-dropping-particle":"","parse-names":false,"suffix":""},{"dropping-particle":"","family":"Hwang","given":"Jae Yeon","non-dropping-particle":"","parse-names":false,"suffix":""},{"dropping-particle":"","family":"Jung","given":"Hee Yeon","non-dropping-particle":"","parse-names":false,"suffix":""},{"dropping-particle":"","family":"Choi","given":"Sam Wook","non-dropping-particle":"","parse-names":false,"suffix":""},{"dropping-particle":"","family":"Kim","given":"Dai Jin","non-dropping-particle":"","parse-names":false,"suffix":""},{"dropping-particle":"","family":"Oh","given":"Sohee","non-dropping-particle":"","parse-names":false,"suffix":""},{"dropping-particle":"","family":"Lee","given":"Jun Young","non-dropping-particle":"","parse-names":false,"suffix":""}],"container-title":"International Journal of Psychophysiology","id":"ITEM-6","issue":"3","issued":{"date-parts":[["2013"]]},"page":"328-333","publisher":"Elsevier B.V.","title":"Resting-state beta and gamma activity in internet addiction","type":"article-journal","volume":"89"},"uris":["http://www.mendeley.com/documents/?uuid=32a1ff1b-f807-4377-a073-9373e1637ca5"]},{"id":"ITEM-7","itemData":{"DOI":"10.1186/1744-9081-10-20","ISBN":"1744-9081","ISSN":"1744-9081","PMID":"24885073","abstract":"BACKGROUND: Recent studies suggest that Internet gaming addiction (IGA) is an impulse disorder, or is at least related to impulse control disorders. In the present study, we hypothesized that different facets of trait impulsivity may be specifically linked to the brain regions with impaired impulse inhibition function in IGA adolescents.\\n\\nMETHODS: Seventeen adolescents with IGA and seventeen healthy controls were scanned during performance of a response-inhibition Go/No-Go task using a 3.0 T MRI scanner. The Barratt Impulsiveness Scale (BIS)-11 was used to assess impulsivity.\\n\\nRESULTS: There were no differences in the behavioral performance on the Go/No-Go task between the groups. However, the IGA group was significantly hyperactive during No-Go trials in the left superior medial frontal gyrus, right anterior cingulate cortex, right superior/middle frontal gyrus, left inferior parietal lobule, left precentral gyrus, and left precuneus and cuneus. Further, the bilateral middle temporal gyrus, bilateral inferior temporal gyrus, and right superior parietal lobule were significantly hypoactive during No-Go trials. Activation of the left superior medial frontal gyrus was positively associated with BIS-11 and Chen Internet Addiction Scale (CIAS) total score across IGA participants.\\n\\nCONCLUSIONS: Our data suggest that the prefrontal cortex may be involved in the circuit modulating impulsivity, while its impaired function may relate to high impulsivity in adolescents with IGA, which may contribute directly to the Internet addiction process.","author":[{"dropping-particle":"","family":"Ding","given":"Wei-na","non-dropping-particle":"","parse-names":false,"suffix":""},{"dropping-particle":"","family":"Sun","given":"Jin-hua","non-dropping-particle":"","parse-names":false,"suffix":""},{"dropping-particle":"","family":"Sun","given":"Ya-wen","non-dropping-particle":"","parse-names":false,"suffix":""},{"dropping-particle":"","family":"Chen","given":"Xue","non-dropping-particle":"","parse-names":false,"suffix":""},{"dropping-particle":"","family":"Zhou","given":"Yan","non-dropping-particle":"","parse-names":false,"suffix":""},{"dropping-particle":"","family":"Zhuang","given":"Zhi-guo","non-dropping-particle":"","parse-names":false,"suffix":""},{"dropping-particle":"","family":"Li","given":"Lei","non-dropping-particle":"","parse-names":false,"suffix":""},{"dropping-particle":"","family":"Zhang","given":"Yong","non-dropping-particle":"","parse-names":false,"suffix":""},{"dropping-particle":"","family":"Xu","given":"Jian-rong","non-dropping-particle":"","parse-names":false,"suffix":""},{"dropping-particle":"","family":"Du","given":"Ya-song","non-dropping-particle":"","parse-names":false,"suffix":""}],"container-title":"Behavioral and Brain Functions","id":"ITEM-7","issue":"1","issued":{"date-parts":[["2014"]]},"page":"20","title":"Trait impulsivity and impaired prefrontal impulse inhibition function in adolescents with internet gaming addiction revealed by a Go/No-Go fMRI study","type":"article-journal","volume":"10"},"uris":["http://www.mendeley.com/documents/?uuid=fc7de9d8-7a73-4d70-bb27-ac3437fac221"]},{"id":"ITEM-8","itemData":{"DOI":"10.1016/j.neulet.2011.05.047","ISBN":"0304-3940","ISSN":"03043940","PMID":"21645588","abstract":"This study investigated the executive control ability of male students with Internet addiction disorder (IAD) by recording event-related brain potentials (ERP) during a color-word Stroop task. Seventeen IAD and 17 male normal university students participated. Behavior results showed that IAD students were associated with longer reaction time and more response errors in incongruent conditions than the control group. ERP results revealed that participants with IAD showed reduced medial frontal negativity (MFN) deflection in incongruent conditions than the control group. Both of the behavioral performance and ERP results indicate that people with IAD show impaired executive control ability than the normal group. ?? 2011 Elsevier Ireland Ltd.","author":[{"dropping-particle":"","family":"Dong","given":"Guangheng","non-dropping-particle":"","parse-names":false,"suffix":""},{"dropping-particle":"","family":"Zhou","given":"Hui","non-dropping-particle":"","parse-names":false,"suffix":""},{"dropping-particle":"","family":"Zhao","given":"Xuan","non-dropping-particle":"","parse-names":false,"suffix":""}],"container-title":"Neuroscience Letters","id":"ITEM-8","issue":"2","issued":{"date-parts":[["2011"]]},"page":"114-118","publisher":"Elsevier Ireland Ltd","title":"Male Internet addicts show impaired executive control ability: Evidence from a color-word Stroop task","type":"article-journal","volume":"499"},"uris":["http://www.mendeley.com/documents/?uuid=85c71ec5-44a3-488d-9149-74f42438bfbe"]},{"id":"ITEM-9","itemData":{"DOI":"10.1159/000346783","ISBN":"1421-9891 (Electronic)\\r1022-6877 (Linking)","ISSN":"10226877","PMID":"23548798","abstract":"BACKGROUND: Internet addiction disorder (IAD) is rapidly becoming a prevalent mental health concern around the world. The neurobiological underpinnings of IAD should be studied to unravel the potential heterogeneity. This study was set to investigate the error-monitoring ability in IAD subjects.\\n\\nMETHODS: Fifteen IAD subjects and 15 healthy controls (HC) participated in this study. Participants were asked to perform a fast Stroop task that may show error responses. Behavioral and neurobiological results in relation to error responses were compared between IAD subjects and HC.\\n\\nRESULTS: Compared to HC, IAD subjects showed increased activation in the anterior cingulate cortex (ACC) and decreased activation in the orbitofrontal cortex following error responses. Significant correlation was found between ACC activation and the Internet addiction test scores.\\n\\nCONCLUSIONS: IAD subjects show an impaired error-monitoring ability compared to HC, which can be detected by the hyperactivation in ACC in error responses.","author":[{"dropping-particle":"","family":"Dong","given":"Guangheng","non-dropping-particle":"","parse-names":false,"suffix":""},{"dropping-particle":"","family":"Shen","given":"Yue","non-dropping-particle":"","parse-names":false,"suffix":""},{"dropping-particle":"","family":"Huang","given":"Jie","non-dropping-particle":"","parse-names":false,"suffix":""},{"dropping-particle":"","family":"Du","given":"Xiaoxia","non-dropping-particle":"","parse-names":false,"suffix":""}],"container-title":"European Addiction Research","id":"ITEM-9","issue":"5","issued":{"date-parts":[["2013"]]},"page":"269-275","title":"Impaired error-monitoring function in people with internet addiction disorder: An event-related fMRI study","type":"article-journal","volume":"19"},"uris":["http://www.mendeley.com/documents/?uuid=1addfd3a-af55-4ce9-8512-1bec48f5751e"]},{"id":"ITEM-10","itemData":{"DOI":"10.1016/j.jpsychires.2011.06.017","ISBN":"1879-1379 (Electronic)\\r0022-3956 (Linking)","ISSN":"00223956","PMID":"21764067","abstract":"As the world's fastest growing \" addiction\" , Internet addiction should be studied to unravel the potential heterogeneity. The present study is set to examine reward and punishment processing in Internet addicts as compared to healthy controls while they subjectively experience monetary gain and loss during the performance of a guessing task. The results showed that Internet addicts associated with increased activation in orbitofrontal cortex in gain trials and decreased anterior cingulate activation in loss trials than normal controls. The results suggested that Internet addicts have enhanced reward sensitivity and decreased loss sensitivity than normal comparisons. ?? 2011 Elsevier Ltd.","author":[{"dropping-particle":"","family":"Dong","given":"Guangheng","non-dropping-particle":"","parse-names":false,"suffix":""},{"dropping-particle":"","family":"Huang","given":"Jie","non-dropping-particle":"","parse-names":false,"suffix":""},{"dropping-particle":"","family":"Du","given":"Xiaoxia","non-dropping-particle":"","parse-names":false,"suffix":""}],"container-title":"Journal of Psychiatric Research","id":"ITEM-10","issue":"11","issued":{"date-parts":[["2011"]]},"page":"1525-1529","publisher":"Elsevier Ltd","title":"Enhanced reward sensitivity and decreased loss sensitivity in Internet addicts: An fMRI study during a guessing task","type":"article-journal","volume":"45"},"uris":["http://www.mendeley.com/documents/?uuid=561d8395-4505-4184-950c-d4bfc99a1021"]},{"id":"ITEM-11","itemData":{"DOI":"10.1016/j.biopsycho.2013.07.009","ISBN":"0301-0511","ISSN":"03010511","PMID":"23933447","abstract":"In this study, we designed a continuous wins-and-losses task to monitor the mental activities during decision-making and their effects on subsequent decisions in Internet addiction disorder (IAD) subjects. In behavioral performance, IAD subjects show longer response time, lower repeat rate and greater Stroop effect than healthy controls. In neuroimaging results, IAD subjects show increased brain activities in the inferior frontal cortex, insula, anterior cingulate cortex and decreased activation in the caudate and posterior cingulate cortex after continuous wins than healthy controls. In addition, IAD subjects show increased brain activities in the inferior frontal gyrus and decreased brain activation in the posterior cingulate cortex after continuous losses. Thus, we concluded that IAD subjects engage more cognitive activities to finish the decision-making task. As a result, they cannot sufficiently focus on the executive function during this process. They also do not pay adequate attention to considering previous selections and relevant outcomes during decision-making. © 2013 Elsevier B.V.","author":[{"dropping-particle":"","family":"Dong","given":"Guangheng","non-dropping-particle":"","parse-names":false,"suffix":""},{"dropping-particle":"","family":"Hu","given":"Yanbo","non-dropping-particle":"","parse-names":false,"suffix":""},{"dropping-particle":"","family":"Lin","given":"Xiao","non-dropping-particle":"","parse-names":false,"suffix":""},{"dropping-particle":"","family":"Lu","given":"Qilin","non-dropping-particle":"","parse-names":false,"suffix":""}],"container-title":"Biological Psychology","id":"ITEM-11","issue":"2","issued":{"date-parts":[["2013"]]},"page":"282-289","publisher":"Elsevier B.V.","title":"What makes Internet addicts continue playing online even when faced by severe negative consequences? Possible explanations from an fMRI study","type":"article-journal","volume":"94"},"uris":["http://www.mendeley.com/documents/?uuid=7347b442-a7f9-47b6-9af9-e7d323b07d78"]},{"id":"ITEM-12","itemData":{"DOI":"10.1016/j.addbeh.2013.11.028","ISBN":"0306-4603","ISSN":"03064603","PMID":"24368005","abstract":"Internet addiction disorder (IAD) has raised widespread public health concerns. In this study, we explored the cognitive flexibility in IAD subjects using a color-word Stroop task. Behavioral and imaging data were collected from 15 IAD subjects (21.2. ±. 3.2. years) and 15 healthy controls (HC, 22.1. ±. 3.6. years). Group comparisons found that IAD subjects show higher superior temporal gyrus activations than healthy controls in switching (easy to difficult; difficult to easy) than in repeating trials. In addition, in difficult-to-easy situation, IAD subjects show higher brain activation in bilateral insula than healthy controls; in easy-to-difficult situation, IAD subjects show higher brain activation in bilateral precuneus than healthy controls. Correlations were also performed between behavioral performances and brain activities in relevant brain regions. Taken together, we concluded that IAD subjects engaged more endeavors in executive control and attention in the switching task. From another perspective, IAD subjects show impaired cognitive flexibilities. © 2013 Elsevier Ltd.","author":[{"dropping-particle":"","family":"Dong","given":"Guangheng","non-dropping-particle":"","parse-names":false,"suffix":""},{"dropping-particle":"","family":"Lin","given":"Xiao","non-dropping-particle":"","parse-names":false,"suffix":""},{"dropping-particle":"","family":"Zhou","given":"Hongli","non-dropping-particle":"","parse-names":false,"suffix":""},{"dropping-particle":"","family":"Lu","given":"Qilin","non-dropping-particle":"","parse-names":false,"suffix":""}],"container-title":"Addictive Behaviors","id":"ITEM-12","issue":"3","issued":{"date-parts":[["2014"]]},"page":"677-683","title":"Cognitive flexibility in internet addicts: FMRI evidence from difficult-to-easy and easy-to-difficult switching situations","type":"article-journal","volume":"39"},"uris":["http://www.mendeley.com/documents/?uuid=dca3dc26-25e4-483e-9218-df7b21c3835b"]},{"id":"ITEM-13","itemData":{"DOI":"10.1016/j.pnpbp.2013.07.007","ISBN":"1878-4216 (Electronic)\\r0278-5846 (Linking)","ISSN":"02785846","PMID":"23876789","abstract":"Internet addiction disorder (IAD) has raised widespread public health concerns. In this study, we used a gambling task to simulate extreme win/lose situations to find the reward/punishment sensitivities after continuous wins and losses. FMRI data were collected from 16 IAD subjects (21.4 ?? 3.1 years) and 15 healthy controls (HC, 22.1 ?? 3.6 years). Group comparisons showed higher superior frontal gyrus activations after continuous wins for IAD subjects than for HC. The brain activities in IAD subjects were not disturbed by their losses. In addition, IAD participants showed decreased posterior cingulate activation compared to HC after continuous losses. These results indicated that IAD participants showed preference to win while neglecting their losses. Therefore they engaged less executive endeavor to control their frustration after continuous losses. Taken together, we concluded that IAD subjects showed enhanced sensitivity to win and decreased sensitivity to lose. This can help us understand why IAD subjects continue playing online even after noticing the severe negative consequences of their behaviors. ?? 2013 Elsevier Inc.","author":[{"dropping-particle":"","family":"Dong","given":"Guangheng","non-dropping-particle":"","parse-names":false,"suffix":""},{"dropping-particle":"","family":"Hu","given":"Yanbo","non-dropping-particle":"","parse-names":false,"suffix":""},{"dropping-particle":"","family":"Lin","given":"Xiao","non-dropping-particle":"","parse-names":false,"suffix":""}],"container-title":"Progress in Neuro-Psychopharmacology and Biological Psychiatry","id":"ITEM-13","issued":{"date-parts":[["2013"]]},"page":"139-145","publisher":"Elsevier Inc.","title":"Reward/punishment sensitivities among internet addicts: Implications for their addictive behaviors","type":"article-journal","volume":"46"},"uris":["http://www.mendeley.com/documents/?uuid=8108ef98-fd80-4bc9-9b08-52eac6fed514"]},{"id":"ITEM-14","itemData":{"DOI":"10.1016/j.eurpsy.2017.03.004","ISSN":"17783585","PMID":"28545006","abstract":"Although playing of Internet games may lead to Internet gaming disorder (IGD), most game-users do not develop problems and only a relatively small subset experiences IGD. Game playing may have positive health associations, whereas IGD has been repeatedly associated with negative health measures, and it is thus important to understand differences between individuals with IGD, recreational (non-problematic) game use (RGU) and non-/low-frequency game use (NLFGU). Individuals with IGD have shown differences in neural activations from non-gamers, yet few studies have examined neural differences between individuals with IGD, RGU and NLFGU. Eighteen individuals with IGD, 21 with RGU and 19 with NFLGU performed a color-word Stroop task and a guessing task assessing reward/loss processing. Behavioral and functional imaging data were collected and compared between groups. RGU and NLFGU subjects showed lower Stroop effects as compared with those with IGD. RGU subjects as compared to those with IGD demonstrated less frontal cortical activation brain activation during Stroop performance. During the guessing task, RGU subjects showed greater cortico-striatal activations than IGD subjects during processing of winning outcomes and greater frontal brain during processing of losing outcomes. Findings suggest that RGU as compared with IGD subjects show greater executive control and greater activations of brain regions implicated in motivational processes during reward processing and greater cortical activations during loss processing. These findings suggest neural and behavioral features distinguishing RGU from IGD and mechanisms by which RGU may be motivated to play online games frequently yet avoid developing IGD.","author":[{"dropping-particle":"","family":"Dong","given":"G.","non-dropping-particle":"","parse-names":false,"suffix":""},{"dropping-particle":"","family":"Li","given":"H.","non-dropping-particle":"","parse-names":false,"suffix":""},{"dropping-particle":"","family":"Wang","given":"L.","non-dropping-particle":"","parse-names":false,"suffix":""},{"dropping-particle":"","family":"Potenza","given":"M. N.","non-dropping-particle":"","parse-names":false,"suffix":""}],"container-title":"European Psychiatry","id":"ITEM-14","issued":{"date-parts":[["2017"]]},"page":"30-38","title":"Cognitive control and reward/loss processing in Internet gaming disorder: Results from a comparison with recreational Internet game-users","type":"article-journal","volume":"44"},"uris":["http://www.mendeley.com/documents/?uuid=7b6d6382-45d4-4e75-89f9-faf348ce3c7b"]},{"id":"ITEM-15","itemData":{"DOI":"10.1016/j.neulet.2010.09.002","ISBN":"1872-7972 (Electronic)\\r0304-3940 (Linking)","ISSN":"03043940","PMID":"20833229","abstract":"We investigated response inhibition in people with Internet addiction disorder (IAD) by recording event-related brain potentials during a Go/NoGo task. Twelve IAD-afflicted and 12 normal university students participated in the study. Results show that the IAD group exhibited lower NoGo-N2 amplitude, higher NoGo-P3 amplitude, and longer NoGo-P3 peak latency than the normal group. The results also suggest that the IAD students had lower activation in the conflict detection stage than the normal group; thus, they had to engage in more cognitive endeavors to complete the inhibition task in the late stage. In addition, the IAD students showed less efficiency in information processing and lower impulse control than their normal peers. ?? 2010 Elsevier Ireland Ltd.","author":[{"dropping-particle":"","family":"Dong","given":"Guangheng","non-dropping-particle":"","parse-names":false,"suffix":""},{"dropping-particle":"","family":"Lu","given":"Qilin","non-dropping-particle":"","parse-names":false,"suffix":""},{"dropping-particle":"","family":"Zhou","given":"Hui","non-dropping-particle":"","parse-names":false,"suffix":""},{"dropping-particle":"","family":"Zhao","given":"Xuan","non-dropping-particle":"","parse-names":false,"suffix":""}],"container-title":"Neuroscience Letters","id":"ITEM-15","issue":"2","issued":{"date-parts":[["2010"]]},"page":"138-142","publisher":"Elsevier Ireland Ltd","title":"Impulse inhibition in people with Internet addiction disorder: Electrophysiological evidence from a Go/NoGo study","type":"article-journal","volume":"485"},"uris":["http://www.mendeley.com/documents/?uuid=2883432c-542e-4b8a-8380-e00076a09d3c"]},{"id":"ITEM-16","itemData":{"DOI":"10.1038/srep41742","ISSN":"2045-2322","PMID":"28134318","abstract":"Although internet gaming disorder (IGD) and obsessive-compulsive disorder (OCD) represent opposite ends of the impulsivity and compulsivity dimensions, the two disorders share common neurocognitive deficits in response inhibition. However, the similarities and differences in neurophysiological features of altered response inhibition between IGD and OCD have not been investigated sufficiently. In total, 27 patients with IGD, 24 patients with OCD, and 26 healthy control (HC) subjects participated in a Go/NoGo task with electroencephalographic recordings. N2-P3 complexes elicited during Go and NoGo condition were analyzed separately and compared among conditions and groups. NoGo-N2 latency at the central electrode site was delayed in IGD group versus the HC group and correlated positively with the severity of internet game addiction and impulsivity. NoGo-N2 amplitude at the frontal electrode site was smaller in OCD patients than in IGD patients. These findings suggest that prolonged NoGo-N2 latency may serve as a marker of trait impulsivity in IGD and reduced NoGo-N2 amplitude may be a differential neurophysiological feature between OCD from IGD with regard to compulsivity. We report the first differential neurophysiological correlate of the altered response inhibition in IGD and OCD, which may be a candidate biomarker for impulsivity and compulsivity.","author":[{"dropping-particle":"","family":"Kim","given":"Minah","non-dropping-particle":"","parse-names":false,"suffix":""},{"dropping-particle":"","family":"Lee","given":"Tak Hyung","non-dropping-particle":"","parse-names":false,"suffix":""},{"dropping-particle":"","family":"Choi","given":"Jung-Seok","non-dropping-particle":"","parse-names":false,"suffix":""},{"dropping-particle":"Bin","family":"Kwak","given":"Yoo","non-dropping-particle":"","parse-names":false,"suffix":""},{"dropping-particle":"","family":"Hwang","given":"Wu Jeong","non-dropping-particle":"","parse-names":false,"suffix":""},{"dropping-particle":"","family":"Kim","given":"Taekwan","non-dropping-particle":"","parse-names":false,"suffix":""},{"dropping-particle":"","family":"Lee","given":"Ji Yoon","non-dropping-particle":"","parse-names":false,"suffix":""},{"dropping-particle":"","family":"Lim","given":"Jae-A","non-dropping-particle":"","parse-names":false,"suffix":""},{"dropping-particle":"","family":"Park","given":"Minkyung","non-dropping-particle":"","parse-names":false,"suffix":""},{"dropping-particle":"","family":"Kim","given":"Yeon Jin","non-dropping-particle":"","parse-names":false,"suffix":""},{"dropping-particle":"","family":"Kim","given":"Sung Nyun","non-dropping-particle":"","parse-names":false,"suffix":""},{"dropping-particle":"","family":"Kim","given":"Dai Jin","non-dropping-particle":"","parse-names":false,"suffix":""},{"dropping-particle":"","family":"Kwon","given":"Jun Soo","non-dropping-particle":"","parse-names":false,"suffix":""}],"container-title":"Scientific Reports","id":"ITEM-16","issue":"September 2016","issued":{"date-parts":[["2017"]]},"page":"41742","publisher":"Nature Publishing Group","title":"Neurophysiological correlates of altered response inhibition in internet gaming disorder and obsessive-compulsive disorder: Perspectives from impulsivity and compulsivity","type":"article-journal","volume":"7"},"uris":["http://www.mendeley.com/documents/?uuid=6ded5bf7-d1ab-4f5b-a287-4eaf7c445c8b"]},{"id":"ITEM-17","itemData":{"DOI":"10.1007/s00406-013-0483-3","ISBN":"0940-1334\\r1433-8491","ISSN":"0940-1334","PMID":"24469099","abstract":"The aim of the present study was to evaluate the impulsivity and brain correlates of response inhibition and error processing among subjects with Internet gaming disorder (IGD). We evaluated the response inhibition and error processing by functional magnetic resonance imaging (fMRI) in subjects with IGD and controls. Twenty-six men with IGD for at least 2 years and 23 controls with no history of IGD were recruited as the IGD and control groups, respectively. All subjects performed the event-related designed Go/No-go task under fMRI and completed questionnaires related to Internet addiction and impulsivity. The IGD group exhibited a higher score for impulsivity than the control group. The IGD group also exhibited higher brain activation when processing response inhibition over the left orbital frontal lobe and bilateral caudate nucleus than controls. Both the IGD and control groups exhibited activation of the insula and anterior cingulate cortex during error processing. The activation over the right insula was lower in the subjects with IGD than the control group. Our results support the fact that the fronto-striatal network involved in response inhibition, and the salience network, anchored by the anterior cingulate and insula, contributes to error processing. Further, adults with IGD have impaired insular function in error processing and greater activation of the fronto-striatal network in order to maintain their response inhibition performance. (PsycINFO Database Record (c) 2014 APA, all rights reserved)","author":[{"dropping-particle":"","family":"Ko","given":"Chih-Hung","non-dropping-particle":"","parse-names":false,"suffix":""},{"dropping-particle":"","family":"Hsieh","given":"Tsyh-Jyi","non-dropping-particle":"","parse-names":false,"suffix":""},{"dropping-particle":"","family":"Chen","given":"Chiao-Yun","non-dropping-particle":"","parse-names":false,"suffix":""},{"dropping-particle":"","family":"Yen","given":"Cheng-Fang","non-dropping-particle":"","parse-names":false,"suffix":""},{"dropping-particle":"","family":"Chen","given":"Cheng-Sheng","non-dropping-particle":"","parse-names":false,"suffix":""},{"dropping-particle":"","family":"Yen","given":"Ju-Yu","non-dropping-particle":"","parse-names":false,"suffix":""},{"dropping-particle":"","family":"Wang","given":"Peng-Wei","non-dropping-particle":"","parse-names":false,"suffix":""},{"dropping-particle":"","family":"Liu","given":"Gin-Chung","non-dropping-particle":"","parse-names":false,"suffix":""}],"container-title":"European Archives of Psychiatry and Clinical Neuroscience","id":"ITEM-17","issue":"8","issued":{"date-parts":[["2014"]]},"page":"661-672","title":"Altered brain activation during response inhibition and error processing in subjects with Internet gaming disorder: a functional magnetic imaging study","type":"article-journal","volume":"264"},"uris":["http://www.mendeley.com/documents/?uuid=0e4c6728-d0e5-42b1-a3a8-4bcc63e8dfe4"]},{"id":"ITEM-18","itemData":{"DOI":"10.1089/cyber.2015.0295","ISSN":"2152-2715","PMID":"26894438","abstract":"The relationship between impulse control disorder (ICD) behaviors and problematic Internet use (PIU) has been established in the literature. Our aim was to further investigate whether the ICDs of individuals suffering from PIU primarily involve an inability to delay gratification or a tendency to take risks. Using delay and probability discounting tasks, we compared the subjective value of discounting between PIU individuals and controls in conditions of gaining or losing different monetary amounts. The results of the present study revealed a significant positive relationship between PIU and impulsivity scores. PIU individuals discounted delayed amounts more steeply than controls, regardless of the reward sign and monetary amount. Conversely, there were no significant group differences in the probability discounting task. These findings suggest that PIU individuals may be more impulsive than controls when impulsivity is framed as insensitivity to delayed outcomes rather than as a tendency to take risks, which is inconsistent with the view of impulsivity as a general trait.","author":[{"dropping-particle":"","family":"Li","given":"Qi","non-dropping-particle":"","parse-names":false,"suffix":""},{"dropping-particle":"","family":"Tian","given":"Moqian","non-dropping-particle":"","parse-names":false,"suffix":""},{"dropping-particle":"","family":"Taxer","given":"Jamie","non-dropping-particle":"","parse-names":false,"suffix":""},{"dropping-particle":"","family":"Zheng","given":"Ya","non-dropping-particle":"","parse-names":false,"suffix":""},{"dropping-particle":"","family":"Wu","given":"Haiyan","non-dropping-particle":"","parse-names":false,"suffix":""},{"dropping-particle":"","family":"Sun","given":"Shiyue","non-dropping-particle":"","parse-names":false,"suffix":""},{"dropping-particle":"","family":"Liu","given":"Xun","non-dropping-particle":"","parse-names":false,"suffix":""}],"container-title":"Cyberpsychology, Behavior, and Social Networking","id":"ITEM-18","issue":"3","issued":{"date-parts":[["2016"]]},"page":"172-178","title":"Problematic Internet Users' Discounting Behaviors Reflect an Inability to Delay Gratification, Not Risk Taking","type":"article-journal","volume":"19"},"uris":["http://www.mendeley.com/documents/?uuid=a758c050-fc32-4b80-a1cd-8222d077e6d4"]},{"id":"ITEM-19","itemData":{"DOI":"10.3389/fpsyg.2016.00370","ISSN":"16641078","abstract":"According to the balance model of self-regulation, dysfunction of the\\ninhibitory control and reward processing might be a behavioral marker\\nfor addiction and problematic behaviors. Although several studies have\\nseparately examined the inhibitory control or reward processing of\\nindividuals exhibiting problematic Internet use (PIU), no study has\\nexplored these two functions simultaneously to examine the potential\\nimbalance of these functions. This study aimed to investigate whether\\nthe self-regulatory failure of PIU individuals results from deficits in\\nboth inhibitory control {[}indexed with the stop signal reaction time\\n(SSRT) in a stop signal task] and risk taking with losses (measured as\\nthe acceptance rates of risky gables or the ratio of win/loss in a mixed\\ngambles task). The results revealed that PIU individuals, compared with\\ncontrols, showed decreased SSRT and increased error rates as well as\\nreduced risk taking with losses. Correlational analyses revealed a\\nsignificant positive relationship between the SSRT and risk taking with\\nlosses. These findings suggest that both the inhibitory control and\\nreward functions are impaired in PIU individuals and reveal an\\nassociation between these two systems. These results strengthen the\\nbalance model of self-regulation theory's argument that deficits in\\ninhibitory control and risk taking with losses may assist in identifying\\nrisk markers for early diagnosis, progression, and prediction of PIU.","author":[{"dropping-particle":"","family":"Li","given":"Qi","non-dropping-particle":"","parse-names":false,"suffix":""},{"dropping-particle":"","family":"Nan","given":"Weizhi","non-dropping-particle":"","parse-names":false,"suffix":""},{"dropping-particle":"","family":"Taxer","given":"Jamie","non-dropping-particle":"","parse-names":false,"suffix":""},{"dropping-particle":"","family":"Dai","given":"Weine","non-dropping-particle":"","parse-names":false,"suffix":""},{"dropping-particle":"","family":"Zheng","given":"Ya","non-dropping-particle":"","parse-names":false,"suffix":""},{"dropping-particle":"","family":"Liu","given":"Xun","non-dropping-particle":"","parse-names":false,"suffix":""}],"container-title":"Frontiers in Psychology","id":"ITEM-19","issue":"MAR","issued":{"date-parts":[["2016"]]},"page":"1-9","title":"Problematic Internet users show impaired inhibitory control and risk taking with losses: Evidence from stop signal and mixed gambles tasks","type":"article-journal","volume":"7"},"uris":["http://www.mendeley.com/documents/?uuid=26b6bf44-028f-4aa2-ac31-574fdd44fe0c"]},{"id":"ITEM-20","itemData":{"DOI":"10.1097/MD.0000000000005695","ISBN":"0000000000","ISSN":"0025-7974","PMID":"27977620","abstract":"Internet gaming disorder (IGD) contributes to poor quality of life (QOL) and cognitive dysfunction and is increasingly recognized as a social problem in various countries. However, no evidence exists to determine whether QOL and cognitive dysfunction stabilize after appropriate management. The present study addressed improvement in QOL and cognitive functioning associated with changes in addiction symptoms following outpatient management for IGD. A total of 84 young males (IGD group: N = 44, mean age: 19.159 ± 5.216 years; healthy control group: N = 40, mean age: 21.375 ± 6.307 years) participated in this study. We administered self-report questionnaires at baseline to assess clinical and psychological characteristics, and conducted traditional and computerized neuropsychological tests. Nineteen patients with IGD completed follow-up tests in the same manner after 6 months of outpatient treatment, which included pharmacotherapy with selective serotonin reuptake inhibitors. A baseline comparison of patients with IGD against the healthy control group showed that the IGD patients had more symptoms of depression and anxiety, higher degrees of impulsiveness and anger/aggression, higher levels of distress, poorer QOL, and impaired response inhibition. After 6 months of treatment, patients with IGD showed significant improvements in the severity of IGD, as well as in QOL, response inhibition, and executive functioning. Additionally, a stepwise multiple regression analysis revealed a favorable prognosis for IGD patients with low working memory functioning and high executive functioning at baseline. These results provide evidence regarding longitudinal changes in QOL and cognitive function following psychiatric intervention for IGD. Furthermore, it appears that response inhibition may be an objective state marker underlying the pathophysiology of IGD.","author":[{"dropping-particle":"","family":"Lim","given":"Jae-A","non-dropping-particle":"","parse-names":false,"suffix":""},{"dropping-particle":"","family":"Lee","given":"Jun-Young","non-dropping-particle":"","parse-names":false,"suffix":""},{"dropping-particle":"","family":"Jung","given":"Hee Yeon","non-dropping-particle":"","parse-names":false,"suffix":""},{"dropping-particle":"","family":"Sohn","given":"Bo Kyung","non-dropping-particle":"","parse-names":false,"suffix":""},{"dropping-particle":"","family":"Choi","given":"Sam-Wook","non-dropping-particle":"","parse-names":false,"suffix":""},{"dropping-particle":"","family":"Kim","given":"Yeon Jin","non-dropping-particle":"","parse-names":false,"suffix":""},{"dropping-particle":"","family":"Kim","given":"Dai-Jin","non-dropping-particle":"","parse-names":false,"suffix":""},{"dropping-particle":"","family":"Choi","given":"Jung-Seok","non-dropping-particle":"","parse-names":false,"suffix":""}],"container-title":"Medicine","id":"ITEM-20","issue":"50","issued":{"date-parts":[["2016"]]},"page":"e5695","title":"Changes of quality of life and cognitive function in individuals with Internet gaming disorder","type":"article-journal","volume":"95"},"uris":["http://www.mendeley.com/documents/?uuid=50c5f18b-20af-40be-909b-65b05b7d86d9"]},{"id":"ITEM-21","itemData":{"DOI":"10.1016/j.pnpbp.2014.08.016","ISBN":"0278-5846","ISSN":"18784216","PMID":"25218095","abstract":"This study examined how Internet gaming disorder (IGD) subjects modulating reward and risk at a neural level under a probability-discounting task with functional magnetic resonance imaging (fMRI). Behavioral and imaging data were collected from 19 IGD subjects (22.2. ±. 3.08. years) and 21 healthy controls (HC, 22.8. ±. 3.5. years). Behavior results showed that IGD subjects prefer the probabilistic options to fixed ones and were associated with shorter reaction time, when comparing to HC. The fMRI results revealed that IGD subjects show decreased activation in the inferior frontal gyrus and the precentral gyrus when choosing the probabilistic options than HC. Correlations were also calculated between behavioral performances and brain activities in relevant brain regions. Both of the behavioral performance and fMRI results indicate that people with IGD show impaired risk evaluation, which might be the reason why IGD subjects continue playing online games despite the risks of widely known negative consequence.","author":[{"dropping-particle":"","family":"Lin","given":"Xiao","non-dropping-particle":"","parse-names":false,"suffix":""},{"dropping-particle":"","family":"Zhou","given":"Hongli","non-dropping-particle":"","parse-names":false,"suffix":""},{"dropping-particle":"","family":"Dong","given":"Guangheng","non-dropping-particle":"","parse-names":false,"suffix":""},{"dropping-particle":"","family":"Du","given":"Xiaoxia","non-dropping-particle":"","parse-names":false,"suffix":""}],"container-title":"Progress in Neuro-Psychopharmacology and Biological Psychiatry","id":"ITEM-21","issued":{"date-parts":[["2015"]]},"page":"142-148","publisher":"Elsevier Inc.","title":"Impaired risk evaluation in people with internet gaming disorder: fMRI evidence from a probability discounting task","type":"article-journal","volume":"56"},"uris":["http://www.mendeley.com/documents/?uuid=308003be-5c04-4e83-99e9-c054142d4f0b"]},{"id":"ITEM-22","itemData":{"DOI":"10.1111/j.1369-1600.2012.00467.x","ISBN":"1369-1600","ISSN":"13556215","PMID":"22734609","abstract":"Excessive computer gaming has recently been proposed as a possible pathological illness. However, research on this topic is still in its infancy and underlying neurobiological mechanisms have not yet been identified. The determination of underlying mechanisms of excessive gaming might be useful for the identification of those at risk, a better understanding of the behavior and the development of interventions. Excessive gaming has been often compared with pathological gambling and substance use disorder. Both disorders are characterized by high levels of impulsivity, which incorporates deficits in error processing and response inhibition. The present study aimed to investigate error processing and response inhibition in excessive gamers and controls using a Go/NoGo paradigm combined with event-related potential recordings. Results indicated that excessive gamers show reduced error-related negativity amplitudes in response to incorrect trials relative to correct trials, implying poor error processing in this population. Furthermore, excessive gamers display higher levels of self-reported impulsivity as well as more impulsive responding as reflected by less behavioral inhibition on the Go/NoGo task. The present study indicates that excessive gaming partly parallels impulse control and substance use disorders regarding impulsivity measured on the self-reported, behavioral and electrophysiological level. Although the present study does not allow drawing firm conclusions on causality, it might be that trait impulsivity, poor error processing and diminished behavioral response inhibition underlie the excessive gaming patterns observed in certain individuals. They might be less sensitive to negative consequences of gaming and therefore continue their behavior despite adverse consequences.","author":[{"dropping-particle":"","family":"Littel","given":"Marianne","non-dropping-particle":"","parse-names":false,"suffix":""},{"dropping-particle":"","family":"Berg","given":"Ivo","non-dropping-particle":"Van Den","parse-names":false,"suffix":""},{"dropping-particle":"","family":"Luijten","given":"Maartje","non-dropping-particle":"","parse-names":false,"suffix":""},{"dropping-particle":"","family":"Rooij","given":"Antonius J.","non-dropping-particle":"Van","parse-names":false,"suffix":""},{"dropping-particle":"","family":"Keemink","given":"Lianne","non-dropping-particle":"","parse-names":false,"suffix":""},{"dropping-particle":"","family":"Franken","given":"Ingmar H.A.","non-dropping-particle":"","parse-names":false,"suffix":""}],"container-title":"Addiction Biology","id":"ITEM-22","issue":"5","issued":{"date-parts":[["2012"]]},"page":"934-947","title":"Error processing and response inhibition in excessive computer game players: An event-related potential study","type":"article-journal","volume":"17"},"uris":["http://www.mendeley.com/documents/?uuid=5b70ee15-38d9-4696-b04d-354345305f2c"]},{"id":"ITEM-23","itemData":{"DOI":"10.1016/j.kjms.2013.08.005","ISBN":"1607-551X","ISSN":"1607551X","PMID":"24388058","abstract":"We evaluated neural substrates related to the loss of control in college students with internet gaming disorder (IGD). We hypothesized that deficit in response inhibition under gaming cue distraction was the possible mechanism for the loss of control internet use. Eleven cases of IGD and 11 controls performed Go/NoGo tasks with/without gaming distraction in the functional magnetic resonance imaging scanner. When the gaming picture was shown as background while individuals were performing Go/NoGo tasks, the IGD group committed more commission errors. The control group increased their brain activations more over the right dorsolateral prefrontal cortex (DLPFC) and superior parietal lobe under gaming cue distraction in comparison with the IGD group. Furthermore, brain activation of the right DLPFC and superior parietal lobe were negatively associated with performance of response inhibition among the IGD group. The results suggest that the function of response inhibition was impaired under gaming distraction among the IGD group, and individuals with IGD could not activate right DLPFC and superior parietal lobe to keep cognitive control and attention allocation for response inhibition under gaming cue distraction. This mechanism should be addressed in any intervention for IGD. Copyright © 2013, Kaohsiung Medical University.","author":[{"dropping-particle":"","family":"Liu","given":"Gin Chung","non-dropping-particle":"","parse-names":false,"suffix":""},{"dropping-particle":"","family":"Yen","given":"Ju Yu","non-dropping-particle":"","parse-names":false,"suffix":""},{"dropping-particle":"","family":"Chen","given":"Chiao Yun","non-dropping-particle":"","parse-names":false,"suffix":""},{"dropping-particle":"","family":"Yen","given":"Cheng Fang","non-dropping-particle":"","parse-names":false,"suffix":""},{"dropping-particle":"","family":"Chen","given":"Cheng Sheng","non-dropping-particle":"","parse-names":false,"suffix":""},{"dropping-particle":"","family":"Lin","given":"Wei Chen","non-dropping-particle":"","parse-names":false,"suffix":""},{"dropping-particle":"","family":"Ko","given":"Chih Hung","non-dropping-particle":"","parse-names":false,"suffix":""}],"container-title":"Kaohsiung Journal of Medical Sciences","id":"ITEM-23","issue":"1","issued":{"date-parts":[["2014"]]},"page":"43-51","publisher":"Published by Elsevier Taiwan LLC","title":"Brain activation for response inhibition under gaming cue distraction in internet gaming disorder","type":"article-journal","volume":"30"},"uris":["http://www.mendeley.com/documents/?uuid=c16b8a32-7959-4a57-9434-c8a04fa53f9c"]},{"id":"ITEM-24","itemData":{"DOI":"10.1111/j.1369-1600.2012.00491.x","ISSN":"13556215","PMID":"22970898","abstract":"Despite a rising social relevance of pathological computer game playing, it remains unclear whether the neurobiological basis of this addiction-like behavioral disorder and substance-related addiction are comparable. In substance-related addiction, attentional bias and cue reactivity are often observed. We conducted a functional magnetic resonance study using a dot probe paradigm with short-presentation (attentional bias) and long-presentation (cue reactivity) trials in eight male pathological computer game players (PCGPs) and nine healthy controls (HCs). Computer game-related and neutral computer-generated pictures, as well as pictures from the International Affective Picture System with positive and neutral valence, served as stimuli. PCGPs showed an attentional bias toward both game-related and affective stimuli with positive valence. In contrast, HCs showed no attentional bias effect at all. PCGPs showed stronger brain responses in short-presentation trials compared with HCs in medial prefrontal cortex (MPFC) and anterior cingulate gyrus and in long-presentation trials in lingual gyrus. In an exploratory post hoc functional connectivity analyses, for long-presentation trials, connectivity strength was higher between right inferior frontal gyrus, which was associated with inhibition processing in previous studies, and cue reactivity-related regions (left orbitofrontal cortex and ventral striatum) in PCGPs. We observed behavioral and neural effects in PCGPs, which are comparable with those found in substance-related addiction. However, cue-related brain responses were depending on duration of cue presentation. Together with the connectivity result, these findings suggest that top-down inhibitory processes might suppress the cue reactivity-related neural activity in long-presentation trials.","author":[{"dropping-particle":"","family":"Lorenz","given":"Robert C.","non-dropping-particle":"","parse-names":false,"suffix":""},{"dropping-particle":"","family":"Krüger","given":"Jenny-Kathinka","non-dropping-particle":"","parse-names":false,"suffix":""},{"dropping-particle":"","family":"Neumann","given":"Britta","non-dropping-particle":"","parse-names":false,"suffix":""},{"dropping-particle":"","family":"Schott","given":"Björn H.","non-dropping-particle":"","parse-names":false,"suffix":""},{"dropping-particle":"","family":"Kaufmann","given":"Christian","non-dropping-particle":"","parse-names":false,"suffix":""},{"dropping-particle":"","family":"Heinz","given":"Andreas","non-dropping-particle":"","parse-names":false,"suffix":""},{"dropping-particle":"","family":"Wüstenberg","given":"Torsten","non-dropping-particle":"","parse-names":false,"suffix":""}],"container-title":"Addiction Biology","id":"ITEM-24","issue":"1","issued":{"date-parts":[["2013","1"]]},"page":"134-146","title":"Cue reactivity and its inhibition in pathological computer game players","type":"article-journal","volume":"18"},"uris":["http://www.mendeley.com/documents/?uuid=1a9d38c9-f371-3f07-a2ec-d54705c7518f"]},{"id":"ITEM-25","itemData":{"DOI":"10.1016/j.pscychresns.2015.01.004","ISBN":"0165-1781","ISSN":"09254927","PMID":"25670645","abstract":"A small proportion of video game players develop uncontrolled gaming behavior. A dysfunctional cognitive control circuit may explain this excessive behavior. Therefore, the current study investigated whether problem gamers are characterized by deficits in various aspects of cognitive control (inhibitory control, error processing, attentional control) by measuring brain activation using functional magnetic resonance imaging during Go-NoGo and Stroop task performance. In addition, both impulsivity and attentional control were measured using self-reports. Participants comprised 18 problem gamers who were compared with 16 matched casual gaming controls. Results indicate significantly increased self-reported impulsivity levels and decreased inhibitory control accompanied by reduced brain activation in the left inferior frontal gyrus (IFG) and right inferior parietal lobe (IPL) in problem gamers relative to controls. Significant hypoactivation in the left IFG in problem gamers was also observed during Stroop task performance, but groups did not differ on behavioral and self-reported measures of attentional control. No evidence was found for reduced error processing in problem gamers. In conclusion, the current study provides evidence for reduced inhibitory control in problem gamers, while attentional control and error processing were mostly intact. These findings implicate that reduced inhibitory control and elevated impulsivity may constitute a neurocognitive weakness in problem gamers.","author":[{"dropping-particle":"","family":"Luijten","given":"Maartje","non-dropping-particle":"","parse-names":false,"suffix":""},{"dropping-particle":"","family":"Meerkerk","given":"Gert-Jan","non-dropping-particle":"","parse-names":false,"suffix":""},{"dropping-particle":"","family":"Franken","given":"Ingmar H.A.","non-dropping-particle":"","parse-names":false,"suffix":""},{"dropping-particle":"","family":"Wetering","given":"Ben J.M.","non-dropping-particle":"van de","parse-names":false,"suffix":""},{"dropping-particle":"","family":"Schoenmakers","given":"Tim M.","non-dropping-particle":"","parse-names":false,"suffix":""}],"container-title":"Psychiatry Research: Neuroimaging","id":"ITEM-25","issue":"3","issued":{"date-parts":[["2015"]]},"page":"262-268","publisher":"Elsevier","title":"An fMRI study of cognitive control in problem gamers","type":"article-journal","volume":"231"},"uris":["http://www.mendeley.com/documents/?uuid=6e675953-edeb-494b-ad0d-47a5d2febdf9"]},{"id":"ITEM-26","itemData":{"DOI":"10.1089/cyber.2013.0024","ISSN":"2152-2723","PMID":"23971428","abstract":"Abstract Putative cyber addictions are of significant interest. There remains little experimental research into excessive use of first person shooter (FPS) games, despite their global popularity. Moreover, the role between excessive gaming and impulsivity remains unclear, with previous research showing conflicting findings. The current study investigated performances on a number of neuropsychological tasks (go/no-go, continuous performance task, Iowa gambling task) and a trait measure of impulsivity for a group of regular FPS gamers (n=25), addicted FPS gamers (n=22), and controls (n=22). Gamers were classified using the Addiction-Engagement Questionnaire. Addicted FPS gamers had significantly higher levels of trait impulsivity on the Barratt Impulsiveness Scale compared to controls. Addicted FPS gamers also had significantly higher levels of disinhibition in a go/no-go task and inattention in a continuous performance task compared to controls, whereas the regular FPS gamers had better decision making on the Iowa gambling task compared to controls. The results indicate impulsivity is associated with FPS gaming addiction, comparable to pathological gambling. The relationship between impulsivity and excessive gaming may be unique to the FPS genre. Furthermore, regular FPS gaming may improve decision making ability.","author":[{"dropping-particle":"","family":"Metcalf","given":"Olivia","non-dropping-particle":"","parse-names":false,"suffix":""},{"dropping-particle":"","family":"Pammer","given":"Kristen","non-dropping-particle":"","parse-names":false,"suffix":""}],"container-title":"Cyberpsychology, behavior and social networking","id":"ITEM-26","issue":"3","issued":{"date-parts":[["2014"]]},"page":"147-152","title":"Impulsivity and related neuropsychological features in regular and addictive first person shooter gaming.","type":"article-journal","volume":"17"},"uris":["http://www.mendeley.com/documents/?uuid=673d9fed-00cf-4914-a179-23988a612b24"]},{"id":"ITEM-27","itemData":{"DOI":"10.1016/j.psychres.2011.05.017","ISBN":"0165-1781","ISSN":"01651781","PMID":"21641048","abstract":"The dysfunctional behavior of excessive Internet gamers, such as preferring the immediate reward (to play World of Warcraft) despite the negative long-term consequences may be comparable with the dysfunctional behavior in substance abusers or individuals with behavioral addictions, e.g. pathological gambling. In these disorders, general decision-making deficits have been demonstrated. Hence, the aim of the present work was to examine decision-making competences of excessive World of Warcraft players. Nineteen excessive Internet gamers (EIG) and a control group (CG) consisting of 19 non-gamers were compared with respect to decision-making abilities. The Game of Dice Task (GDT) was applied to measure decision-making under risky conditions. Furthermore psychological-psychiatric symptoms were assessed in both groups. The EIG showed a reduced decision-making ability in the GDT. Furthermore the EIG group showed a higher psychological-psychiatric symptomatology in contrast to the CG. The results indicate that the reduced decision-making ability of EIG is comparable with patients with other forms of behavioral addiction (e.g. pathological gambling), impulse control disorders or substance abusers. Thus, these results suggest that excessive Internet gaming may be based on a myopia for the future, meaning that EIG prefer to play World of Warcraft despite the negative long-term consequences in social or work domains of life. ?? 2011 Elsevier Ltd.","author":[{"dropping-particle":"","family":"Pawlikowski","given":"Mirko","non-dropping-particle":"","parse-names":false,"suffix":""},{"dropping-particle":"","family":"Brand","given":"Matthias","non-dropping-particle":"","parse-names":false,"suffix":""}],"container-title":"Psychiatry Research","id":"ITEM-27","issue":"3","issued":{"date-parts":[["2011"]]},"page":"428-433","publisher":"Elsevier Ltd","title":"Excessive Internet gaming and decision making: Do excessive World of Warcraft players have problems in decision making under risky conditions?","type":"article-journal","volume":"188"},"uris":["http://www.mendeley.com/documents/?uuid=621fd171-18ad-4cd6-a507-76d9b2a2c073"]},{"id":"ITEM-28","itemData":{"DOI":"10.3389/fnbeh.2015.00296","ISBN":"1662-5153","ISSN":"1662-5153","PMID":"26578922","abstract":"Greater impulse and risk-taking and reduced decision-making ability were reported as the main behavioral impairments in individuals with internet gaming disorder (IGD), which has become a serious mental health issue worldwide. However, it is not clear to date how the risk level modulates brain activity during the decision-making process in IGD individuals. In this study, 23 adolescents with IGD and 24 healthy controls (HCs) without IGD were recruited, and the balloon analog risk task (BART) was used in a functional magnetic resonance imaging experiment to evaluate the modulation of the risk level (the probability of balloon explosion) on brain activity during risky decision making in IGD adolescents. Reduced modulation of the risk level on the activation of the right dorsolateral prefrontal cortex (DLPFC) during the active BART was found in IGD group compared to the HCs. In the IGD group, there was a significant negative correlation between the risk-related DLPFC activation during the active BART and the Barratt impulsivity scale (BIS-11) scores, which were significantly higher in IGD group compared with the HCs. Our study demonstrated that, as a critical decision-making-related brain region, the right DLPFC is less sensitive to risk in IGD adolescents compared with the HCs, which may contribute to the higher impulsivity level in IGD adolescents.","author":[{"dropping-particle":"","family":"Qi","given":"Xin","non-dropping-particle":"","parse-names":false,"suffix":""},{"dropping-particle":"","family":"Du","given":"Xin","non-dropping-particle":"","parse-names":false,"suffix":""},{"dropping-particle":"","family":"Yang","given":"Yongxin","non-dropping-particle":"","parse-names":false,"suffix":""},{"dropping-particle":"","family":"Du","given":"Guijin","non-dropping-particle":"","parse-names":false,"suffix":""},{"dropping-particle":"","family":"Gao","given":"Peihong","non-dropping-particle":"","parse-names":false,"suffix":""},{"dropping-particle":"","family":"Zhang","given":"Yang","non-dropping-particle":"","parse-names":false,"suffix":""},{"dropping-particle":"","family":"Qin","given":"Wen","non-dropping-particle":"","parse-names":false,"suffix":""},{"dropping-particle":"","family":"Li","given":"Xiaodong","non-dropping-particle":"","parse-names":false,"suffix":""},{"dropping-particle":"","family":"Zhang","given":"Quan","non-dropping-particle":"","parse-names":false,"suffix":""}],"container-title":"Frontiers in Behavioral Neuroscience","id":"ITEM-28","issue":"November","issued":{"date-parts":[["2015"]]},"page":"1-8","title":"Decreased modulation by the risk level on the brain activation during decision making in adolescents with internet gaming disorder","type":"article-journal","volume":"9"},"uris":["http://www.mendeley.com/documents/?uuid=44fd30fa-cd9d-4fb2-8218-8970e30ee50a"]},{"id":"ITEM-29","itemData":{"DOI":"10.1017/s1092852900000225","ISBN":"1092-8529","ISSN":"1092-8529","PMID":"19238122","abstract":"INTRODUCTION: Excessive Internet use (EIU), also described as Internet addiction or pathological Internet use, has already become a serious social problem around the world. Some researchers consider EIU as a kind of behavioral addiction. However, there are few experimental studies on the cognitive functions of excessive Internet users (EIUers) and limited data are available to compare EIU with other addictive behaviors, such as drug abuse and pathological gambling. METHODS: In the present study, we examined EIUers' functions of decision-making and prepotent response inhibition. Two groups of participants, EIUers and controls, were compared on these two functions by using a Gambling Task and a Go/no-go Task, respectively. RESULTS: Compared with controls, EIUers selected significantly less net decks in the Gambling Task (P=.007). Furthermore, the EIUers made progress in selecting strategy, but more slowly than did the control group (EIUers, chunk 3 &gt; chunk 1, P&lt;.001; controls, chunk 2 &gt; chunk 1, P&lt;.001). Interestingly, EIUers' accuracy during the no-go condition was significantly higher than that of controls (P=.018). CONCLUSION: These results showed some similarities and dissimilarities between EIU and other addictive behaviors such as drug abuse and pathological gambling. The findings from the Gambling Task indicated that EIUers have deficits in decision-making function, which are characterized by a strategy learning lag rather than an inability to learn from task contingencies. EIUers' better performance in the Go/no-go Task suggested some dissociation between mechanisms of decision-making and those of prepotent response inhibition. However, EIUers could hardly suppress their excessive online behaviors in real life. Their ability of inhibition still needs to be further studied with more specific assessments.","author":[{"dropping-particle":"","family":"Sun","given":"De-Lin","non-dropping-particle":"","parse-names":false,"suffix":""},{"dropping-particle":"","family":"Chen","given":"Zu-Ji","non-dropping-particle":"","parse-names":false,"suffix":""},{"dropping-particle":"","family":"Ma","given":"Ning","non-dropping-particle":"","parse-names":false,"suffix":""},{"dropping-particle":"","family":"Zhang","given":"Xiao-Chu","non-dropping-particle":"","parse-names":false,"suffix":""},{"dropping-particle":"","family":"Fu","given":"Xian-Ming","non-dropping-particle":"","parse-names":false,"suffix":""},{"dropping-particle":"","family":"Zhang","given":"Da-Ren","non-dropping-particle":"","parse-names":false,"suffix":""}],"container-title":"CNS spectrums","id":"ITEM-29","issue":"2","issued":{"date-parts":[["2009"]]},"page":"75-81","title":"Decision-making and prepotent response inhibition functions in excessive internet users.","type":"article-journal","volume":"14"},"uris":["http://www.mendeley.com/documents/?uuid=3257e3d5-224a-455d-af9a-ae3b8f72c5b6"]},{"id":"ITEM-30","itemData":{"DOI":"10.1007/s00406-016-0721-6","ISBN":"0940-1334","ISSN":"14338491","PMID":"27506757","abstract":"This study utilized independent component analysis to explore the abnormal functional connectivity (FC) in male participants with Internet gaming disorder (IGD). Functional magnetic resonance imaging and behavioral data were collected from 21 healthy controls (HC) and 18 IGD patients when they were performing a delay discounting task. Behavioral results revealed that the IGD patients showed higher delay discounting rates than HC. Two networks were found to be associated with IGD: (1) the executive control network containing the anterior cingulate cortex and the medial and superior frontal gyrus, and (2) the basal ganglia network containing the lentiform nucleus. Comparing to HC, IGD exhibited stronger FC when selecting small and now options. In addition, the delay discounting rates were positively correlated with the modulation of the two networks and the reaction time. The results suggested that the IGD patients have enhanced sensitivity to reward and decreased ability to control their impulsivity effectively, which leads to myopic decision making. (PsycINFO Database Record (c) 2016 APA, all rights reserved)","author":[{"dropping-particle":"","family":"Wang","given":"Yifan","non-dropping-particle":"","parse-names":false,"suffix":""},{"dropping-particle":"","family":"Wu","given":"Lingdan","non-dropping-particle":"","parse-names":false,"suffix":""},{"dropping-particle":"","family":"Zhou","given":"Hongli","non-dropping-particle":"","parse-names":false,"suffix":""},{"dropping-particle":"","family":"Lin","given":"Xiao","non-dropping-particle":"","parse-names":false,"suffix":""},{"dropping-particle":"","family":"Zhang","given":"Yifen","non-dropping-particle":"","parse-names":false,"suffix":""},{"dropping-particle":"","family":"Du","given":"Xiaoxia","non-dropping-particle":"","parse-names":false,"suffix":""},{"dropping-particle":"","family":"Dong","given":"Guangheng","non-dropping-particle":"","parse-names":false,"suffix":""}],"container-title":"European Archives of Psychiatry and Clinical Neuroscience","id":"ITEM-30","issue":"3","issued":{"date-parts":[["2017"]]},"page":"245-255","publisher":"Springer Berlin Heidelberg","title":"Impaired executive control and reward circuit in Internet gaming addicts under a delay discounting task: independent component analysis","type":"article-journal","volume":"267"},"uris":["http://www.mendeley.com/documents/?uuid=6bca6636-ba7b-44f7-ae1f-d15471e4c5fc"]},{"id":"ITEM-31","itemData":{"DOI":"10.1016/j.eurpsy.2016.01.2424","ISBN":"1778-3585 (Electronic)\\r0924-9338 (Linking)","ISSN":"17783585","PMID":"26928344","abstract":"Background: The present study identified the neural mechanism of risky decision-making in Internet gaming disorder (IGD) under a probability discounting task. Methods: Independent component analysis was used on the functional magnetic resonance imaging data from 19 IGD subjects (22.2 ± 3.08 years) and 21 healthy controls (HC, 22.8 ± 3.5 years). Results: For the behavioral results, IGD subjects prefer the risky to the fixed options and showed shorter reaction time compared to HC. For the imaging results, the IGD subjects showed higher task-related activity in default mode network (DMN) and less engagement in the executive control network (ECN) than HC when making the risky decisions. Also, we found the activities of DMN correlate negatively with the reaction time and the ECN correlate positively with the probability discounting rates. Conclusions: The results suggest that people with IGD show altered modulation in DMN and deficit in executive control function, which might be the reason for why the IGD subjects continue to play online games despite the potential negative consequences.","author":[{"dropping-particle":"","family":"Wang","given":"L.","non-dropping-particle":"","parse-names":false,"suffix":""},{"dropping-particle":"","family":"Wu","given":"L.","non-dropping-particle":"","parse-names":false,"suffix":""},{"dropping-particle":"","family":"Lin","given":"X.","non-dropping-particle":"","parse-names":false,"suffix":""},{"dropping-particle":"","family":"Zhang","given":"Y.","non-dropping-particle":"","parse-names":false,"suffix":""},{"dropping-particle":"","family":"Zhou","given":"H.","non-dropping-particle":"","parse-names":false,"suffix":""},{"dropping-particle":"","family":"Du","given":"X.","non-dropping-particle":"","parse-names":false,"suffix":""},{"dropping-particle":"","family":"Dong","given":"G.","non-dropping-particle":"","parse-names":false,"suffix":""}],"container-title":"European Psychiatry","id":"ITEM-31","issued":{"date-parts":[["2016"]]},"page":"36-42","title":"Dysfunctional default mode network and executive control network in people with Internet gaming disorder: Independent component analysis under a probability discounting task","type":"article-journal","volume":"34"},"uris":["http://www.mendeley.com/documents/?uuid=bf8a2824-6e0a-41c9-ba54-7f7e0562c4e1"]},{"id":"ITEM-32","itemData":{"DOI":"10.1016/j.brainres.2014.08.044","ISBN":"0006-8993","ISSN":"18726240","PMID":"25171806","abstract":"The association between the impaired cognitive control and brain regional abnormalities in Internet gaming disorder (IGD) adolescents had been validated in numerous studies. However, few studies focused on the role of the salience network (SN), which regulates dynamic communication among brain core neurocognitive networks to modulate cognitive control. Seventeen IGD adolescents and 17 healthy controls participated in the study. By combining resting-state functional connectivity and diffusion tensor imaging (DTI) tractography methods, we examined the changes of functional and structural connections within SN in IGD adolescents. The color-word Stroop task was employed to assess the impaired cognitive control in IGD adolescents. Correlation analysis was carried out to investigate the relationship between the neuroimaging indices and behavior performance in IGD adolescents. The impaired cognitive control in IGD was validated by more errors during the incongruent condition in color-word Stroop task. The right SN tract showed the decreased fractional anisotropy (FA) in IGD adolescents, though no significant differences of functional connectivity were detected. Moreover, the FA values of the right SN tract were negatively correlated with the errors during the incongruent condition in IGD adolescents. Our results revealed the disturbed structural connectivity within SN in IGD adolescents, which may be related with impaired cognitive control. It is hoped that the brain-behavior relationship from network perspective may enhance the understanding of IGD.","author":[{"dropping-particle":"","family":"Xing","given":"Lihong","non-dropping-particle":"","parse-names":false,"suffix":""},{"dropping-particle":"","family":"Yuan","given":"Kai","non-dropping-particle":"","parse-names":false,"suffix":""},{"dropping-particle":"","family":"Bi","given":"Yanzhi","non-dropping-particle":"","parse-names":false,"suffix":""},{"dropping-particle":"","family":"Yin","given":"Junsen","non-dropping-particle":"","parse-names":false,"suffix":""},{"dropping-particle":"","family":"Cai","given":"Chenxi","non-dropping-particle":"","parse-names":false,"suffix":""},{"dropping-particle":"","family":"Feng","given":"Dan","non-dropping-particle":"","parse-names":false,"suffix":""},{"dropping-particle":"","family":"Li","given":"Yangding","non-dropping-particle":"","parse-names":false,"suffix":""},{"dropping-particle":"","family":"Song","given":"Min","non-dropping-particle":"","parse-names":false,"suffix":""},{"dropping-particle":"","family":"Wang","given":"Hongmei","non-dropping-particle":"","parse-names":false,"suffix":""},{"dropping-particle":"","family":"Yu","given":"Dahua","non-dropping-particle":"","parse-names":false,"suffix":""},{"dropping-particle":"","family":"Xue","given":"Ting","non-dropping-particle":"","parse-names":false,"suffix":""},{"dropping-particle":"","family":"Jin","given":"Chenwang","non-dropping-particle":"","parse-names":false,"suffix":""},{"dropping-particle":"","family":"Qin","given":"Wei","non-dropping-particle":"","parse-names":false,"suffix":""},{"dropping-particle":"","family":"Tian","given":"Jie","non-dropping-particle":"","parse-names":false,"suffix":""}],"container-title":"Brain Research","id":"ITEM-32","issued":{"date-parts":[["2014"]]},"page":"109-117","publisher":"Elsevier","title":"Reduced fiber integrity and cognitive control in adolescents with internet gaming disorder","type":"article-journal","volume":"1586"},"uris":["http://www.mendeley.com/documents/?uuid=4767a06d-f7be-490b-8777-f21ecb1b8808"]},{"id":"ITEM-33","itemData":{"DOI":"10.1016/j.psychres.2015.07.004","ISBN":"0165-1781","ISSN":"18727123","PMID":"26168928","abstract":"A growing body of evidence indicates that both inhibition and decision-making deficits play essential roles in the development and maintenance of Internet gaming disorder (IGD). Clarifying whether impaired decision-making among individuals with IGD is related to poor inhibition will advance our understanding of IGD and contribute to intervention development. However, the relationship between these two functions remains unclear. In this study, we sought to systemically examine inhibitory processes, decision-making and the relationship between the two among individuals with IGD. Thirty-four individuals with IGD and 32 matched healthy controls (HCs) were recruited. In comparison to HCs, IGD subjects demonstrated inhibition deficits during performance of the gaming-related Go/No-Go task and impaired decision-making under risk. In addition, errors on No-Go trials during the gaming-related Go/No-Go task were positively associated with decision-making impairments under risk but not under ambiguity among IGD subjects. These results suggest individuals with IGD are impaired in some aspects of inhibition and decision-making functions, and that decision-making deficits under risk are linked to poor inhibition specifically related to gaming cues, which has implications for the development of novel intervention.","author":[{"dropping-particle":"","family":"Yao","given":"Yuan Wei","non-dropping-particle":"","parse-names":false,"suffix":""},{"dropping-particle":"","family":"Wang","given":"Ling Jiao","non-dropping-particle":"","parse-names":false,"suffix":""},{"dropping-particle":"","family":"Yip","given":"Sarah W.","non-dropping-particle":"","parse-names":false,"suffix":""},{"dropping-particle":"","family":"Chen","given":"Pin Ru","non-dropping-particle":"","parse-names":false,"suffix":""},{"dropping-particle":"","family":"Li","given":"Song","non-dropping-particle":"","parse-names":false,"suffix":""},{"dropping-particle":"","family":"Xu","given":"Jiansong","non-dropping-particle":"","parse-names":false,"suffix":""},{"dropping-particle":"","family":"Zhang","given":"Jin Tao","non-dropping-particle":"","parse-names":false,"suffix":""},{"dropping-particle":"","family":"Deng","given":"Lin Yuan","non-dropping-particle":"","parse-names":false,"suffix":""},{"dropping-particle":"","family":"Liu","given":"Qin Xue","non-dropping-particle":"","parse-names":false,"suffix":""},{"dropping-particle":"","family":"Fang","given":"Xiao Yi","non-dropping-particle":"","parse-names":false,"suffix":""}],"container-title":"Psychiatry Research","id":"ITEM-33","issue":"1-2","issued":{"date-parts":[["2015"]]},"page":"302-309","publisher":"Elsevier","title":"Impaired decision-making under risk is associated with gaming-specific inhibition deficits among college students with Internet gaming disorder","type":"article-journal","volume":"229"},"uris":["http://www.mendeley.com/documents/?uuid=102ce506-31e0-4ed7-85c2-66c5bf59aa67"]},{"id":"ITEM-34","itemData":{"DOI":"10.1111/adb.12348","ISBN":"1369-1600 (Electronic)\\r1355-6215 (Linking)","ISSN":"13691600","PMID":"26769234","abstract":"Converging evidence has identified cognitive control deficits in internet gaming disorder (IGD). Recently, mounting evidence had revealed that resting state functional connectivity (RSFC) and structural connectivity of frontostriatal circuits could modulate cognitive control in healthy individuals. Unfortunately, relatively little is known about the thoroughly circuit-level characterization of the frontostriatal pathways (both the dorsal and ventral striatum) during resting-state and their association with cognitive control in IGD. In the current study, the differences of striatum volume and RSFC networks were investigated between 43 young IGD individuals and 44 healthy controls. Meanwhile, cognitive control deficits were assessed by Stroop task performances. The neuroimaging findings were then correlated with the Stroop task behaviors. In IGD subjects, we demonstrated an increased volume of right caudate and nucleus accumbens (NAc) as well as reduced RSFC strength of dorsal prefrontal cortex (DLPFC)–caudate and orbitofrontal cortex (OFC)–NAc. NAc volumes were positively correlated with internet addiction test scores in IGD. The caudate volume and DLPFC–caudate RSFC was correlated with the impaired cognitive control (more incongruent errors in Stroop task) in IGD. Consistent with substance use disorder (SUD) findings, we detected striatum volume and frontostriatal circuits RSFC differences between IGD and healthy controls, which provided evidence of some degree of the similarity between IGD and SUD. More importantly, the cognitive control deficits in IGD were correlated with the reduced frontostrital RSFC strength. It is hoped that our results could shed insight on the neurobiological mecha- nisms of IGD and suggest potential novel therapeutic targets for treatment. Keywords","author":[{"dropping-particle":"","family":"Yuan","given":"Kai","non-dropping-particle":"","parse-names":false,"suffix":""},{"dropping-particle":"","family":"Yu","given":"Dahua","non-dropping-particle":"","parse-names":false,"suffix":""},{"dropping-particle":"","family":"Cai","given":"Chenxi","non-dropping-particle":"","parse-names":false,"suffix":""},{"dropping-particle":"","family":"Feng","given":"Dan","non-dropping-particle":"","parse-names":false,"suffix":""},{"dropping-particle":"","family":"Li","given":"Yangding","non-dropping-particle":"","parse-names":false,"suffix":""},{"dropping-particle":"","family":"Bi","given":"Yanzhi","non-dropping-particle":"","parse-names":false,"suffix":""},{"dropping-particle":"","family":"Liu","given":"Jixin","non-dropping-particle":"","parse-names":false,"suffix":""},{"dropping-particle":"","family":"Zhang","given":"Yi","non-dropping-particle":"","parse-names":false,"suffix":""},{"dropping-particle":"","family":"Jin","given":"Chenwang","non-dropping-particle":"","parse-names":false,"suffix":""},{"dropping-particle":"","family":"Li","given":"Linling","non-dropping-particle":"","parse-names":false,"suffix":""},{"dropping-particle":"","family":"Qin","given":"Wei","non-dropping-particle":"","parse-names":false,"suffix":""},{"dropping-particle":"","family":"Tian","given":"Jie","non-dropping-particle":"","parse-names":false,"suffix":""}],"container-title":"Addiction Biology","id":"ITEM-34","issue":"3","issued":{"date-parts":[["2017"]]},"page":"813-822","title":"Frontostriatal circuits, resting state functional connectivity and cognitive control in internet gaming disorder","type":"article-journal","volume":"22"},"uris":["http://www.mendeley.com/documents/?uuid=c436932b-dba2-4277-a831-72887fed33f4"]},{"id":"ITEM-35","itemData":{"DOI":"10.1007/s00429-014-0982-7","ISBN":"1863-2653\\r1863-2661","ISSN":"18632661","PMID":"25573247","abstract":"Regardless of whether it is conceptualized as a behavioral addiction or an impulse-control disorder, internet gaming disorder (IGD) has been speculated to be associated with impaired cognitive control. Efficient cognitive behavior involves the coordinated activity of large-scale brain networks, however, whether the interactions among these networks during resting state modulated cognitive control behavior in IGD adolescents remain unclear. Twenty-eight IGD adolescents and twenty-five age-, gender-, and education-matched healthy controls participated in our study. Stroop color-word task was conducted to evaluate the cognitive control deficits in IGD adolescents. Functional connectivity and Granger Causal Analysis were employed to investigate the functional and effective connections within and between the salience, central executive, and default mode networks. Meanwhile, diffusion tensor imaging was used to assess the structural integrity of abnormal network connections. The abnormal functional connectivity within central executive networks and effective connectivity within salience network in IGD adolescents were detected. Moreover, the inefficient interactions between these two brain networks were observed. In addition, we identified reduced fractional anisotropy in salience network, right central executive network tracts, and between-network (the anterior cingulate cortex-right dorsolateral prefrontal cortex tracts) pathways in IGD individuals. Notably, we observed a significant correlation between the effective and structural connection from salience network to central executive network and the number of errors during incongruent condition in Stroop task in both IGD and control subjects. Our results suggested that impaired cognitive control in IGD adolescents is likely to be mediated through the abnormal interactions and structural connection between intrinsic large-scale brain networks. (PsycINFO Database Record (c) 2015 APA, all rights reserved). (journal abstract)","author":[{"dropping-particle":"","family":"Yuan","given":"Kai","non-dropping-particle":"","parse-names":false,"suffix":""},{"dropping-particle":"","family":"Qin","given":"Wei","non-dropping-particle":"","parse-names":false,"suffix":""},{"dropping-particle":"","family":"Yu","given":"Dahua","non-dropping-particle":"","parse-names":false,"suffix":""},{"dropping-particle":"","family":"Bi","given":"Yanzhi","non-dropping-particle":"","parse-names":false,"suffix":""},{"dropping-particle":"","family":"Xing","given":"Lihong","non-dropping-particle":"","parse-names":false,"suffix":""},{"dropping-particle":"","family":"Jin","given":"Chenwang","non-dropping-particle":"","parse-names":false,"suffix":""},{"dropping-particle":"","family":"Tian","given":"Jie","non-dropping-particle":"","parse-names":false,"suffix":""}],"container-title":"Brain Structure and Function","id":"ITEM-35","issue":"3","issued":{"date-parts":[["2016"]]},"page":"1427-1442","publisher":"Springer Berlin Heidelberg","title":"Core brain networks interactions and cognitive control in internet gaming disorder individuals in late adolescence/early adulthood","type":"article-journal","volume":"221"},"uris":["http://www.mendeley.com/documents/?uuid=e7bc88f9-6595-41ee-a70a-d640641bbf77"]},{"id":"ITEM-36","itemData":{"DOI":"10.1017/neu.2015.54","ISBN":"1601-5215","ISSN":"0924-2708","PMID":"26400106","abstract":"OBJECTIVE: The purpose of the present study was to test whether individuals with Internet addiction disorder (IAD) presented analogous characteristics of working memory, executive function and impulsivity compared with pathological gambling (PG) patients., METHODS: The subjects included 23 individuals with IAD, 23 PG patients and 23 controls. All of the participants were measured with the digit span task, Wisconsin Card Sorting Test, go/no-go task and Barratt Impulsiveness Scale-11 (BIS-11) under the same experimental conditions., RESULTS: The results of this study showed that the false alarm rate, total response errors, perseverative errors, failure to maintain set and BIS-11 scores of both the IAD and PG groups were significantly higher than that of the control group. In addition, the forward scores and backwards scores, percentage of conceptual level responses, number of categories completed and hit rate of the IAD and PG groups were significantly lower than that of the control group. Furthermore, the false alarm rate and BIS-11 scores of the IAD group were significantly higher than those of PG patients, and the hit rate was significantly lower than that of the PG patients., CONCLUSIONS: Individuals with IAD and PG patients present deficiencies in working memory, executive dysfunction and impulsivity, and individuals with IAD are more impulsive than PG patients.","author":[{"dropping-particle":"","family":"Zhou","given":"Zhenhe","non-dropping-particle":"","parse-names":false,"suffix":""},{"dropping-particle":"","family":"Zhou","given":"Hongliang","non-dropping-particle":"","parse-names":false,"suffix":""},{"dropping-particle":"","family":"Zhu","given":"Hongmei","non-dropping-particle":"","parse-names":false,"suffix":""}],"container-title":"Acta Neuropsychiatrica","id":"ITEM-36","issue":"02","issued":{"date-parts":[["2016"]]},"page":"92-100","title":"Working memory, executive function and impulsivity in Internet-addictive disorders: a comparison with pathological gambling","type":"article-journal","volume":"28"},"uris":["http://www.mendeley.com/documents/?uuid=d6b02e16-96c1-492b-bdc8-aeed6f5eff5c"]},{"id":"ITEM-37","itemData":{"DOI":"10.3389/fnbeh.2014.00288","ISBN":"1662-5153","ISSN":"1662-5153","PMID":"25202248","abstract":"Internet addiction disorder (IAD) should belong to a kind of behavioral addiction. Previous studies indicated that there are many similarities in the neurobiology of behavior and substance addictions. Up to date, although individuals with IAD have difficulty in suppressing their excessive online behaviors in real life, little is known about the patho-physiological and cognitive mechanisms responsible for IAD. Neuropsychological test studies have contributed significantly to our understanding of the effect of IAD on the cognitive function. The purpose of the present study was to examine whether Internet addictive individuals share impulsivity and executive dysfunction with alcohol-dependent individuals. Participants include 22 Internet addictive individuals, 22 patients with alcohol dependence (AD), and 22 normal controls (NC). All participants were measured with BIS-11, go/no-go task, Wisconsin Card Sorting Test, and Digit span task under the same experimental condition. Results showed that Barratt impulsiveness scale 11 scores, false alarm rate, the total response errors, perseverative errors, failure to maintain set of IAD and AD group were significantly higher than that of NC group, and hit rate, percentage of conceptual level responses, the number of categories completed, forwards scores, and backwards scores of IAD and AD group were significantly lower than that of NC group, however, no differences in above variables between IAD group and AD group were observed. These results revealed that the existence of impulsivity, deficiencies in executive function and working memory in an IAD and an AD sample, namely, Internet addictive individuals share impulsivity and executive dysfunction with alcohol-dependent patients.","author":[{"dropping-particle":"","family":"Zhou","given":"Zhenhe","non-dropping-particle":"","parse-names":false,"suffix":""},{"dropping-particle":"","family":"Zhu","given":"Hongmei","non-dropping-particle":"","parse-names":false,"suffix":""},{"dropping-particle":"","family":"Li","given":"Cui","non-dropping-particle":"","parse-names":false,"suffix":""},{"dropping-particle":"","family":"Wang","given":"Jun","non-dropping-particle":"","parse-names":false,"suffix":""}],"container-title":"Frontiers in behavioral neuroscience","id":"ITEM-37","issue":"August","issued":{"date-parts":[["2014"]]},"page":"288","title":"Internet addictive individuals share impulsivity and executive dysfunction with alcohol-dependent patients.","type":"article-journal","volume":"8"},"uris":["http://www.mendeley.com/documents/?uuid=4d005d3f-0003-409b-933a-3e2dbc92efba"]},{"id":"ITEM-38","itemData":{"DOI":"10.1556/2006.5.2016.052","ISBN":"2062-5871","ISSN":"2062-5871","PMID":"27554505","abstract":"Background and aims: Addiction has been reliably associated with biased emotional reactions to risky choices. Problematic Internet use (PIU) is a relatively new concept and its classification as an addiction is debated. Implicit emotional responses were measured in individuals expressing nonproblematic and problematic Internet behaviors while they made risky/ambiguous decisions to explore whether they showed similar responses to those found in agreed-upon addictions. Methods: The design of the study was cross sectional. Participants were adult Internet users (N = 72). All testing took place in the Psychophysics Laboratory at the University of Bath, UK. Participants were given the Iowa Gambling Task (IGT) which provides an index of an individual's ability to process and learn probabilities of reward and loss. Integration of emotions into current decision-making frameworks is vital for optimal performance on the IGT and thus, skin conductance responses (SCRs) to reward, punishment, and in anticipation of both were measured to assess emotional function. Results: Performance on the IGT did not differ between the groups of Internet users. However, problematic Internet users expressed increased sensitivity to punishment as revealed by stronger SCRs to trials with higher punishment magnitude. Discussion and conclusions: PIU seems to differ on behavioral and physiological levels with other addictions. However, our data imply that problematic Internet users were more risk-sensitive, which is a suggestion that needs to be incorporated into in any measure and, potentially, any intervention for PIU.","author":[{"dropping-particle":"","family":"Nikolaidou","given":"Maria","non-dropping-particle":"","parse-names":false,"suffix":""},{"dropping-particle":"","family":"Fraser","given":"Danaë Stanton","non-dropping-particle":"","parse-names":false,"suffix":""},{"dropping-particle":"","family":"Hinvest","given":"Neal","non-dropping-particle":"","parse-names":false,"suffix":""}],"container-title":"Journal of Behavioral Addictions","id":"ITEM-38","issue":"3","issued":{"date-parts":[["2016"]]},"page":"510-517","title":"Physiological markers of biased decision-making in problematic Internet users","type":"article-journal","volume":"5"},"uris":["http://www.mendeley.com/documents/?uuid=23f20592-d1ec-4715-b2bf-dc8527fcef18"]},{"id":"ITEM-39","itemData":{"DOI":"10.1111/j.1601-5215.2010.00444.x","ISBN":"09242708","ISSN":"16015215","PMID":"26952833","abstract":"Objective: The purpose of this study was to investigate deficient inhibitory control in individuals with pathological Internet use (PIU) using a visual go/no-go task by event-related potentials (ERPs). Methods: Subjects were 26 individuals with PIU and 26 controls. Barratt Impulsiveness Scale-11 (BIS-11) was used for measures of impulsivity. A go/no-go task involved eight different two-digit numerical stimuli. The response window was 1000 ms and the inter-trial-interval (ITI) was 1500 ms. Electroencephalography (EEG) was recorded when participants performed the task. Brain electrical source analysis (BESA) 5.2.0 was used to perform data analysis and the no-go N2 amplitude was analysed for investigation of inhibitory control. Results: BIS-11 total scores, attentional key and motor key scores in PIU group were higher than that of the control group. In the go/no-go task, false alarm rate of PIU group was higher, and hit rate was lower than that of the control group. A repeated measure ANOVA revealed a significant group, frontal electrode sites and group x frontal electrode sites main effect for N2 amplitudes of no-go conditions (for group: F = 3953, df = 1, p = 0.000; for frontal electrode sites: F = 541, df = 9, p = 0.000; for group x frontal electrode sites: F = 306, df = 9, p = 0.000), and a significant group, central electrode sites and group x central electrode sites main effect for N2 amplitudes of no-go conditions (for group: F = 9074, df = 1, p = 0.000; for central electrode sites: F = 163, df = 2, p = 0.000; for group x central electrode sites: F = 73, df = 2, p = 0.000). N2 amplitudes of no-go conditions were lower than those at control group. Conclusions: Individuals with PIU were more impulsive than controls and shared neuropsychological and ERPs characteristics of compulsive-impulsive spectrum disorder, which supports that PIU is an impulse disorder or at least related to impulse control disorder. 2010 John Wiley &amp; Sons A/S.","author":[{"dropping-particle":"","family":"Zhou","given":"Zhen He","non-dropping-particle":"","parse-names":false,"suffix":""},{"dropping-particle":"","family":"Yuan","given":"Guo Zhen","non-dropping-particle":"","parse-names":false,"suffix":""},{"dropping-particle":"","family":"Yao","given":"Jian Jun","non-dropping-particle":"","parse-names":false,"suffix":""},{"dropping-particle":"","family":"Li","given":"Cui","non-dropping-particle":"","parse-names":false,"suffix":""},{"dropping-particle":"","family":"Cheng","given":"Zao Huo","non-dropping-particle":"","parse-names":false,"suffix":""}],"container-title":"Acta Neuropsychiatrica","id":"ITEM-39","issue":"5","issued":{"date-parts":[["2010"]]},"page":"228-236","title":"An event-related potential investigation of deficient inhibitory control in individuals with pathological Internet use","type":"article-journal","volume":"22"},"uris":["http://www.mendeley.com/documents/?uuid=86e49982-34f3-4ba7-8ffe-a85251d623a5"]},{"id":"ITEM-40","itemData":{"DOI":"10.3389/fnbeh.2015.00064","ISBN":"1662-5153","ISSN":"1662-5153","PMID":"25852507","abstract":"OBJECTIVE: Internet gaming disorder (IGD) has been investigated by many behavioral and neuroimaging studies, for it has became one of the main behavior disorders among adolescents. However, few studies focused on the relationship between alteration of gray matter volume (GMV) and cognitive control feature in IGD adolescents.\\n\\nMETHODS: Twenty-eight participants with IAD and twenty-eight healthy age and gender matched controls participated in the study. Brain morphology of adolescents with IGD and healthy controls was investigated using an optimized voxel-based morphometry (VBM) technique. Cognitive control performances were measured by Stroop task, and correlation analysis was performed between brain structural change and behavioral performance in IGD group.\\n\\nRESULTS: The results showed that GMV of the bilateral anterior cingulate cortex (ACC), precuneus, supplementary motor area (SMA), superior parietal cortex, left dorsal lateral prefrontal cortex (DLPFC), left insula, and bilateral cerebellum decreased in the IGD participants compared with healthy controls. Moreover, GMV of the ACC was negatively correlated with the incongruent response errors of Stroop task in IGD group.\\n\\nCONCLUSION: Our results suggest that the alteration of GMV is associated with the performance change of cognitive control in adolescents with IGD, which indicating substantial brain image effects induced by IGD.","author":[{"dropping-particle":"","family":"Wang","given":"Hongmei","non-dropping-particle":"","parse-names":false,"suffix":""},{"dropping-particle":"","family":"Jin","given":"Chenwang","non-dropping-particle":"","parse-names":false,"suffix":""},{"dropping-particle":"","family":"Yuan","given":"Kai","non-dropping-particle":"","parse-names":false,"suffix":""},{"dropping-particle":"","family":"Shakir","given":"Tahir Mehmood","non-dropping-particle":"","parse-names":false,"suffix":""},{"dropping-particle":"","family":"Mao","given":"Cuiping","non-dropping-particle":"","parse-names":false,"suffix":""},{"dropping-particle":"","family":"Niu","given":"Xuan","non-dropping-particle":"","parse-names":false,"suffix":""},{"dropping-particle":"","family":"Niu","given":"Chen","non-dropping-particle":"","parse-names":false,"suffix":""},{"dropping-particle":"","family":"Guo","given":"Liping","non-dropping-particle":"","parse-names":false,"suffix":""},{"dropping-particle":"","family":"Zhang","given":"Ming","non-dropping-particle":"","parse-names":false,"suffix":""}],"container-title":"Frontiers in behavioral neuroscience","id":"ITEM-40","issue":"March","issued":{"date-parts":[["2015"]]},"page":"64","title":"The alteration of gray matter volume and cognitive control in adolescents with internet gaming disorder.","type":"article-journal","volume":"9"},"uris":["http://www.mendeley.com/documents/?uuid=4f268423-22be-46b2-aa97-c7baa45d691d"]}],"mendeley":{"formattedCitation":"(Cai et al., 2016; Chamberlain, Redden, Leppink, &amp; Grant, 2017; C. Y. Chen et al., 2015; J. S. Choi et al., 2013, 2014; S.-W. Choi et al., 2014; Ding et al., 2014; G. Dong, Li, Wang, &amp; Potenza, 2017; Guangheng Dong, Hu, &amp; Lin, 2013; Guangheng Dong, Hu, Lin, &amp; Lu, 2013; Guangheng Dong, Huang, &amp; Du, 2011; Guangheng Dong, Lin, Zhou, &amp; Lu, 2014; Guangheng Dong, Lu, Zhou, &amp; Zhao, 2010; Guangheng Dong, Shen, Huang, &amp; Du, 2013; Guangheng Dong, Zhou, &amp; Zhao, 2011; Kim et al., 2017; C.-H. Ko et al., 2014; Li, Nan, et al., 2016; Li, Tian, et al., 2016; Lim et al., 2016; Lin, Zhou, Dong, &amp; Du, 2015; Littel et al., 2012; Liu et al., 2014; Lorenz et al., 2013; Luijten, Meerkerk, Franken, van de Wetering, &amp; Schoenmakers, 2015; Metcalf &amp; Pammer, 2014; Nikolaidou, Fraser, &amp; Hinvest, 2016; Pawlikowski &amp; Brand, 2011; Qi et al., 2015; Sun et al., 2009; H. Wang et al., 2015; L. Wang et al., 2016; Y. Wang et al., 2017; Xing et al., 2014; Yao et al., 2015; Yuan et al., 2016, 2017; Z. H. Zhou, Yuan, Yao, Li, &amp; Cheng, 2010; Z. Zhou, Zhou, &amp; Zhu, 2016; Z. Zhou, Zhu, Li, &amp; Wang, 2014)","plainTextFormattedCitation":"(Cai et al., 2016; Chamberlain, Redden, Leppink, &amp; Grant, 2017; C. Y. Chen et al., 2015; J. S. Choi et al., 2013, 2014; S.-W. Choi et al., 2014; Ding et al., 2014; G. Dong, Li, Wang, &amp; Potenza, 2017; Guangheng Dong, Hu, &amp; Lin, 2013; Guangheng Dong, Hu, Lin, &amp; Lu, 2013; Guangheng Dong, Huang, &amp; Du, 2011; Guangheng Dong, Lin, Zhou, &amp; Lu, 2014; Guangheng Dong, Lu, Zhou, &amp; Zhao, 2010; Guangheng Dong, Shen, Huang, &amp; Du, 2013; Guangheng Dong, Zhou, &amp; Zhao, 2011; Kim et al., 2017; C.-H. Ko et al., 2014; Li, Nan, et al., 2016; Li, Tian, et al., 2016; Lim et al., 2016; Lin, Zhou, Dong, &amp; Du, 2015; Littel et al., 2012; Liu et al., 2014; Lorenz et al., 2013; Luijten, Meerkerk, Franken, van de Wetering, &amp; Schoenmakers, 2015; Metcalf &amp; Pammer, 2014; Nikolaidou, Fraser, &amp; Hinvest, 2016; Pawlikowski &amp; Brand, 2011; Qi et al., 2015; Sun et al., 2009; H. Wang et al., 2015; L. Wang et al., 2016; Y. Wang et al., 2017; Xing et al., 2014; Yao et al., 2015; Yuan et al., 2016, 2017; Z. H. Zhou, Yuan, Yao, Li, &amp; Cheng, 2010; Z. Zhou, Zhou, &amp; Zhu, 2016; Z. Zhou, Zhu, Li, &amp; Wang, 2014)","previouslyFormattedCitation":"(Cai et al. 2016; Chamberlain et al. 2017; C. Y. Chen et al. 2015; J. S. Choi et al. 2013, 2014; S.-W. Choi et al. 2014; Ding et al. 2014; G. Dong et al. 2017; Guangheng Dong, Shen, et al. 2013; Guangheng Dong et al. 2010, 2014; Guangheng Dong, Hu, et al. 2013; Guangheng Dong, Hu, and Lin 2013; Guangheng Dong, Huang, and Du 2011; Guangheng Dong, Zhou, and Zhao 2011; Kim et al. 2017; C.-H. Ko et al. 2014; Li, Nan, et al. 2016; Li, Tian, et al. 2016; Lim et al. 2016; Lin et al. 2015; Littel et al. 2012; Liu et al. 2014; Lorenz et al. 2013; Luijten et al. 2015; Metcalf and Pammer 2014; Nikolaidou, Fraser, and Hinvest 2016; Pawlikowski and Brand 2011; Qi et al. 2015; Sun et al. 2009; H. Wang et al. 2015; L. Wang et al. 2016; Y. Wang et al. 2017; Xing et al. 2014; Yao et al. 2015; Yuan et al. 2016, 2017; Z. Zhou et al. 2014; Z. H. Zhou et al. 2010; Z. Zhou, Zhou, and Zhu 2016)"},"properties":{"noteIndex":0},"schema":"https://github.com/citation-style-language/schema/raw/master/csl-citation.json"}</w:instrText>
      </w:r>
      <w:r>
        <w:fldChar w:fldCharType="separate"/>
      </w:r>
      <w:r w:rsidR="00E67458" w:rsidRPr="00E67458">
        <w:rPr>
          <w:noProof/>
        </w:rPr>
        <w:t>(Cai et al., 2016; Chamberlain, Redden, Leppink, &amp; Grant, 2017; C. Y. Chen et al., 2015; J. S. Choi et al., 2013, 2014; S.-W. Choi et al., 2014; Ding et al., 2014; G. Dong, Li, Wang, &amp; Potenza, 2017; Guangheng Dong, Hu, &amp; Lin, 2013; Guangheng Dong, Hu, Lin, &amp; Lu, 2013; Guangheng Dong, Huang, &amp; Du, 2011; Guangheng Dong, Lin, Zhou, &amp; Lu, 2014; Guangheng Dong, Lu, Zhou, &amp; Zhao, 2010; Guangheng Dong, Shen, Huang, &amp; Du, 2013; Guangheng Dong, Zhou, &amp; Zhao, 2011; Kim et al., 2017; C.-H. Ko et al., 2014; Li, Nan, et al., 2016; Li, Tian, et al., 2016; Lim et al., 2016; Lin, Zhou, Dong, &amp; Du, 2015; Littel et al., 2012; Liu et al., 2014; Lorenz et al., 2013; Luijten, Meerkerk, Franken, van de Wetering, &amp; Schoenmakers, 2015; Metcalf &amp; Pammer, 2014; Nikolaidou, Fraser, &amp; Hinvest, 2016; Pawlikowski &amp; Brand, 2011; Qi et al., 2015; Sun et al., 2009; H. Wang et al., 2015; L. Wang et al., 2016; Y. Wang et al., 2017; Xing et al., 2014; Yao et al., 2015; Yuan et al., 2016, 2017; Z. H. Zhou, Yuan, Yao, Li, &amp; Cheng, 2010; Z. Zhou, Zhou, &amp; Zhu, 2016; Z. Zhou, Zhu, Li, &amp; Wang, 2014)</w:t>
      </w:r>
      <w:r>
        <w:fldChar w:fldCharType="end"/>
      </w:r>
      <w:r>
        <w:t>.</w:t>
      </w:r>
      <w:r w:rsidR="009F1888">
        <w:t xml:space="preserve"> </w:t>
      </w:r>
      <w:r w:rsidR="00B9679E" w:rsidRPr="006D6F15">
        <w:rPr>
          <w:b/>
        </w:rPr>
        <w:t>AEQ</w:t>
      </w:r>
      <w:r w:rsidR="00B9679E">
        <w:t xml:space="preserve">: </w:t>
      </w:r>
      <w:r w:rsidR="00B9679E" w:rsidRPr="009F1888">
        <w:t>Adolescent Expectancy Questionnaire</w:t>
      </w:r>
      <w:r w:rsidR="00B9679E">
        <w:t xml:space="preserve">; </w:t>
      </w:r>
      <w:r w:rsidR="00B9679E" w:rsidRPr="006D6F15">
        <w:rPr>
          <w:b/>
        </w:rPr>
        <w:t>CIAS:</w:t>
      </w:r>
      <w:r w:rsidR="00B9679E">
        <w:t xml:space="preserve"> </w:t>
      </w:r>
      <w:r w:rsidR="00B9679E" w:rsidRPr="009F1888">
        <w:t>Chen Internet Addiction Scal</w:t>
      </w:r>
      <w:r w:rsidR="00B9679E">
        <w:t xml:space="preserve">e; </w:t>
      </w:r>
      <w:r w:rsidR="00B9679E" w:rsidRPr="006D6F15">
        <w:rPr>
          <w:b/>
        </w:rPr>
        <w:t>DCIA-C:</w:t>
      </w:r>
      <w:r w:rsidR="00B9679E">
        <w:t xml:space="preserve"> Diagnostic </w:t>
      </w:r>
      <w:r w:rsidR="00B9679E" w:rsidRPr="009F1888">
        <w:t>Criteria for Internet Addiction for College Students</w:t>
      </w:r>
      <w:r w:rsidR="00B9679E">
        <w:t xml:space="preserve">; </w:t>
      </w:r>
      <w:r w:rsidR="00B9679E" w:rsidRPr="006D6F15">
        <w:rPr>
          <w:b/>
        </w:rPr>
        <w:t>DSM:</w:t>
      </w:r>
      <w:r w:rsidR="00B9679E">
        <w:t xml:space="preserve"> Diagnostic and statistical Manual</w:t>
      </w:r>
      <w:r w:rsidR="00B9679E" w:rsidRPr="006D6F15">
        <w:t xml:space="preserve">; </w:t>
      </w:r>
      <w:r w:rsidR="00B9679E" w:rsidRPr="006D6F15">
        <w:rPr>
          <w:b/>
        </w:rPr>
        <w:t>IAT:</w:t>
      </w:r>
      <w:r w:rsidR="00B9679E">
        <w:t xml:space="preserve"> Young’s Internet addiction test; </w:t>
      </w:r>
      <w:r w:rsidR="00B9679E" w:rsidRPr="006D6F15">
        <w:rPr>
          <w:b/>
        </w:rPr>
        <w:t>YDQ:</w:t>
      </w:r>
      <w:r w:rsidR="00B9679E">
        <w:t xml:space="preserve"> Young’s diagnostic questionnaire; </w:t>
      </w:r>
      <w:r w:rsidR="009F1888" w:rsidRPr="006D6F15">
        <w:rPr>
          <w:b/>
        </w:rPr>
        <w:t>IADQ:</w:t>
      </w:r>
      <w:r w:rsidR="009F1888">
        <w:t xml:space="preserve"> </w:t>
      </w:r>
      <w:r w:rsidR="009F1888" w:rsidRPr="009F1888">
        <w:t>Young's Internet Addiction Diagnostic Questionnaire</w:t>
      </w:r>
      <w:r w:rsidR="00B9679E">
        <w:t xml:space="preserve">; </w:t>
      </w:r>
      <w:r w:rsidR="009F1888" w:rsidRPr="006D6F15">
        <w:rPr>
          <w:b/>
        </w:rPr>
        <w:t>PIU:</w:t>
      </w:r>
      <w:r w:rsidR="009F1888">
        <w:t xml:space="preserve"> Problematic internet use; </w:t>
      </w:r>
      <w:r w:rsidR="009F1888" w:rsidRPr="006D6F15">
        <w:rPr>
          <w:b/>
        </w:rPr>
        <w:t>VAT:</w:t>
      </w:r>
      <w:r w:rsidR="009F1888">
        <w:t xml:space="preserve"> Video game Addiction Test; </w:t>
      </w:r>
      <w:proofErr w:type="spellStart"/>
      <w:r w:rsidR="009F1888" w:rsidRPr="006D6F15">
        <w:rPr>
          <w:b/>
        </w:rPr>
        <w:t>WoWAI</w:t>
      </w:r>
      <w:proofErr w:type="spellEnd"/>
      <w:r w:rsidR="009F1888" w:rsidRPr="006D6F15">
        <w:rPr>
          <w:b/>
        </w:rPr>
        <w:t>:</w:t>
      </w:r>
      <w:r w:rsidR="009F1888">
        <w:t xml:space="preserve"> </w:t>
      </w:r>
      <w:r w:rsidR="009F1888" w:rsidRPr="009F1888">
        <w:t>World of</w:t>
      </w:r>
      <w:r w:rsidR="009F1888">
        <w:t xml:space="preserve"> </w:t>
      </w:r>
      <w:r w:rsidR="009F1888" w:rsidRPr="009F1888">
        <w:t>Warcraft Addiction Inventory</w:t>
      </w:r>
      <w:r w:rsidR="009F1888">
        <w:t>.</w:t>
      </w:r>
    </w:p>
    <w:p w14:paraId="31155F95" w14:textId="77777777" w:rsidR="00143CCA" w:rsidRDefault="00143CCA"/>
    <w:p w14:paraId="1C00A26F" w14:textId="77777777" w:rsidR="00CB212E" w:rsidRDefault="00CB212E">
      <w:pPr>
        <w:spacing w:line="259" w:lineRule="auto"/>
        <w:jc w:val="left"/>
        <w:rPr>
          <w:rFonts w:asciiTheme="majorHAnsi" w:eastAsiaTheme="majorEastAsia" w:hAnsiTheme="majorHAnsi" w:cstheme="majorBidi"/>
          <w:b/>
          <w:sz w:val="26"/>
          <w:szCs w:val="26"/>
        </w:rPr>
      </w:pPr>
      <w:r>
        <w:br w:type="page"/>
      </w:r>
    </w:p>
    <w:p w14:paraId="5ABE2482" w14:textId="77777777" w:rsidR="007A2FB9" w:rsidRDefault="007A2FB9" w:rsidP="007A2FB9">
      <w:pPr>
        <w:pStyle w:val="Heading1"/>
      </w:pPr>
      <w:r>
        <w:lastRenderedPageBreak/>
        <w:t>Discounting</w:t>
      </w:r>
    </w:p>
    <w:p w14:paraId="4B8B725B" w14:textId="30CE149B" w:rsidR="007A2FB9" w:rsidRDefault="007A2FB9" w:rsidP="007A2FB9">
      <w:r>
        <w:t xml:space="preserve">The probability discounting task is a paradigm to examine the decision-making features under risky circumstances. Pathological gamblers and participants with substance misuse have been shown to discount more steeply compared to controls </w:t>
      </w:r>
      <w:r>
        <w:fldChar w:fldCharType="begin" w:fldLock="1"/>
      </w:r>
      <w:r w:rsidR="00E67458">
        <w:instrText>ADDIN CSL_CITATION {"citationItems":[{"id":"ITEM-1","itemData":{"DOI":"10.1037/a0024782","ISSN":"1939-1846","PMID":"21842965","abstract":"Individuals with addictive disorders, including substance abusers and pathological gamblers, discount or devalue rewards delayed in time more than controls. Theoretically, preference for probabilistic rewards is directly related to gambling, but limited empirical research has examined probabilistic discounting in individuals with pathological gambling. This study evaluated probability and delay discounting in treatment-seeking pathological gamblers and their association with gambling treatment outcomes during and after treatment. At time of treatment entry, 226 pathological gamblers completed probability and delay discounting tasks. They were then randomized to one of three treatment conditions, and gambling behavior was measured throughout treatment and at a 1-year follow-up assessment. After controlling for possibly confounding variables and treatment condition, more shallow probability discounting was associated with greater reductions in amounts wagered during treatment and likelihood of gambling abstinence at the end of treatment and throughout the follow-up period. No associations were noted between delay discounting and gambling treatment outcomes. These data suggest that probability discounting may be an important construct in understanding pathological gambling and its treatment.","author":[{"dropping-particle":"","family":"Petry","given":"Nancy M.","non-dropping-particle":"","parse-names":false,"suffix":""}],"container-title":"Journal of Abnormal Psychology","id":"ITEM-1","issue":"1","issued":{"date-parts":[["2012","2"]]},"page":"151-159","title":"Discounting of probabilistic rewards is associated with gambling abstinence in treatment-seeking pathological gamblers.","type":"article-journal","volume":"121"},"uris":["http://www.mendeley.com/documents/?uuid=1953e6a5-463e-3330-a464-338f12043c54"]},{"id":"ITEM-2","itemData":{"DOI":"10.1037/a0016806","ISSN":"1936-2293","PMID":"19803627","abstract":"Nineteen treatment-seeking men meeting Diagnostic and Statistical Manual for Mental Disorders (4th ed.) criteria for pathological gambling and 19 demographically matched controls participated. Participants provided demographic information, information about their recent drug use and gambling activities, and biological samples (to confirm drug abstinence). They also completed the Eysenck Personality Questionnaire, the South Oaks Gambling Screen (SOGS), and 2 questionnaires designed to separately quantify probability and delay discounting. Pathological gamblers discounted probabilistic rewards significantly less steeply than matched controls. A significant correlation revealed that more shallow probability discounting was associated with higher SOGS scores. Across groups, there was no significant difference in delay discounting, although this difference approached significance when education and ethnicity were included as covariates. These findings, collected for the 1st time with pathological gamblers, are consistent with previous reports that problem-gambling college students discount probabilistic rewards less steeply than controls. The nature of the relation between probability discounting and severity of problem gambling is deserving of further study.","author":[{"dropping-particle":"","family":"Madden","given":"Gregory J.","non-dropping-particle":"","parse-names":false,"suffix":""},{"dropping-particle":"","family":"Petry","given":"Nancy M.","non-dropping-particle":"","parse-names":false,"suffix":""},{"dropping-particle":"","family":"Johnson","given":"Patrick S.","non-dropping-particle":"","parse-names":false,"suffix":""}],"container-title":"Experimental and Clinical Psychopharmacology","id":"ITEM-2","issue":"5","issued":{"date-parts":[["2009","10"]]},"page":"283-290","title":"Pathological gamblers discount probabilistic rewards less steeply than matched controls.","type":"article-journal","volume":"17"},"uris":["http://www.mendeley.com/documents/?uuid=7706b48c-d275-3c3b-9db3-c53198cef37e"]}],"mendeley":{"formattedCitation":"(Madden, Petry, &amp; Johnson, 2009; Petry, 2012)","plainTextFormattedCitation":"(Madden, Petry, &amp; Johnson, 2009; Petry, 2012)","previouslyFormattedCitation":"(Madden, Petry, and Johnson 2009; Petry 2012)"},"properties":{"noteIndex":0},"schema":"https://github.com/citation-style-language/schema/raw/master/csl-citation.json"}</w:instrText>
      </w:r>
      <w:r>
        <w:fldChar w:fldCharType="separate"/>
      </w:r>
      <w:r w:rsidR="00E67458" w:rsidRPr="00E67458">
        <w:rPr>
          <w:noProof/>
        </w:rPr>
        <w:t>(Madden, Petry, &amp; Johnson, 2009; Petry, 2012)</w:t>
      </w:r>
      <w:r>
        <w:fldChar w:fldCharType="end"/>
      </w:r>
      <w:r>
        <w:t xml:space="preserve">. The preferred metric used in the meta-analysis was </w:t>
      </w:r>
      <w:proofErr w:type="gramStart"/>
      <w:r>
        <w:t>log(</w:t>
      </w:r>
      <w:proofErr w:type="gramEnd"/>
      <w:r w:rsidRPr="005E5172">
        <w:t>h</w:t>
      </w:r>
      <w:r>
        <w:t xml:space="preserve">), in which </w:t>
      </w:r>
      <w:r w:rsidRPr="005E5172">
        <w:t>smaller value</w:t>
      </w:r>
      <w:r>
        <w:t xml:space="preserve">s indicate greater risk seeking. Where this metric was not available, the metric </w:t>
      </w:r>
      <w:proofErr w:type="gramStart"/>
      <w:r>
        <w:t>log(</w:t>
      </w:r>
      <w:proofErr w:type="gramEnd"/>
      <w:r>
        <w:t xml:space="preserve">k) was used, in which higher values indicated greater risk seeking. </w:t>
      </w:r>
    </w:p>
    <w:p w14:paraId="3FAEF2D0" w14:textId="3D91493D" w:rsidR="007A2FB9" w:rsidRPr="00415B3C" w:rsidRDefault="007A2FB9" w:rsidP="007A2FB9">
      <w:r>
        <w:t>We identified four studies assessing cognitive performance in internet addiction which were in scope, and according to our eligibility protocol we would have included the cognitive domain together with the remaining of the analysis. However, we encountered a number of problems during meta-analysing those studies. First, data (appropriate cognitive measures means and standard deviations) had to be extracted from graphs, which were unclear on which metric they represented; this adds an extra measurement error to our analysis. Second, the high homogeneity in conjunction with the similar demographic and performance data suggested some overlap of healthy control participants between studies included, which would be another statistical issue that would add uncertainty to the results. Finally, the low number of studies in conjunction with small study size led to publication bias. Moderator analysis had some difficulties because d</w:t>
      </w:r>
      <w:r w:rsidRPr="00D667A2">
        <w:t>iscounting studies had only been performed in Asian youth</w:t>
      </w:r>
      <w:r>
        <w:t>.</w:t>
      </w:r>
      <w:r w:rsidRPr="00D667A2">
        <w:t xml:space="preserve"> </w:t>
      </w:r>
      <w:r>
        <w:t xml:space="preserve">Overall, we considered the domain of discounting still relatively unexplored and unclear whether confident conclusions can be drawn from this analysis. Therefore, the results are presented here, with the aforementioned caveats.  </w:t>
      </w:r>
    </w:p>
    <w:p w14:paraId="35A5E2AA" w14:textId="583205BF" w:rsidR="007A2FB9" w:rsidRPr="00751976" w:rsidRDefault="007A2FB9" w:rsidP="00536865">
      <w:pPr>
        <w:pStyle w:val="Heading2"/>
      </w:pPr>
      <w:r>
        <w:t>Figure S</w:t>
      </w:r>
      <w:r>
        <w:t>3</w:t>
      </w:r>
      <w:r>
        <w:t xml:space="preserve"> – Forest plot of discounting studies</w:t>
      </w:r>
    </w:p>
    <w:p w14:paraId="37F56A13" w14:textId="77777777" w:rsidR="007A2FB9" w:rsidRDefault="007A2FB9" w:rsidP="007A2FB9">
      <w:pPr>
        <w:jc w:val="center"/>
      </w:pPr>
      <w:r>
        <w:rPr>
          <w:noProof/>
          <w:lang w:eastAsia="en-GB"/>
        </w:rPr>
        <w:drawing>
          <wp:inline distT="0" distB="0" distL="0" distR="0" wp14:anchorId="00C14DAC" wp14:editId="12CD7091">
            <wp:extent cx="5731510" cy="25146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tiff"/>
                    <pic:cNvPicPr/>
                  </pic:nvPicPr>
                  <pic:blipFill rotWithShape="1">
                    <a:blip r:embed="rId7">
                      <a:extLst>
                        <a:ext uri="{28A0092B-C50C-407E-A947-70E740481C1C}">
                          <a14:useLocalDpi xmlns:a14="http://schemas.microsoft.com/office/drawing/2010/main" val="0"/>
                        </a:ext>
                      </a:extLst>
                    </a:blip>
                    <a:srcRect t="23932" b="5867"/>
                    <a:stretch/>
                  </pic:blipFill>
                  <pic:spPr bwMode="auto">
                    <a:xfrm>
                      <a:off x="0" y="0"/>
                      <a:ext cx="5731510" cy="2514600"/>
                    </a:xfrm>
                    <a:prstGeom prst="rect">
                      <a:avLst/>
                    </a:prstGeom>
                    <a:ln>
                      <a:noFill/>
                    </a:ln>
                    <a:extLst>
                      <a:ext uri="{53640926-AAD7-44D8-BBD7-CCE9431645EC}">
                        <a14:shadowObscured xmlns:a14="http://schemas.microsoft.com/office/drawing/2010/main"/>
                      </a:ext>
                    </a:extLst>
                  </pic:spPr>
                </pic:pic>
              </a:graphicData>
            </a:graphic>
          </wp:inline>
        </w:drawing>
      </w:r>
    </w:p>
    <w:p w14:paraId="5CF33E55" w14:textId="77777777" w:rsidR="007A2FB9" w:rsidRDefault="007A2FB9" w:rsidP="007A2FB9">
      <w:r w:rsidRPr="00415B3C">
        <w:rPr>
          <w:b/>
        </w:rPr>
        <w:lastRenderedPageBreak/>
        <w:t>Legend</w:t>
      </w:r>
      <w:r>
        <w:t xml:space="preserve">: Forest plot showing the pooled estimate of discounting studies. Homogeneity measures were Tau^2(se): </w:t>
      </w:r>
      <w:r w:rsidRPr="00D667A2">
        <w:t>0.172 (0.220)</w:t>
      </w:r>
      <w:r>
        <w:t xml:space="preserve">; I^2: </w:t>
      </w:r>
      <w:r w:rsidRPr="00D667A2">
        <w:t>63.79%</w:t>
      </w:r>
      <w:r>
        <w:t xml:space="preserve">; Q-test p-value: </w:t>
      </w:r>
      <w:r w:rsidRPr="00D667A2">
        <w:t>0.040</w:t>
      </w:r>
      <w:r>
        <w:t xml:space="preserve"> (suggesting studies share a common effect size); Model estimate: 1.03</w:t>
      </w:r>
      <w:r w:rsidRPr="00D667A2">
        <w:t xml:space="preserve"> (0.26)</w:t>
      </w:r>
    </w:p>
    <w:p w14:paraId="7AAB1E23" w14:textId="46CF4782" w:rsidR="007A2FB9" w:rsidRPr="00751976" w:rsidRDefault="007A2FB9" w:rsidP="00536865">
      <w:pPr>
        <w:pStyle w:val="Heading2"/>
      </w:pPr>
      <w:r>
        <w:t>Figure S</w:t>
      </w:r>
      <w:r>
        <w:t>4</w:t>
      </w:r>
      <w:r>
        <w:t xml:space="preserve"> – Funnel plot of discounting studies</w:t>
      </w:r>
    </w:p>
    <w:p w14:paraId="11B02E10" w14:textId="77777777" w:rsidR="007A2FB9" w:rsidRDefault="007A2FB9" w:rsidP="007A2FB9">
      <w:pPr>
        <w:jc w:val="center"/>
      </w:pPr>
      <w:r>
        <w:rPr>
          <w:noProof/>
          <w:lang w:eastAsia="en-GB"/>
        </w:rPr>
        <w:drawing>
          <wp:inline distT="0" distB="0" distL="0" distR="0" wp14:anchorId="6E641D2D" wp14:editId="11C03D07">
            <wp:extent cx="4371975" cy="2914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_f.tiff"/>
                    <pic:cNvPicPr/>
                  </pic:nvPicPr>
                  <pic:blipFill>
                    <a:blip r:embed="rId8">
                      <a:extLst>
                        <a:ext uri="{28A0092B-C50C-407E-A947-70E740481C1C}">
                          <a14:useLocalDpi xmlns:a14="http://schemas.microsoft.com/office/drawing/2010/main" val="0"/>
                        </a:ext>
                      </a:extLst>
                    </a:blip>
                    <a:stretch>
                      <a:fillRect/>
                    </a:stretch>
                  </pic:blipFill>
                  <pic:spPr>
                    <a:xfrm>
                      <a:off x="0" y="0"/>
                      <a:ext cx="4397843" cy="2931895"/>
                    </a:xfrm>
                    <a:prstGeom prst="rect">
                      <a:avLst/>
                    </a:prstGeom>
                  </pic:spPr>
                </pic:pic>
              </a:graphicData>
            </a:graphic>
          </wp:inline>
        </w:drawing>
      </w:r>
    </w:p>
    <w:p w14:paraId="2EE3CD57" w14:textId="77777777" w:rsidR="007A2FB9" w:rsidRDefault="007A2FB9" w:rsidP="007A2FB9">
      <w:r w:rsidRPr="00751976">
        <w:rPr>
          <w:b/>
        </w:rPr>
        <w:t>Legend</w:t>
      </w:r>
      <w:r>
        <w:t>: Meta-analysis funnels plots by cognitive domain; ‘z’ and ‘p’ values reported from Regression Test for Funnel Plot Asymmetry (mixed-effects meta-regression model). Evidence of publication bias identified in the domain of Discounting (Egger’s test p&lt;0.01)</w:t>
      </w:r>
    </w:p>
    <w:p w14:paraId="5F6444DA" w14:textId="692EF6FC" w:rsidR="002E1969" w:rsidRDefault="002E1969" w:rsidP="00E21374">
      <w:pPr>
        <w:pStyle w:val="Heading1"/>
      </w:pPr>
      <w:r>
        <w:t>TABLE S</w:t>
      </w:r>
      <w:r w:rsidR="00536865">
        <w:t>5</w:t>
      </w:r>
      <w:r>
        <w:t xml:space="preserve"> – Heterogeneity and model estimate measures for different cognitive domains</w:t>
      </w:r>
    </w:p>
    <w:tbl>
      <w:tblPr>
        <w:tblStyle w:val="TableGrid"/>
        <w:tblW w:w="9242" w:type="dxa"/>
        <w:jc w:val="center"/>
        <w:tblLayout w:type="fixed"/>
        <w:tblLook w:val="04A0" w:firstRow="1" w:lastRow="0" w:firstColumn="1" w:lastColumn="0" w:noHBand="0" w:noVBand="1"/>
      </w:tblPr>
      <w:tblGrid>
        <w:gridCol w:w="1743"/>
        <w:gridCol w:w="946"/>
        <w:gridCol w:w="1105"/>
        <w:gridCol w:w="1180"/>
        <w:gridCol w:w="677"/>
        <w:gridCol w:w="1261"/>
        <w:gridCol w:w="1560"/>
        <w:gridCol w:w="770"/>
      </w:tblGrid>
      <w:tr w:rsidR="002E1969" w14:paraId="0A2F2FA6" w14:textId="77777777" w:rsidTr="00EC410D">
        <w:trPr>
          <w:jc w:val="center"/>
        </w:trPr>
        <w:tc>
          <w:tcPr>
            <w:tcW w:w="1743" w:type="dxa"/>
            <w:shd w:val="clear" w:color="auto" w:fill="E7E6E6" w:themeFill="background2"/>
          </w:tcPr>
          <w:p w14:paraId="24B258CE" w14:textId="77777777" w:rsidR="002E1969" w:rsidRPr="00A036B2" w:rsidRDefault="002E1969" w:rsidP="000E1816">
            <w:pPr>
              <w:spacing w:line="240" w:lineRule="auto"/>
              <w:rPr>
                <w:b/>
                <w:sz w:val="20"/>
                <w:szCs w:val="20"/>
              </w:rPr>
            </w:pPr>
            <w:r w:rsidRPr="00A036B2">
              <w:rPr>
                <w:b/>
                <w:sz w:val="20"/>
                <w:szCs w:val="20"/>
              </w:rPr>
              <w:t>Domain</w:t>
            </w:r>
          </w:p>
        </w:tc>
        <w:tc>
          <w:tcPr>
            <w:tcW w:w="946" w:type="dxa"/>
            <w:shd w:val="clear" w:color="auto" w:fill="E7E6E6" w:themeFill="background2"/>
          </w:tcPr>
          <w:p w14:paraId="6905A91B" w14:textId="77777777" w:rsidR="002E1969" w:rsidRPr="00A036B2" w:rsidRDefault="002E1969" w:rsidP="000E1816">
            <w:pPr>
              <w:spacing w:line="240" w:lineRule="auto"/>
              <w:jc w:val="center"/>
              <w:rPr>
                <w:b/>
                <w:sz w:val="20"/>
                <w:szCs w:val="20"/>
              </w:rPr>
            </w:pPr>
            <w:r w:rsidRPr="00A036B2">
              <w:rPr>
                <w:b/>
                <w:sz w:val="20"/>
                <w:szCs w:val="20"/>
              </w:rPr>
              <w:t>N studies</w:t>
            </w:r>
          </w:p>
        </w:tc>
        <w:tc>
          <w:tcPr>
            <w:tcW w:w="1105" w:type="dxa"/>
            <w:shd w:val="clear" w:color="auto" w:fill="E7E6E6" w:themeFill="background2"/>
          </w:tcPr>
          <w:p w14:paraId="19355B96" w14:textId="77777777" w:rsidR="002E1969" w:rsidRPr="00A036B2" w:rsidRDefault="002E1969" w:rsidP="000E1816">
            <w:pPr>
              <w:spacing w:line="240" w:lineRule="auto"/>
              <w:jc w:val="center"/>
              <w:rPr>
                <w:b/>
                <w:sz w:val="20"/>
                <w:szCs w:val="20"/>
              </w:rPr>
            </w:pPr>
            <w:r w:rsidRPr="00A036B2">
              <w:rPr>
                <w:b/>
                <w:sz w:val="20"/>
                <w:szCs w:val="20"/>
              </w:rPr>
              <w:t>tau^2 (se)</w:t>
            </w:r>
          </w:p>
        </w:tc>
        <w:tc>
          <w:tcPr>
            <w:tcW w:w="1180" w:type="dxa"/>
            <w:shd w:val="clear" w:color="auto" w:fill="E7E6E6" w:themeFill="background2"/>
          </w:tcPr>
          <w:p w14:paraId="2F0736C0" w14:textId="77777777" w:rsidR="002E1969" w:rsidRPr="00A036B2" w:rsidRDefault="002E1969" w:rsidP="000E1816">
            <w:pPr>
              <w:spacing w:line="240" w:lineRule="auto"/>
              <w:jc w:val="center"/>
              <w:rPr>
                <w:b/>
                <w:sz w:val="20"/>
                <w:szCs w:val="20"/>
              </w:rPr>
            </w:pPr>
            <w:r w:rsidRPr="00A036B2">
              <w:rPr>
                <w:b/>
                <w:sz w:val="20"/>
                <w:szCs w:val="20"/>
              </w:rPr>
              <w:t>I^2</w:t>
            </w:r>
          </w:p>
        </w:tc>
        <w:tc>
          <w:tcPr>
            <w:tcW w:w="677" w:type="dxa"/>
            <w:shd w:val="clear" w:color="auto" w:fill="E7E6E6" w:themeFill="background2"/>
          </w:tcPr>
          <w:p w14:paraId="42CC3280" w14:textId="77777777" w:rsidR="002E1969" w:rsidRPr="00A036B2" w:rsidRDefault="002E1969" w:rsidP="000E1816">
            <w:pPr>
              <w:spacing w:line="240" w:lineRule="auto"/>
              <w:jc w:val="center"/>
              <w:rPr>
                <w:b/>
                <w:sz w:val="20"/>
                <w:szCs w:val="20"/>
              </w:rPr>
            </w:pPr>
            <w:r w:rsidRPr="00A036B2">
              <w:rPr>
                <w:b/>
                <w:sz w:val="20"/>
                <w:szCs w:val="20"/>
              </w:rPr>
              <w:t>H^2</w:t>
            </w:r>
          </w:p>
        </w:tc>
        <w:tc>
          <w:tcPr>
            <w:tcW w:w="1261" w:type="dxa"/>
            <w:shd w:val="clear" w:color="auto" w:fill="E7E6E6" w:themeFill="background2"/>
          </w:tcPr>
          <w:p w14:paraId="2EBA2EAB" w14:textId="77777777" w:rsidR="002E1969" w:rsidRPr="00A036B2" w:rsidRDefault="002E1969" w:rsidP="000E1816">
            <w:pPr>
              <w:spacing w:line="240" w:lineRule="auto"/>
              <w:jc w:val="center"/>
              <w:rPr>
                <w:b/>
                <w:sz w:val="20"/>
                <w:szCs w:val="20"/>
              </w:rPr>
            </w:pPr>
            <w:r w:rsidRPr="00A036B2">
              <w:rPr>
                <w:b/>
                <w:sz w:val="20"/>
                <w:szCs w:val="20"/>
              </w:rPr>
              <w:t xml:space="preserve">Q-test </w:t>
            </w:r>
          </w:p>
          <w:p w14:paraId="379D2B9D" w14:textId="77777777" w:rsidR="002E1969" w:rsidRPr="00A036B2" w:rsidRDefault="002E1969" w:rsidP="000E1816">
            <w:pPr>
              <w:spacing w:line="240" w:lineRule="auto"/>
              <w:jc w:val="center"/>
              <w:rPr>
                <w:b/>
                <w:sz w:val="20"/>
                <w:szCs w:val="20"/>
              </w:rPr>
            </w:pPr>
            <w:r w:rsidRPr="00A036B2">
              <w:rPr>
                <w:b/>
                <w:sz w:val="20"/>
                <w:szCs w:val="20"/>
              </w:rPr>
              <w:t>(p value)</w:t>
            </w:r>
            <w:r w:rsidRPr="00A036B2">
              <w:rPr>
                <w:rFonts w:cstheme="minorHAnsi"/>
                <w:sz w:val="20"/>
                <w:szCs w:val="20"/>
              </w:rPr>
              <w:t xml:space="preserve"> †</w:t>
            </w:r>
          </w:p>
        </w:tc>
        <w:tc>
          <w:tcPr>
            <w:tcW w:w="1560" w:type="dxa"/>
            <w:shd w:val="clear" w:color="auto" w:fill="E7E6E6" w:themeFill="background2"/>
          </w:tcPr>
          <w:p w14:paraId="239F098B" w14:textId="77777777" w:rsidR="002E1969" w:rsidRPr="00A036B2" w:rsidRDefault="002E1969" w:rsidP="000E1816">
            <w:pPr>
              <w:spacing w:line="240" w:lineRule="auto"/>
              <w:jc w:val="center"/>
              <w:rPr>
                <w:b/>
                <w:sz w:val="20"/>
                <w:szCs w:val="20"/>
              </w:rPr>
            </w:pPr>
            <w:r w:rsidRPr="00A036B2">
              <w:rPr>
                <w:b/>
                <w:sz w:val="20"/>
                <w:szCs w:val="20"/>
              </w:rPr>
              <w:t>Model Estimate (se)</w:t>
            </w:r>
          </w:p>
        </w:tc>
        <w:tc>
          <w:tcPr>
            <w:tcW w:w="770" w:type="dxa"/>
            <w:shd w:val="clear" w:color="auto" w:fill="E7E6E6" w:themeFill="background2"/>
          </w:tcPr>
          <w:p w14:paraId="273DD55E" w14:textId="77777777" w:rsidR="002E1969" w:rsidRPr="00A036B2" w:rsidRDefault="002E1969" w:rsidP="000E1816">
            <w:pPr>
              <w:spacing w:line="240" w:lineRule="auto"/>
              <w:jc w:val="center"/>
              <w:rPr>
                <w:b/>
                <w:sz w:val="20"/>
                <w:szCs w:val="20"/>
              </w:rPr>
            </w:pPr>
            <w:r w:rsidRPr="00A036B2">
              <w:rPr>
                <w:b/>
                <w:sz w:val="20"/>
                <w:szCs w:val="20"/>
              </w:rPr>
              <w:t>sig.</w:t>
            </w:r>
          </w:p>
        </w:tc>
      </w:tr>
      <w:tr w:rsidR="002E1969" w14:paraId="2E885574" w14:textId="77777777" w:rsidTr="00EC410D">
        <w:trPr>
          <w:jc w:val="center"/>
        </w:trPr>
        <w:tc>
          <w:tcPr>
            <w:tcW w:w="1743" w:type="dxa"/>
            <w:shd w:val="clear" w:color="auto" w:fill="F2F2F2" w:themeFill="background1" w:themeFillShade="F2"/>
          </w:tcPr>
          <w:p w14:paraId="4F43A522" w14:textId="77777777" w:rsidR="002E1969" w:rsidRPr="00A036B2" w:rsidRDefault="002E1969" w:rsidP="000E1816">
            <w:pPr>
              <w:rPr>
                <w:b/>
                <w:sz w:val="20"/>
                <w:szCs w:val="20"/>
              </w:rPr>
            </w:pPr>
            <w:r w:rsidRPr="00A036B2">
              <w:rPr>
                <w:b/>
                <w:sz w:val="20"/>
                <w:szCs w:val="20"/>
              </w:rPr>
              <w:t>Attentional Inhibition (Stroop)</w:t>
            </w:r>
          </w:p>
        </w:tc>
        <w:tc>
          <w:tcPr>
            <w:tcW w:w="946" w:type="dxa"/>
          </w:tcPr>
          <w:p w14:paraId="7122DB2C" w14:textId="77777777" w:rsidR="002E1969" w:rsidRPr="00A036B2" w:rsidRDefault="002E1969" w:rsidP="000E1816">
            <w:pPr>
              <w:jc w:val="center"/>
              <w:rPr>
                <w:sz w:val="20"/>
                <w:szCs w:val="20"/>
              </w:rPr>
            </w:pPr>
            <w:r w:rsidRPr="00A036B2">
              <w:rPr>
                <w:sz w:val="20"/>
                <w:szCs w:val="20"/>
              </w:rPr>
              <w:t>16</w:t>
            </w:r>
          </w:p>
        </w:tc>
        <w:tc>
          <w:tcPr>
            <w:tcW w:w="1105" w:type="dxa"/>
          </w:tcPr>
          <w:p w14:paraId="613F0E4F" w14:textId="77777777" w:rsidR="002E1969" w:rsidRPr="00A036B2" w:rsidRDefault="002E1969" w:rsidP="000E1816">
            <w:pPr>
              <w:jc w:val="center"/>
              <w:rPr>
                <w:sz w:val="20"/>
                <w:szCs w:val="20"/>
              </w:rPr>
            </w:pPr>
            <w:r w:rsidRPr="00A036B2">
              <w:rPr>
                <w:sz w:val="20"/>
                <w:szCs w:val="20"/>
              </w:rPr>
              <w:t>0.381 (0.178)</w:t>
            </w:r>
          </w:p>
        </w:tc>
        <w:tc>
          <w:tcPr>
            <w:tcW w:w="1180" w:type="dxa"/>
          </w:tcPr>
          <w:p w14:paraId="4B14D91F" w14:textId="77777777" w:rsidR="002E1969" w:rsidRPr="00A036B2" w:rsidRDefault="002E1969" w:rsidP="000E1816">
            <w:pPr>
              <w:jc w:val="center"/>
              <w:rPr>
                <w:sz w:val="20"/>
                <w:szCs w:val="20"/>
              </w:rPr>
            </w:pPr>
            <w:r w:rsidRPr="00A036B2">
              <w:rPr>
                <w:sz w:val="20"/>
                <w:szCs w:val="20"/>
              </w:rPr>
              <w:t>79.72%</w:t>
            </w:r>
          </w:p>
        </w:tc>
        <w:tc>
          <w:tcPr>
            <w:tcW w:w="677" w:type="dxa"/>
          </w:tcPr>
          <w:p w14:paraId="79DA4DBB" w14:textId="77777777" w:rsidR="002E1969" w:rsidRPr="00A036B2" w:rsidRDefault="002E1969" w:rsidP="000E1816">
            <w:pPr>
              <w:jc w:val="center"/>
              <w:rPr>
                <w:sz w:val="20"/>
                <w:szCs w:val="20"/>
              </w:rPr>
            </w:pPr>
            <w:r w:rsidRPr="00A036B2">
              <w:rPr>
                <w:sz w:val="20"/>
                <w:szCs w:val="20"/>
              </w:rPr>
              <w:t>4.93</w:t>
            </w:r>
          </w:p>
        </w:tc>
        <w:tc>
          <w:tcPr>
            <w:tcW w:w="1261" w:type="dxa"/>
          </w:tcPr>
          <w:p w14:paraId="46E4E61C" w14:textId="77777777" w:rsidR="002E1969" w:rsidRPr="00A036B2" w:rsidRDefault="002E1969" w:rsidP="000E1816">
            <w:pPr>
              <w:jc w:val="center"/>
              <w:rPr>
                <w:sz w:val="20"/>
                <w:szCs w:val="20"/>
              </w:rPr>
            </w:pPr>
            <w:r w:rsidRPr="00A036B2">
              <w:rPr>
                <w:sz w:val="20"/>
                <w:szCs w:val="20"/>
              </w:rPr>
              <w:t xml:space="preserve"> &lt; .0001</w:t>
            </w:r>
          </w:p>
        </w:tc>
        <w:tc>
          <w:tcPr>
            <w:tcW w:w="1560" w:type="dxa"/>
          </w:tcPr>
          <w:p w14:paraId="565C9EA8" w14:textId="77777777" w:rsidR="002E1969" w:rsidRPr="00A036B2" w:rsidRDefault="002E1969" w:rsidP="000E1816">
            <w:pPr>
              <w:jc w:val="center"/>
              <w:rPr>
                <w:sz w:val="20"/>
                <w:szCs w:val="20"/>
              </w:rPr>
            </w:pPr>
            <w:r w:rsidRPr="00A036B2">
              <w:rPr>
                <w:sz w:val="20"/>
                <w:szCs w:val="20"/>
              </w:rPr>
              <w:t>0.53 (0.175)</w:t>
            </w:r>
          </w:p>
        </w:tc>
        <w:tc>
          <w:tcPr>
            <w:tcW w:w="770" w:type="dxa"/>
          </w:tcPr>
          <w:p w14:paraId="3A3F6EBF" w14:textId="77777777" w:rsidR="002E1969" w:rsidRPr="00A036B2" w:rsidRDefault="002E1969" w:rsidP="000E1816">
            <w:pPr>
              <w:jc w:val="center"/>
              <w:rPr>
                <w:sz w:val="20"/>
                <w:szCs w:val="20"/>
              </w:rPr>
            </w:pPr>
            <w:r w:rsidRPr="00A036B2">
              <w:rPr>
                <w:sz w:val="20"/>
                <w:szCs w:val="20"/>
              </w:rPr>
              <w:t>**</w:t>
            </w:r>
          </w:p>
        </w:tc>
      </w:tr>
      <w:tr w:rsidR="002E1969" w14:paraId="566A5074" w14:textId="77777777" w:rsidTr="00EC410D">
        <w:trPr>
          <w:jc w:val="center"/>
        </w:trPr>
        <w:tc>
          <w:tcPr>
            <w:tcW w:w="1743" w:type="dxa"/>
            <w:shd w:val="clear" w:color="auto" w:fill="F2F2F2" w:themeFill="background1" w:themeFillShade="F2"/>
          </w:tcPr>
          <w:p w14:paraId="3F43023B" w14:textId="77777777" w:rsidR="002E1969" w:rsidRPr="00A036B2" w:rsidRDefault="002E1969" w:rsidP="000E1816">
            <w:pPr>
              <w:rPr>
                <w:b/>
                <w:sz w:val="20"/>
                <w:szCs w:val="20"/>
              </w:rPr>
            </w:pPr>
            <w:r w:rsidRPr="00A036B2">
              <w:rPr>
                <w:b/>
                <w:sz w:val="20"/>
                <w:szCs w:val="20"/>
              </w:rPr>
              <w:t>Motor inhibitory control (GNG)</w:t>
            </w:r>
          </w:p>
        </w:tc>
        <w:tc>
          <w:tcPr>
            <w:tcW w:w="946" w:type="dxa"/>
          </w:tcPr>
          <w:p w14:paraId="08B96907" w14:textId="77777777" w:rsidR="002E1969" w:rsidRPr="00A036B2" w:rsidRDefault="002E1969" w:rsidP="000E1816">
            <w:pPr>
              <w:jc w:val="center"/>
              <w:rPr>
                <w:sz w:val="20"/>
                <w:szCs w:val="20"/>
              </w:rPr>
            </w:pPr>
            <w:r w:rsidRPr="00A036B2">
              <w:rPr>
                <w:sz w:val="20"/>
                <w:szCs w:val="20"/>
              </w:rPr>
              <w:t>14</w:t>
            </w:r>
          </w:p>
        </w:tc>
        <w:tc>
          <w:tcPr>
            <w:tcW w:w="1105" w:type="dxa"/>
          </w:tcPr>
          <w:p w14:paraId="4BFEF1FB" w14:textId="77777777" w:rsidR="002E1969" w:rsidRPr="00A036B2" w:rsidRDefault="002E1969" w:rsidP="000E1816">
            <w:pPr>
              <w:jc w:val="center"/>
              <w:rPr>
                <w:sz w:val="20"/>
                <w:szCs w:val="20"/>
              </w:rPr>
            </w:pPr>
            <w:r w:rsidRPr="00A036B2">
              <w:rPr>
                <w:sz w:val="20"/>
                <w:szCs w:val="20"/>
              </w:rPr>
              <w:t>0.124 (0.086)</w:t>
            </w:r>
          </w:p>
        </w:tc>
        <w:tc>
          <w:tcPr>
            <w:tcW w:w="1180" w:type="dxa"/>
          </w:tcPr>
          <w:p w14:paraId="0E960C1E" w14:textId="77777777" w:rsidR="002E1969" w:rsidRPr="00A036B2" w:rsidRDefault="002E1969" w:rsidP="000E1816">
            <w:pPr>
              <w:jc w:val="center"/>
              <w:rPr>
                <w:sz w:val="20"/>
                <w:szCs w:val="20"/>
              </w:rPr>
            </w:pPr>
            <w:r w:rsidRPr="00A036B2">
              <w:rPr>
                <w:sz w:val="20"/>
                <w:szCs w:val="20"/>
              </w:rPr>
              <w:t>57.77%</w:t>
            </w:r>
          </w:p>
        </w:tc>
        <w:tc>
          <w:tcPr>
            <w:tcW w:w="677" w:type="dxa"/>
          </w:tcPr>
          <w:p w14:paraId="2D5B9DE3" w14:textId="77777777" w:rsidR="002E1969" w:rsidRPr="00A036B2" w:rsidRDefault="002E1969" w:rsidP="000E1816">
            <w:pPr>
              <w:jc w:val="center"/>
              <w:rPr>
                <w:sz w:val="20"/>
                <w:szCs w:val="20"/>
              </w:rPr>
            </w:pPr>
            <w:r w:rsidRPr="00A036B2">
              <w:rPr>
                <w:sz w:val="20"/>
                <w:szCs w:val="20"/>
              </w:rPr>
              <w:t>2.37</w:t>
            </w:r>
          </w:p>
        </w:tc>
        <w:tc>
          <w:tcPr>
            <w:tcW w:w="1261" w:type="dxa"/>
          </w:tcPr>
          <w:p w14:paraId="2EC4CFC7" w14:textId="77777777" w:rsidR="002E1969" w:rsidRPr="00A036B2" w:rsidRDefault="002E1969" w:rsidP="000E1816">
            <w:pPr>
              <w:jc w:val="center"/>
              <w:rPr>
                <w:sz w:val="20"/>
                <w:szCs w:val="20"/>
              </w:rPr>
            </w:pPr>
            <w:r w:rsidRPr="00A036B2">
              <w:rPr>
                <w:sz w:val="20"/>
                <w:szCs w:val="20"/>
              </w:rPr>
              <w:t>&lt; .001</w:t>
            </w:r>
          </w:p>
        </w:tc>
        <w:tc>
          <w:tcPr>
            <w:tcW w:w="1560" w:type="dxa"/>
          </w:tcPr>
          <w:p w14:paraId="4F63D59E" w14:textId="77777777" w:rsidR="002E1969" w:rsidRPr="00A036B2" w:rsidRDefault="002E1969" w:rsidP="000E1816">
            <w:pPr>
              <w:jc w:val="center"/>
              <w:rPr>
                <w:sz w:val="20"/>
                <w:szCs w:val="20"/>
              </w:rPr>
            </w:pPr>
            <w:r w:rsidRPr="00A036B2">
              <w:rPr>
                <w:sz w:val="20"/>
                <w:szCs w:val="20"/>
              </w:rPr>
              <w:t>0.51 (0.167)</w:t>
            </w:r>
          </w:p>
        </w:tc>
        <w:tc>
          <w:tcPr>
            <w:tcW w:w="770" w:type="dxa"/>
          </w:tcPr>
          <w:p w14:paraId="4406DD73" w14:textId="77777777" w:rsidR="002E1969" w:rsidRPr="00A036B2" w:rsidRDefault="002E1969" w:rsidP="000E1816">
            <w:pPr>
              <w:jc w:val="center"/>
              <w:rPr>
                <w:sz w:val="20"/>
                <w:szCs w:val="20"/>
              </w:rPr>
            </w:pPr>
            <w:r w:rsidRPr="00A036B2">
              <w:rPr>
                <w:sz w:val="20"/>
                <w:szCs w:val="20"/>
              </w:rPr>
              <w:t>***</w:t>
            </w:r>
          </w:p>
        </w:tc>
      </w:tr>
      <w:tr w:rsidR="002E1969" w14:paraId="7AED0EC4" w14:textId="77777777" w:rsidTr="00EC410D">
        <w:trPr>
          <w:jc w:val="center"/>
        </w:trPr>
        <w:tc>
          <w:tcPr>
            <w:tcW w:w="1743" w:type="dxa"/>
            <w:shd w:val="clear" w:color="auto" w:fill="F2F2F2" w:themeFill="background1" w:themeFillShade="F2"/>
          </w:tcPr>
          <w:p w14:paraId="479D5D83" w14:textId="77777777" w:rsidR="002E1969" w:rsidRPr="00A036B2" w:rsidRDefault="002E1969" w:rsidP="000E1816">
            <w:pPr>
              <w:rPr>
                <w:b/>
                <w:sz w:val="20"/>
                <w:szCs w:val="20"/>
              </w:rPr>
            </w:pPr>
            <w:r w:rsidRPr="00A036B2">
              <w:rPr>
                <w:b/>
                <w:sz w:val="20"/>
                <w:szCs w:val="20"/>
              </w:rPr>
              <w:t>Motor inhibitory control (SST)</w:t>
            </w:r>
          </w:p>
        </w:tc>
        <w:tc>
          <w:tcPr>
            <w:tcW w:w="946" w:type="dxa"/>
          </w:tcPr>
          <w:p w14:paraId="7B194F97" w14:textId="77777777" w:rsidR="002E1969" w:rsidRPr="00A036B2" w:rsidRDefault="002E1969" w:rsidP="000E1816">
            <w:pPr>
              <w:jc w:val="center"/>
              <w:rPr>
                <w:sz w:val="20"/>
                <w:szCs w:val="20"/>
              </w:rPr>
            </w:pPr>
            <w:r w:rsidRPr="00A036B2">
              <w:rPr>
                <w:sz w:val="20"/>
                <w:szCs w:val="20"/>
              </w:rPr>
              <w:t>5</w:t>
            </w:r>
          </w:p>
        </w:tc>
        <w:tc>
          <w:tcPr>
            <w:tcW w:w="1105" w:type="dxa"/>
          </w:tcPr>
          <w:p w14:paraId="150F4E5E" w14:textId="77777777" w:rsidR="002E1969" w:rsidRPr="00A036B2" w:rsidRDefault="002E1969" w:rsidP="000E1816">
            <w:pPr>
              <w:jc w:val="center"/>
              <w:rPr>
                <w:sz w:val="20"/>
                <w:szCs w:val="20"/>
              </w:rPr>
            </w:pPr>
            <w:r w:rsidRPr="00A036B2">
              <w:rPr>
                <w:sz w:val="20"/>
                <w:szCs w:val="20"/>
              </w:rPr>
              <w:t>0.015 (0.054)</w:t>
            </w:r>
          </w:p>
        </w:tc>
        <w:tc>
          <w:tcPr>
            <w:tcW w:w="1180" w:type="dxa"/>
          </w:tcPr>
          <w:p w14:paraId="073E1F07" w14:textId="77777777" w:rsidR="002E1969" w:rsidRPr="00A036B2" w:rsidRDefault="002E1969" w:rsidP="000E1816">
            <w:pPr>
              <w:jc w:val="center"/>
              <w:rPr>
                <w:sz w:val="20"/>
                <w:szCs w:val="20"/>
              </w:rPr>
            </w:pPr>
            <w:r w:rsidRPr="00A036B2">
              <w:rPr>
                <w:sz w:val="20"/>
                <w:szCs w:val="20"/>
              </w:rPr>
              <w:t>19.18%</w:t>
            </w:r>
          </w:p>
        </w:tc>
        <w:tc>
          <w:tcPr>
            <w:tcW w:w="677" w:type="dxa"/>
          </w:tcPr>
          <w:p w14:paraId="75390FD4" w14:textId="77777777" w:rsidR="002E1969" w:rsidRPr="00A036B2" w:rsidRDefault="002E1969" w:rsidP="000E1816">
            <w:pPr>
              <w:jc w:val="center"/>
              <w:rPr>
                <w:sz w:val="20"/>
                <w:szCs w:val="20"/>
              </w:rPr>
            </w:pPr>
            <w:r w:rsidRPr="00A036B2">
              <w:rPr>
                <w:sz w:val="20"/>
                <w:szCs w:val="20"/>
              </w:rPr>
              <w:t>1.24</w:t>
            </w:r>
          </w:p>
        </w:tc>
        <w:tc>
          <w:tcPr>
            <w:tcW w:w="1261" w:type="dxa"/>
          </w:tcPr>
          <w:p w14:paraId="29213260" w14:textId="77777777" w:rsidR="002E1969" w:rsidRPr="00A036B2" w:rsidRDefault="002E1969" w:rsidP="000E1816">
            <w:pPr>
              <w:jc w:val="center"/>
              <w:rPr>
                <w:sz w:val="20"/>
                <w:szCs w:val="20"/>
              </w:rPr>
            </w:pPr>
            <w:r w:rsidRPr="00A036B2">
              <w:rPr>
                <w:sz w:val="20"/>
                <w:szCs w:val="20"/>
              </w:rPr>
              <w:t>0.26</w:t>
            </w:r>
          </w:p>
        </w:tc>
        <w:tc>
          <w:tcPr>
            <w:tcW w:w="1560" w:type="dxa"/>
          </w:tcPr>
          <w:p w14:paraId="7996582D" w14:textId="77777777" w:rsidR="002E1969" w:rsidRPr="00A036B2" w:rsidRDefault="002E1969" w:rsidP="000E1816">
            <w:pPr>
              <w:jc w:val="center"/>
              <w:rPr>
                <w:sz w:val="20"/>
                <w:szCs w:val="20"/>
              </w:rPr>
            </w:pPr>
            <w:r w:rsidRPr="00A036B2">
              <w:rPr>
                <w:sz w:val="20"/>
                <w:szCs w:val="20"/>
              </w:rPr>
              <w:t>0.42  (0.12)</w:t>
            </w:r>
          </w:p>
        </w:tc>
        <w:tc>
          <w:tcPr>
            <w:tcW w:w="770" w:type="dxa"/>
          </w:tcPr>
          <w:p w14:paraId="17C1A53F" w14:textId="77777777" w:rsidR="002E1969" w:rsidRPr="00A036B2" w:rsidRDefault="002E1969" w:rsidP="000E1816">
            <w:pPr>
              <w:jc w:val="center"/>
              <w:rPr>
                <w:sz w:val="20"/>
                <w:szCs w:val="20"/>
              </w:rPr>
            </w:pPr>
            <w:r w:rsidRPr="00A036B2">
              <w:rPr>
                <w:sz w:val="20"/>
                <w:szCs w:val="20"/>
              </w:rPr>
              <w:t>***</w:t>
            </w:r>
          </w:p>
        </w:tc>
      </w:tr>
      <w:tr w:rsidR="002E1969" w14:paraId="5BF5CB66" w14:textId="77777777" w:rsidTr="00EC410D">
        <w:trPr>
          <w:jc w:val="center"/>
        </w:trPr>
        <w:tc>
          <w:tcPr>
            <w:tcW w:w="1743" w:type="dxa"/>
            <w:shd w:val="clear" w:color="auto" w:fill="F2F2F2" w:themeFill="background1" w:themeFillShade="F2"/>
          </w:tcPr>
          <w:p w14:paraId="735C6DD6" w14:textId="77777777" w:rsidR="002E1969" w:rsidRPr="00A036B2" w:rsidRDefault="002E1969" w:rsidP="000E1816">
            <w:pPr>
              <w:rPr>
                <w:b/>
                <w:sz w:val="20"/>
                <w:szCs w:val="20"/>
              </w:rPr>
            </w:pPr>
            <w:r w:rsidRPr="00A036B2">
              <w:rPr>
                <w:b/>
                <w:sz w:val="20"/>
                <w:szCs w:val="20"/>
              </w:rPr>
              <w:lastRenderedPageBreak/>
              <w:t>Decision-Making</w:t>
            </w:r>
          </w:p>
        </w:tc>
        <w:tc>
          <w:tcPr>
            <w:tcW w:w="946" w:type="dxa"/>
          </w:tcPr>
          <w:p w14:paraId="3BEE95AA" w14:textId="77777777" w:rsidR="002E1969" w:rsidRPr="00A036B2" w:rsidRDefault="000E1816" w:rsidP="000E1816">
            <w:pPr>
              <w:jc w:val="center"/>
              <w:rPr>
                <w:sz w:val="20"/>
                <w:szCs w:val="20"/>
              </w:rPr>
            </w:pPr>
            <w:r>
              <w:rPr>
                <w:sz w:val="20"/>
                <w:szCs w:val="20"/>
              </w:rPr>
              <w:t>7</w:t>
            </w:r>
          </w:p>
        </w:tc>
        <w:tc>
          <w:tcPr>
            <w:tcW w:w="1105" w:type="dxa"/>
          </w:tcPr>
          <w:p w14:paraId="4AF07C64" w14:textId="77777777" w:rsidR="002E1969" w:rsidRPr="00A036B2" w:rsidRDefault="0049395B" w:rsidP="0049395B">
            <w:pPr>
              <w:jc w:val="center"/>
              <w:rPr>
                <w:sz w:val="20"/>
                <w:szCs w:val="20"/>
              </w:rPr>
            </w:pPr>
            <w:r>
              <w:rPr>
                <w:sz w:val="20"/>
                <w:szCs w:val="20"/>
              </w:rPr>
              <w:t>0.012 (0.044</w:t>
            </w:r>
            <w:r w:rsidRPr="0049395B">
              <w:rPr>
                <w:sz w:val="20"/>
                <w:szCs w:val="20"/>
              </w:rPr>
              <w:t>)</w:t>
            </w:r>
          </w:p>
        </w:tc>
        <w:tc>
          <w:tcPr>
            <w:tcW w:w="1180" w:type="dxa"/>
          </w:tcPr>
          <w:p w14:paraId="06E0D5CF" w14:textId="77777777" w:rsidR="002E1969" w:rsidRPr="00A036B2" w:rsidRDefault="0049395B" w:rsidP="000E1816">
            <w:pPr>
              <w:jc w:val="center"/>
              <w:rPr>
                <w:sz w:val="20"/>
                <w:szCs w:val="20"/>
              </w:rPr>
            </w:pPr>
            <w:r w:rsidRPr="0049395B">
              <w:rPr>
                <w:sz w:val="20"/>
                <w:szCs w:val="20"/>
              </w:rPr>
              <w:t>14.96%</w:t>
            </w:r>
          </w:p>
        </w:tc>
        <w:tc>
          <w:tcPr>
            <w:tcW w:w="677" w:type="dxa"/>
          </w:tcPr>
          <w:p w14:paraId="7A7712A1" w14:textId="77777777" w:rsidR="002E1969" w:rsidRPr="00A036B2" w:rsidRDefault="0049395B" w:rsidP="000E1816">
            <w:pPr>
              <w:jc w:val="center"/>
              <w:rPr>
                <w:sz w:val="20"/>
                <w:szCs w:val="20"/>
              </w:rPr>
            </w:pPr>
            <w:r w:rsidRPr="0049395B">
              <w:rPr>
                <w:sz w:val="20"/>
                <w:szCs w:val="20"/>
              </w:rPr>
              <w:t>1.18</w:t>
            </w:r>
          </w:p>
        </w:tc>
        <w:tc>
          <w:tcPr>
            <w:tcW w:w="1261" w:type="dxa"/>
          </w:tcPr>
          <w:p w14:paraId="45129FAD" w14:textId="77777777" w:rsidR="002E1969" w:rsidRPr="00A036B2" w:rsidRDefault="0049395B" w:rsidP="000E1816">
            <w:pPr>
              <w:jc w:val="center"/>
              <w:rPr>
                <w:sz w:val="20"/>
                <w:szCs w:val="20"/>
              </w:rPr>
            </w:pPr>
            <w:r w:rsidRPr="0049395B">
              <w:rPr>
                <w:sz w:val="20"/>
                <w:szCs w:val="20"/>
              </w:rPr>
              <w:t>0.17</w:t>
            </w:r>
          </w:p>
        </w:tc>
        <w:tc>
          <w:tcPr>
            <w:tcW w:w="1560" w:type="dxa"/>
          </w:tcPr>
          <w:p w14:paraId="76848CFB" w14:textId="77777777" w:rsidR="002E1969" w:rsidRPr="00A036B2" w:rsidRDefault="002E1969" w:rsidP="0049395B">
            <w:pPr>
              <w:jc w:val="center"/>
              <w:rPr>
                <w:sz w:val="20"/>
                <w:szCs w:val="20"/>
              </w:rPr>
            </w:pPr>
            <w:r w:rsidRPr="00A036B2">
              <w:rPr>
                <w:sz w:val="20"/>
                <w:szCs w:val="20"/>
              </w:rPr>
              <w:t>0.4</w:t>
            </w:r>
            <w:r w:rsidR="0049395B">
              <w:rPr>
                <w:sz w:val="20"/>
                <w:szCs w:val="20"/>
              </w:rPr>
              <w:t>9</w:t>
            </w:r>
            <w:r w:rsidRPr="00A036B2">
              <w:rPr>
                <w:sz w:val="20"/>
                <w:szCs w:val="20"/>
              </w:rPr>
              <w:t xml:space="preserve"> (0.1</w:t>
            </w:r>
            <w:r w:rsidR="0049395B">
              <w:rPr>
                <w:sz w:val="20"/>
                <w:szCs w:val="20"/>
              </w:rPr>
              <w:t>1</w:t>
            </w:r>
            <w:r w:rsidRPr="00A036B2">
              <w:rPr>
                <w:sz w:val="20"/>
                <w:szCs w:val="20"/>
              </w:rPr>
              <w:t>)</w:t>
            </w:r>
          </w:p>
        </w:tc>
        <w:tc>
          <w:tcPr>
            <w:tcW w:w="770" w:type="dxa"/>
          </w:tcPr>
          <w:p w14:paraId="562170EB" w14:textId="77777777" w:rsidR="002E1969" w:rsidRPr="00A036B2" w:rsidRDefault="0049395B" w:rsidP="000E1816">
            <w:pPr>
              <w:jc w:val="center"/>
              <w:rPr>
                <w:sz w:val="20"/>
                <w:szCs w:val="20"/>
              </w:rPr>
            </w:pPr>
            <w:r>
              <w:rPr>
                <w:sz w:val="20"/>
                <w:szCs w:val="20"/>
              </w:rPr>
              <w:t>**</w:t>
            </w:r>
          </w:p>
        </w:tc>
      </w:tr>
      <w:tr w:rsidR="002E1969" w14:paraId="46CD6D0E" w14:textId="77777777" w:rsidTr="00EC410D">
        <w:trPr>
          <w:jc w:val="center"/>
        </w:trPr>
        <w:tc>
          <w:tcPr>
            <w:tcW w:w="1743" w:type="dxa"/>
            <w:shd w:val="clear" w:color="auto" w:fill="F2F2F2" w:themeFill="background1" w:themeFillShade="F2"/>
          </w:tcPr>
          <w:p w14:paraId="7F88F4B2" w14:textId="77777777" w:rsidR="002E1969" w:rsidRPr="00A036B2" w:rsidRDefault="002E1969" w:rsidP="000E1816">
            <w:pPr>
              <w:rPr>
                <w:b/>
                <w:sz w:val="20"/>
                <w:szCs w:val="20"/>
              </w:rPr>
            </w:pPr>
            <w:r w:rsidRPr="00A036B2">
              <w:rPr>
                <w:b/>
                <w:sz w:val="20"/>
                <w:szCs w:val="20"/>
              </w:rPr>
              <w:t>Working Memory</w:t>
            </w:r>
          </w:p>
        </w:tc>
        <w:tc>
          <w:tcPr>
            <w:tcW w:w="946" w:type="dxa"/>
          </w:tcPr>
          <w:p w14:paraId="44205F67" w14:textId="77777777" w:rsidR="002E1969" w:rsidRPr="00A036B2" w:rsidRDefault="002E1969" w:rsidP="000E1816">
            <w:pPr>
              <w:jc w:val="center"/>
              <w:rPr>
                <w:sz w:val="20"/>
                <w:szCs w:val="20"/>
              </w:rPr>
            </w:pPr>
            <w:r w:rsidRPr="00A036B2">
              <w:rPr>
                <w:sz w:val="20"/>
                <w:szCs w:val="20"/>
              </w:rPr>
              <w:t>4</w:t>
            </w:r>
          </w:p>
        </w:tc>
        <w:tc>
          <w:tcPr>
            <w:tcW w:w="1105" w:type="dxa"/>
          </w:tcPr>
          <w:p w14:paraId="28F8CD4F" w14:textId="77777777" w:rsidR="002E1969" w:rsidRPr="00A036B2" w:rsidRDefault="002E1969" w:rsidP="000E1816">
            <w:pPr>
              <w:jc w:val="center"/>
              <w:rPr>
                <w:sz w:val="20"/>
                <w:szCs w:val="20"/>
              </w:rPr>
            </w:pPr>
            <w:r w:rsidRPr="00A036B2">
              <w:rPr>
                <w:sz w:val="20"/>
                <w:szCs w:val="20"/>
              </w:rPr>
              <w:t>0.039 (0.081)</w:t>
            </w:r>
          </w:p>
        </w:tc>
        <w:tc>
          <w:tcPr>
            <w:tcW w:w="1180" w:type="dxa"/>
          </w:tcPr>
          <w:p w14:paraId="6BE90FD6" w14:textId="77777777" w:rsidR="002E1969" w:rsidRPr="00A036B2" w:rsidRDefault="002E1969" w:rsidP="000E1816">
            <w:pPr>
              <w:jc w:val="center"/>
              <w:rPr>
                <w:sz w:val="20"/>
                <w:szCs w:val="20"/>
              </w:rPr>
            </w:pPr>
            <w:r w:rsidRPr="00A036B2">
              <w:rPr>
                <w:sz w:val="20"/>
                <w:szCs w:val="20"/>
              </w:rPr>
              <w:t>39.65%</w:t>
            </w:r>
          </w:p>
        </w:tc>
        <w:tc>
          <w:tcPr>
            <w:tcW w:w="677" w:type="dxa"/>
          </w:tcPr>
          <w:p w14:paraId="67117129" w14:textId="77777777" w:rsidR="002E1969" w:rsidRPr="00A036B2" w:rsidRDefault="002E1969" w:rsidP="000E1816">
            <w:pPr>
              <w:jc w:val="center"/>
              <w:rPr>
                <w:sz w:val="20"/>
                <w:szCs w:val="20"/>
              </w:rPr>
            </w:pPr>
            <w:r w:rsidRPr="00A036B2">
              <w:rPr>
                <w:sz w:val="20"/>
                <w:szCs w:val="20"/>
              </w:rPr>
              <w:t>1.66</w:t>
            </w:r>
          </w:p>
        </w:tc>
        <w:tc>
          <w:tcPr>
            <w:tcW w:w="1261" w:type="dxa"/>
          </w:tcPr>
          <w:p w14:paraId="232F2BCE" w14:textId="77777777" w:rsidR="002E1969" w:rsidRPr="00A036B2" w:rsidRDefault="002E1969" w:rsidP="000E1816">
            <w:pPr>
              <w:jc w:val="center"/>
              <w:rPr>
                <w:sz w:val="20"/>
                <w:szCs w:val="20"/>
              </w:rPr>
            </w:pPr>
            <w:r w:rsidRPr="00A036B2">
              <w:rPr>
                <w:sz w:val="20"/>
                <w:szCs w:val="20"/>
              </w:rPr>
              <w:t>0.168</w:t>
            </w:r>
          </w:p>
        </w:tc>
        <w:tc>
          <w:tcPr>
            <w:tcW w:w="1560" w:type="dxa"/>
          </w:tcPr>
          <w:p w14:paraId="63B0459E" w14:textId="77777777" w:rsidR="002E1969" w:rsidRPr="00A036B2" w:rsidRDefault="002E1969" w:rsidP="000E1816">
            <w:pPr>
              <w:jc w:val="center"/>
              <w:rPr>
                <w:sz w:val="20"/>
                <w:szCs w:val="20"/>
              </w:rPr>
            </w:pPr>
            <w:r w:rsidRPr="00A036B2">
              <w:rPr>
                <w:sz w:val="20"/>
                <w:szCs w:val="20"/>
              </w:rPr>
              <w:t>0.40  (0.17)</w:t>
            </w:r>
            <w:r w:rsidRPr="00A036B2">
              <w:rPr>
                <w:rFonts w:cstheme="minorHAnsi"/>
                <w:sz w:val="20"/>
                <w:szCs w:val="20"/>
              </w:rPr>
              <w:t>††</w:t>
            </w:r>
          </w:p>
        </w:tc>
        <w:tc>
          <w:tcPr>
            <w:tcW w:w="770" w:type="dxa"/>
          </w:tcPr>
          <w:p w14:paraId="7C6B98AF" w14:textId="77777777" w:rsidR="002E1969" w:rsidRPr="00A036B2" w:rsidRDefault="002E1969" w:rsidP="000E1816">
            <w:pPr>
              <w:jc w:val="center"/>
              <w:rPr>
                <w:sz w:val="20"/>
                <w:szCs w:val="20"/>
              </w:rPr>
            </w:pPr>
            <w:r w:rsidRPr="00A036B2">
              <w:rPr>
                <w:sz w:val="20"/>
                <w:szCs w:val="20"/>
              </w:rPr>
              <w:t>*</w:t>
            </w:r>
          </w:p>
        </w:tc>
      </w:tr>
      <w:tr w:rsidR="006D6F15" w14:paraId="136BF326" w14:textId="77777777" w:rsidTr="00EC410D">
        <w:trPr>
          <w:jc w:val="center"/>
        </w:trPr>
        <w:tc>
          <w:tcPr>
            <w:tcW w:w="1743" w:type="dxa"/>
            <w:shd w:val="clear" w:color="auto" w:fill="F2F2F2" w:themeFill="background1" w:themeFillShade="F2"/>
          </w:tcPr>
          <w:p w14:paraId="51DD991D" w14:textId="77777777" w:rsidR="006D6F15" w:rsidRPr="00A036B2" w:rsidRDefault="006D6F15" w:rsidP="000E1816">
            <w:pPr>
              <w:rPr>
                <w:b/>
                <w:sz w:val="20"/>
                <w:szCs w:val="20"/>
              </w:rPr>
            </w:pPr>
            <w:r>
              <w:rPr>
                <w:b/>
                <w:sz w:val="20"/>
                <w:szCs w:val="20"/>
              </w:rPr>
              <w:t>Discounting</w:t>
            </w:r>
          </w:p>
        </w:tc>
        <w:tc>
          <w:tcPr>
            <w:tcW w:w="946" w:type="dxa"/>
          </w:tcPr>
          <w:p w14:paraId="3D47BE02" w14:textId="77777777" w:rsidR="006D6F15" w:rsidRPr="00A036B2" w:rsidRDefault="006D6F15" w:rsidP="000E1816">
            <w:pPr>
              <w:jc w:val="center"/>
              <w:rPr>
                <w:sz w:val="20"/>
                <w:szCs w:val="20"/>
              </w:rPr>
            </w:pPr>
            <w:r>
              <w:rPr>
                <w:sz w:val="20"/>
                <w:szCs w:val="20"/>
              </w:rPr>
              <w:t>4</w:t>
            </w:r>
          </w:p>
        </w:tc>
        <w:tc>
          <w:tcPr>
            <w:tcW w:w="1105" w:type="dxa"/>
          </w:tcPr>
          <w:p w14:paraId="04512FB7" w14:textId="77777777" w:rsidR="006D6F15" w:rsidRDefault="006D6F15" w:rsidP="006D6F15">
            <w:pPr>
              <w:jc w:val="center"/>
              <w:rPr>
                <w:sz w:val="20"/>
                <w:szCs w:val="20"/>
              </w:rPr>
            </w:pPr>
            <w:r>
              <w:rPr>
                <w:sz w:val="20"/>
                <w:szCs w:val="20"/>
              </w:rPr>
              <w:t xml:space="preserve">0.172 </w:t>
            </w:r>
          </w:p>
          <w:p w14:paraId="39A042EB" w14:textId="77777777" w:rsidR="006D6F15" w:rsidRPr="00A036B2" w:rsidRDefault="006D6F15" w:rsidP="006D6F15">
            <w:pPr>
              <w:jc w:val="center"/>
              <w:rPr>
                <w:sz w:val="20"/>
                <w:szCs w:val="20"/>
              </w:rPr>
            </w:pPr>
            <w:r>
              <w:rPr>
                <w:sz w:val="20"/>
                <w:szCs w:val="20"/>
              </w:rPr>
              <w:t>(0.22</w:t>
            </w:r>
            <w:r w:rsidRPr="006D6F15">
              <w:rPr>
                <w:sz w:val="20"/>
                <w:szCs w:val="20"/>
              </w:rPr>
              <w:t>)</w:t>
            </w:r>
          </w:p>
        </w:tc>
        <w:tc>
          <w:tcPr>
            <w:tcW w:w="1180" w:type="dxa"/>
          </w:tcPr>
          <w:p w14:paraId="5433F721" w14:textId="77777777" w:rsidR="006D6F15" w:rsidRPr="00A036B2" w:rsidRDefault="006D6F15" w:rsidP="000E1816">
            <w:pPr>
              <w:jc w:val="center"/>
              <w:rPr>
                <w:sz w:val="20"/>
                <w:szCs w:val="20"/>
              </w:rPr>
            </w:pPr>
            <w:r w:rsidRPr="006D6F15">
              <w:rPr>
                <w:sz w:val="20"/>
                <w:szCs w:val="20"/>
              </w:rPr>
              <w:t>63.79%</w:t>
            </w:r>
          </w:p>
        </w:tc>
        <w:tc>
          <w:tcPr>
            <w:tcW w:w="677" w:type="dxa"/>
          </w:tcPr>
          <w:p w14:paraId="689C8AF2" w14:textId="77777777" w:rsidR="006D6F15" w:rsidRPr="00A036B2" w:rsidRDefault="006D6F15" w:rsidP="000E1816">
            <w:pPr>
              <w:jc w:val="center"/>
              <w:rPr>
                <w:sz w:val="20"/>
                <w:szCs w:val="20"/>
              </w:rPr>
            </w:pPr>
            <w:r w:rsidRPr="006D6F15">
              <w:rPr>
                <w:sz w:val="20"/>
                <w:szCs w:val="20"/>
              </w:rPr>
              <w:t>2.76</w:t>
            </w:r>
          </w:p>
        </w:tc>
        <w:tc>
          <w:tcPr>
            <w:tcW w:w="1261" w:type="dxa"/>
          </w:tcPr>
          <w:p w14:paraId="588B5D93" w14:textId="77777777" w:rsidR="006D6F15" w:rsidRPr="00A036B2" w:rsidRDefault="006D6F15" w:rsidP="000E1816">
            <w:pPr>
              <w:jc w:val="center"/>
              <w:rPr>
                <w:sz w:val="20"/>
                <w:szCs w:val="20"/>
              </w:rPr>
            </w:pPr>
            <w:r>
              <w:rPr>
                <w:sz w:val="20"/>
                <w:szCs w:val="20"/>
              </w:rPr>
              <w:t>0.041</w:t>
            </w:r>
          </w:p>
        </w:tc>
        <w:tc>
          <w:tcPr>
            <w:tcW w:w="1560" w:type="dxa"/>
          </w:tcPr>
          <w:p w14:paraId="7591AD4F" w14:textId="77777777" w:rsidR="006D6F15" w:rsidRPr="00A036B2" w:rsidRDefault="006D6F15" w:rsidP="006D6F15">
            <w:pPr>
              <w:jc w:val="center"/>
              <w:rPr>
                <w:sz w:val="20"/>
                <w:szCs w:val="20"/>
              </w:rPr>
            </w:pPr>
            <w:r w:rsidRPr="006D6F15">
              <w:rPr>
                <w:sz w:val="20"/>
                <w:szCs w:val="20"/>
              </w:rPr>
              <w:t>1.0</w:t>
            </w:r>
            <w:r>
              <w:rPr>
                <w:sz w:val="20"/>
                <w:szCs w:val="20"/>
              </w:rPr>
              <w:t>3</w:t>
            </w:r>
            <w:r w:rsidRPr="006D6F15">
              <w:rPr>
                <w:sz w:val="20"/>
                <w:szCs w:val="20"/>
              </w:rPr>
              <w:t xml:space="preserve">  </w:t>
            </w:r>
            <w:r>
              <w:rPr>
                <w:sz w:val="20"/>
                <w:szCs w:val="20"/>
              </w:rPr>
              <w:t>(</w:t>
            </w:r>
            <w:r w:rsidRPr="006D6F15">
              <w:rPr>
                <w:sz w:val="20"/>
                <w:szCs w:val="20"/>
              </w:rPr>
              <w:t>0.26</w:t>
            </w:r>
            <w:r>
              <w:rPr>
                <w:sz w:val="20"/>
                <w:szCs w:val="20"/>
              </w:rPr>
              <w:t>)</w:t>
            </w:r>
          </w:p>
        </w:tc>
        <w:tc>
          <w:tcPr>
            <w:tcW w:w="770" w:type="dxa"/>
          </w:tcPr>
          <w:p w14:paraId="70B2B8E4" w14:textId="77777777" w:rsidR="006D6F15" w:rsidRPr="00A036B2" w:rsidRDefault="006D6F15" w:rsidP="000E1816">
            <w:pPr>
              <w:jc w:val="center"/>
              <w:rPr>
                <w:sz w:val="20"/>
                <w:szCs w:val="20"/>
              </w:rPr>
            </w:pPr>
            <w:r>
              <w:rPr>
                <w:sz w:val="20"/>
                <w:szCs w:val="20"/>
              </w:rPr>
              <w:t>N/A</w:t>
            </w:r>
          </w:p>
        </w:tc>
      </w:tr>
    </w:tbl>
    <w:p w14:paraId="2F5BB712" w14:textId="77777777" w:rsidR="00EC410D" w:rsidRDefault="00EC410D" w:rsidP="002E1969">
      <w:pPr>
        <w:rPr>
          <w:b/>
        </w:rPr>
      </w:pPr>
    </w:p>
    <w:p w14:paraId="6C8B0534" w14:textId="77777777" w:rsidR="002E1969" w:rsidRDefault="006D6F15" w:rsidP="002E1969">
      <w:r>
        <w:rPr>
          <w:b/>
        </w:rPr>
        <w:t xml:space="preserve">Legend: </w:t>
      </w:r>
      <w:r w:rsidR="002E1969" w:rsidRPr="006D6F15">
        <w:rPr>
          <w:b/>
        </w:rPr>
        <w:t>tau^2:</w:t>
      </w:r>
      <w:r w:rsidR="002E1969">
        <w:t xml:space="preserve"> </w:t>
      </w:r>
      <w:r w:rsidR="002E1969" w:rsidRPr="00804C31">
        <w:t>estimated amount of total heterogeneity</w:t>
      </w:r>
      <w:r w:rsidR="002E1969">
        <w:t xml:space="preserve">; </w:t>
      </w:r>
      <w:r w:rsidR="002E1969" w:rsidRPr="006D6F15">
        <w:rPr>
          <w:b/>
        </w:rPr>
        <w:t>I^2:</w:t>
      </w:r>
      <w:r w:rsidR="002E1969" w:rsidRPr="00804C31">
        <w:t xml:space="preserve"> (total het</w:t>
      </w:r>
      <w:r w:rsidR="002E1969">
        <w:t xml:space="preserve">erogeneity / total variability); </w:t>
      </w:r>
      <w:r w:rsidR="002E1969" w:rsidRPr="006D6F15">
        <w:rPr>
          <w:b/>
        </w:rPr>
        <w:t>H^2:</w:t>
      </w:r>
      <w:r w:rsidR="002E1969" w:rsidRPr="00804C31">
        <w:t xml:space="preserve"> (total varia</w:t>
      </w:r>
      <w:r w:rsidR="002E1969">
        <w:t xml:space="preserve">bility / sampling variability); </w:t>
      </w:r>
      <w:r w:rsidR="002E1969" w:rsidRPr="006D6F15">
        <w:rPr>
          <w:b/>
        </w:rPr>
        <w:t>Q-test:</w:t>
      </w:r>
      <w:r w:rsidR="002E1969">
        <w:t xml:space="preserve"> </w:t>
      </w:r>
      <w:r w:rsidR="002E1969" w:rsidRPr="00804C31">
        <w:t>Test for Heterogeneity</w:t>
      </w:r>
      <w:r w:rsidR="002E1969">
        <w:t xml:space="preserve">; meta-analysis was done using random-effects model using REML. </w:t>
      </w:r>
      <w:r w:rsidR="002E1969" w:rsidRPr="006D6F15">
        <w:rPr>
          <w:b/>
        </w:rPr>
        <w:t>REML:</w:t>
      </w:r>
      <w:r w:rsidR="002E1969">
        <w:t xml:space="preserve"> Restricted maximum-likelihood estimator</w:t>
      </w:r>
    </w:p>
    <w:p w14:paraId="2C5389A9" w14:textId="77777777" w:rsidR="00CB212E" w:rsidRDefault="00CB212E">
      <w:pPr>
        <w:spacing w:line="259" w:lineRule="auto"/>
        <w:jc w:val="left"/>
        <w:rPr>
          <w:rFonts w:asciiTheme="majorHAnsi" w:eastAsiaTheme="majorEastAsia" w:hAnsiTheme="majorHAnsi" w:cstheme="majorBidi"/>
          <w:b/>
          <w:sz w:val="26"/>
          <w:szCs w:val="26"/>
        </w:rPr>
      </w:pPr>
      <w:r>
        <w:br w:type="page"/>
      </w:r>
    </w:p>
    <w:p w14:paraId="2DDE8FF8" w14:textId="353F83C9" w:rsidR="00A8341A" w:rsidRDefault="00A8341A" w:rsidP="00A8341A">
      <w:pPr>
        <w:pStyle w:val="Heading1"/>
      </w:pPr>
      <w:r>
        <w:lastRenderedPageBreak/>
        <w:t>TABLE S</w:t>
      </w:r>
      <w:r>
        <w:t>6</w:t>
      </w:r>
      <w:r>
        <w:t xml:space="preserve"> – Moderator analysis results</w:t>
      </w:r>
    </w:p>
    <w:tbl>
      <w:tblPr>
        <w:tblStyle w:val="TableGrid"/>
        <w:tblW w:w="9067" w:type="dxa"/>
        <w:jc w:val="center"/>
        <w:tblLayout w:type="fixed"/>
        <w:tblLook w:val="04A0" w:firstRow="1" w:lastRow="0" w:firstColumn="1" w:lastColumn="0" w:noHBand="0" w:noVBand="1"/>
      </w:tblPr>
      <w:tblGrid>
        <w:gridCol w:w="1743"/>
        <w:gridCol w:w="946"/>
        <w:gridCol w:w="1105"/>
        <w:gridCol w:w="1180"/>
        <w:gridCol w:w="1117"/>
        <w:gridCol w:w="1417"/>
        <w:gridCol w:w="1559"/>
      </w:tblGrid>
      <w:tr w:rsidR="00A8341A" w14:paraId="21CC9DFE" w14:textId="77777777" w:rsidTr="00CE2DD4">
        <w:trPr>
          <w:jc w:val="center"/>
        </w:trPr>
        <w:tc>
          <w:tcPr>
            <w:tcW w:w="1743" w:type="dxa"/>
            <w:shd w:val="clear" w:color="auto" w:fill="E7E6E6" w:themeFill="background2"/>
          </w:tcPr>
          <w:p w14:paraId="4E45DDE8" w14:textId="77777777" w:rsidR="00A8341A" w:rsidRPr="00A036B2" w:rsidRDefault="00A8341A" w:rsidP="00CE2DD4">
            <w:pPr>
              <w:spacing w:line="240" w:lineRule="auto"/>
              <w:rPr>
                <w:b/>
                <w:sz w:val="20"/>
                <w:szCs w:val="20"/>
              </w:rPr>
            </w:pPr>
            <w:r w:rsidRPr="00A036B2">
              <w:rPr>
                <w:b/>
                <w:sz w:val="20"/>
                <w:szCs w:val="20"/>
              </w:rPr>
              <w:t>Domain</w:t>
            </w:r>
          </w:p>
        </w:tc>
        <w:tc>
          <w:tcPr>
            <w:tcW w:w="946" w:type="dxa"/>
            <w:shd w:val="clear" w:color="auto" w:fill="E7E6E6" w:themeFill="background2"/>
          </w:tcPr>
          <w:p w14:paraId="695EEBB0" w14:textId="77777777" w:rsidR="00A8341A" w:rsidRPr="00A036B2" w:rsidRDefault="00A8341A" w:rsidP="00CE2DD4">
            <w:pPr>
              <w:spacing w:line="240" w:lineRule="auto"/>
              <w:jc w:val="center"/>
              <w:rPr>
                <w:b/>
                <w:sz w:val="20"/>
                <w:szCs w:val="20"/>
              </w:rPr>
            </w:pPr>
            <w:r>
              <w:rPr>
                <w:b/>
                <w:sz w:val="20"/>
                <w:szCs w:val="20"/>
              </w:rPr>
              <w:t>Age</w:t>
            </w:r>
          </w:p>
        </w:tc>
        <w:tc>
          <w:tcPr>
            <w:tcW w:w="1105" w:type="dxa"/>
            <w:shd w:val="clear" w:color="auto" w:fill="E7E6E6" w:themeFill="background2"/>
          </w:tcPr>
          <w:p w14:paraId="7984BA0B" w14:textId="77777777" w:rsidR="00A8341A" w:rsidRPr="00A036B2" w:rsidRDefault="00A8341A" w:rsidP="00CE2DD4">
            <w:pPr>
              <w:spacing w:line="240" w:lineRule="auto"/>
              <w:jc w:val="center"/>
              <w:rPr>
                <w:b/>
                <w:sz w:val="20"/>
                <w:szCs w:val="20"/>
              </w:rPr>
            </w:pPr>
            <w:r>
              <w:rPr>
                <w:b/>
                <w:sz w:val="20"/>
                <w:szCs w:val="20"/>
              </w:rPr>
              <w:t>Gender</w:t>
            </w:r>
          </w:p>
        </w:tc>
        <w:tc>
          <w:tcPr>
            <w:tcW w:w="1180" w:type="dxa"/>
            <w:shd w:val="clear" w:color="auto" w:fill="E7E6E6" w:themeFill="background2"/>
          </w:tcPr>
          <w:p w14:paraId="73E2228B" w14:textId="77777777" w:rsidR="00A8341A" w:rsidRPr="00A036B2" w:rsidRDefault="00A8341A" w:rsidP="00CE2DD4">
            <w:pPr>
              <w:spacing w:line="240" w:lineRule="auto"/>
              <w:jc w:val="center"/>
              <w:rPr>
                <w:b/>
                <w:sz w:val="20"/>
                <w:szCs w:val="20"/>
              </w:rPr>
            </w:pPr>
            <w:r>
              <w:rPr>
                <w:b/>
                <w:sz w:val="20"/>
                <w:szCs w:val="20"/>
              </w:rPr>
              <w:t>Presence of co-morbidities</w:t>
            </w:r>
          </w:p>
        </w:tc>
        <w:tc>
          <w:tcPr>
            <w:tcW w:w="1117" w:type="dxa"/>
            <w:shd w:val="clear" w:color="auto" w:fill="E7E6E6" w:themeFill="background2"/>
          </w:tcPr>
          <w:p w14:paraId="455413B9" w14:textId="77777777" w:rsidR="00A8341A" w:rsidRPr="00A036B2" w:rsidRDefault="00A8341A" w:rsidP="00CE2DD4">
            <w:pPr>
              <w:spacing w:line="240" w:lineRule="auto"/>
              <w:jc w:val="center"/>
              <w:rPr>
                <w:b/>
                <w:sz w:val="20"/>
                <w:szCs w:val="20"/>
              </w:rPr>
            </w:pPr>
            <w:r>
              <w:rPr>
                <w:b/>
                <w:sz w:val="20"/>
                <w:szCs w:val="20"/>
              </w:rPr>
              <w:t xml:space="preserve">Diagnostic conceptualization (IGD </w:t>
            </w:r>
            <w:proofErr w:type="spellStart"/>
            <w:r>
              <w:rPr>
                <w:b/>
                <w:sz w:val="20"/>
                <w:szCs w:val="20"/>
              </w:rPr>
              <w:t>vs</w:t>
            </w:r>
            <w:proofErr w:type="spellEnd"/>
            <w:r>
              <w:rPr>
                <w:b/>
                <w:sz w:val="20"/>
                <w:szCs w:val="20"/>
              </w:rPr>
              <w:t xml:space="preserve"> PIU)</w:t>
            </w:r>
          </w:p>
        </w:tc>
        <w:tc>
          <w:tcPr>
            <w:tcW w:w="1417" w:type="dxa"/>
            <w:shd w:val="clear" w:color="auto" w:fill="E7E6E6" w:themeFill="background2"/>
          </w:tcPr>
          <w:p w14:paraId="45858955" w14:textId="77777777" w:rsidR="00A8341A" w:rsidRPr="00A036B2" w:rsidRDefault="00A8341A" w:rsidP="00CE2DD4">
            <w:pPr>
              <w:spacing w:line="240" w:lineRule="auto"/>
              <w:jc w:val="center"/>
              <w:rPr>
                <w:b/>
                <w:sz w:val="20"/>
                <w:szCs w:val="20"/>
              </w:rPr>
            </w:pPr>
            <w:r>
              <w:rPr>
                <w:b/>
                <w:sz w:val="20"/>
                <w:szCs w:val="20"/>
              </w:rPr>
              <w:t>Geographical Area</w:t>
            </w:r>
          </w:p>
        </w:tc>
        <w:tc>
          <w:tcPr>
            <w:tcW w:w="1559" w:type="dxa"/>
            <w:shd w:val="clear" w:color="auto" w:fill="E7E6E6" w:themeFill="background2"/>
          </w:tcPr>
          <w:p w14:paraId="2EF255A6" w14:textId="77777777" w:rsidR="00A8341A" w:rsidRPr="00A036B2" w:rsidRDefault="00A8341A" w:rsidP="00CE2DD4">
            <w:pPr>
              <w:spacing w:line="240" w:lineRule="auto"/>
              <w:jc w:val="center"/>
              <w:rPr>
                <w:b/>
                <w:sz w:val="20"/>
                <w:szCs w:val="20"/>
              </w:rPr>
            </w:pPr>
            <w:r>
              <w:rPr>
                <w:b/>
                <w:sz w:val="20"/>
                <w:szCs w:val="20"/>
              </w:rPr>
              <w:t>Quality of studies</w:t>
            </w:r>
          </w:p>
        </w:tc>
      </w:tr>
      <w:tr w:rsidR="00A8341A" w14:paraId="4CD9709B" w14:textId="77777777" w:rsidTr="00CE2DD4">
        <w:trPr>
          <w:jc w:val="center"/>
        </w:trPr>
        <w:tc>
          <w:tcPr>
            <w:tcW w:w="1743" w:type="dxa"/>
            <w:shd w:val="clear" w:color="auto" w:fill="F2F2F2" w:themeFill="background1" w:themeFillShade="F2"/>
          </w:tcPr>
          <w:p w14:paraId="41D5E733" w14:textId="77777777" w:rsidR="00A8341A" w:rsidRPr="00A036B2" w:rsidRDefault="00A8341A" w:rsidP="00CE2DD4">
            <w:pPr>
              <w:rPr>
                <w:b/>
                <w:sz w:val="20"/>
                <w:szCs w:val="20"/>
              </w:rPr>
            </w:pPr>
            <w:r w:rsidRPr="00A036B2">
              <w:rPr>
                <w:b/>
                <w:sz w:val="20"/>
                <w:szCs w:val="20"/>
              </w:rPr>
              <w:t>Attentional Inhibition (Stroop)</w:t>
            </w:r>
          </w:p>
        </w:tc>
        <w:tc>
          <w:tcPr>
            <w:tcW w:w="946" w:type="dxa"/>
          </w:tcPr>
          <w:p w14:paraId="461365C5" w14:textId="77777777" w:rsidR="00A8341A" w:rsidRPr="00A036B2" w:rsidRDefault="00A8341A" w:rsidP="00CE2DD4">
            <w:pPr>
              <w:jc w:val="center"/>
              <w:rPr>
                <w:sz w:val="20"/>
                <w:szCs w:val="20"/>
              </w:rPr>
            </w:pPr>
            <w:r>
              <w:rPr>
                <w:sz w:val="20"/>
                <w:szCs w:val="20"/>
              </w:rPr>
              <w:t>-</w:t>
            </w:r>
          </w:p>
        </w:tc>
        <w:tc>
          <w:tcPr>
            <w:tcW w:w="1105" w:type="dxa"/>
          </w:tcPr>
          <w:p w14:paraId="71341306"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80" w:type="dxa"/>
          </w:tcPr>
          <w:p w14:paraId="75CAD2EC" w14:textId="77777777" w:rsidR="00A8341A" w:rsidRPr="00A036B2" w:rsidRDefault="00A8341A" w:rsidP="00CE2DD4">
            <w:pPr>
              <w:jc w:val="center"/>
              <w:rPr>
                <w:sz w:val="20"/>
                <w:szCs w:val="20"/>
              </w:rPr>
            </w:pPr>
            <w:r>
              <w:rPr>
                <w:sz w:val="20"/>
                <w:szCs w:val="20"/>
              </w:rPr>
              <w:t>-</w:t>
            </w:r>
          </w:p>
        </w:tc>
        <w:tc>
          <w:tcPr>
            <w:tcW w:w="1117" w:type="dxa"/>
          </w:tcPr>
          <w:p w14:paraId="010AB0C8"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417" w:type="dxa"/>
          </w:tcPr>
          <w:p w14:paraId="122CA4AD"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559" w:type="dxa"/>
          </w:tcPr>
          <w:p w14:paraId="55B64748"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r>
      <w:tr w:rsidR="00A8341A" w14:paraId="7DFC918F" w14:textId="77777777" w:rsidTr="00CE2DD4">
        <w:trPr>
          <w:jc w:val="center"/>
        </w:trPr>
        <w:tc>
          <w:tcPr>
            <w:tcW w:w="1743" w:type="dxa"/>
            <w:shd w:val="clear" w:color="auto" w:fill="F2F2F2" w:themeFill="background1" w:themeFillShade="F2"/>
          </w:tcPr>
          <w:p w14:paraId="4CC1CB91" w14:textId="77777777" w:rsidR="00A8341A" w:rsidRPr="00A036B2" w:rsidRDefault="00A8341A" w:rsidP="00CE2DD4">
            <w:pPr>
              <w:rPr>
                <w:b/>
                <w:sz w:val="20"/>
                <w:szCs w:val="20"/>
              </w:rPr>
            </w:pPr>
            <w:r w:rsidRPr="00A036B2">
              <w:rPr>
                <w:b/>
                <w:sz w:val="20"/>
                <w:szCs w:val="20"/>
              </w:rPr>
              <w:t>Motor inhibitory control (GNG)</w:t>
            </w:r>
          </w:p>
        </w:tc>
        <w:tc>
          <w:tcPr>
            <w:tcW w:w="946" w:type="dxa"/>
          </w:tcPr>
          <w:p w14:paraId="41AB4AAC"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05" w:type="dxa"/>
          </w:tcPr>
          <w:p w14:paraId="635C8FE2"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80" w:type="dxa"/>
          </w:tcPr>
          <w:p w14:paraId="7108C46A"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17" w:type="dxa"/>
          </w:tcPr>
          <w:p w14:paraId="78640540"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417" w:type="dxa"/>
          </w:tcPr>
          <w:p w14:paraId="302A5413"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559" w:type="dxa"/>
          </w:tcPr>
          <w:p w14:paraId="62E81F10"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r>
      <w:tr w:rsidR="00A8341A" w14:paraId="0934F20C" w14:textId="77777777" w:rsidTr="00CE2DD4">
        <w:trPr>
          <w:jc w:val="center"/>
        </w:trPr>
        <w:tc>
          <w:tcPr>
            <w:tcW w:w="1743" w:type="dxa"/>
            <w:shd w:val="clear" w:color="auto" w:fill="F2F2F2" w:themeFill="background1" w:themeFillShade="F2"/>
          </w:tcPr>
          <w:p w14:paraId="5D69189A" w14:textId="77777777" w:rsidR="00A8341A" w:rsidRPr="00A036B2" w:rsidRDefault="00A8341A" w:rsidP="00CE2DD4">
            <w:pPr>
              <w:rPr>
                <w:b/>
                <w:sz w:val="20"/>
                <w:szCs w:val="20"/>
              </w:rPr>
            </w:pPr>
            <w:r w:rsidRPr="00A036B2">
              <w:rPr>
                <w:b/>
                <w:sz w:val="20"/>
                <w:szCs w:val="20"/>
              </w:rPr>
              <w:t>Motor inhibitory control (SST)</w:t>
            </w:r>
          </w:p>
        </w:tc>
        <w:tc>
          <w:tcPr>
            <w:tcW w:w="946" w:type="dxa"/>
          </w:tcPr>
          <w:p w14:paraId="23E1BD50" w14:textId="77777777" w:rsidR="00A8341A" w:rsidRPr="00A036B2" w:rsidRDefault="00A8341A" w:rsidP="00CE2DD4">
            <w:pPr>
              <w:jc w:val="center"/>
              <w:rPr>
                <w:sz w:val="20"/>
                <w:szCs w:val="20"/>
              </w:rPr>
            </w:pPr>
            <w:r>
              <w:rPr>
                <w:sz w:val="20"/>
                <w:szCs w:val="20"/>
              </w:rPr>
              <w:t>-</w:t>
            </w:r>
          </w:p>
        </w:tc>
        <w:tc>
          <w:tcPr>
            <w:tcW w:w="1105" w:type="dxa"/>
          </w:tcPr>
          <w:p w14:paraId="26287916"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80" w:type="dxa"/>
          </w:tcPr>
          <w:p w14:paraId="79B9FE5B"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17" w:type="dxa"/>
          </w:tcPr>
          <w:p w14:paraId="6F5FE031"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417" w:type="dxa"/>
          </w:tcPr>
          <w:p w14:paraId="4C28B0CF"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559" w:type="dxa"/>
          </w:tcPr>
          <w:p w14:paraId="5013DC86" w14:textId="77777777" w:rsidR="00A8341A" w:rsidRPr="00345AB8" w:rsidRDefault="00A8341A" w:rsidP="00CE2DD4">
            <w:pPr>
              <w:jc w:val="center"/>
              <w:rPr>
                <w:b/>
                <w:sz w:val="20"/>
                <w:szCs w:val="20"/>
              </w:rPr>
            </w:pPr>
            <w:r>
              <w:rPr>
                <w:b/>
                <w:sz w:val="20"/>
                <w:szCs w:val="20"/>
              </w:rPr>
              <w:t xml:space="preserve">p </w:t>
            </w:r>
            <w:r w:rsidRPr="00345AB8">
              <w:rPr>
                <w:b/>
                <w:sz w:val="20"/>
                <w:szCs w:val="20"/>
              </w:rPr>
              <w:t>=</w:t>
            </w:r>
            <w:r>
              <w:rPr>
                <w:b/>
                <w:sz w:val="20"/>
                <w:szCs w:val="20"/>
              </w:rPr>
              <w:t xml:space="preserve"> </w:t>
            </w:r>
            <w:r w:rsidRPr="00345AB8">
              <w:rPr>
                <w:b/>
                <w:sz w:val="20"/>
                <w:szCs w:val="20"/>
              </w:rPr>
              <w:t>0.03</w:t>
            </w:r>
          </w:p>
          <w:p w14:paraId="24FFED07" w14:textId="77777777" w:rsidR="00A8341A" w:rsidRPr="00A036B2" w:rsidRDefault="00A8341A" w:rsidP="00CE2DD4">
            <w:pPr>
              <w:jc w:val="center"/>
              <w:rPr>
                <w:sz w:val="20"/>
                <w:szCs w:val="20"/>
              </w:rPr>
            </w:pPr>
            <w:r w:rsidRPr="00345AB8">
              <w:rPr>
                <w:b/>
                <w:sz w:val="20"/>
                <w:szCs w:val="20"/>
              </w:rPr>
              <w:t>*</w:t>
            </w:r>
          </w:p>
        </w:tc>
      </w:tr>
      <w:tr w:rsidR="00A8341A" w14:paraId="3398D7A7" w14:textId="77777777" w:rsidTr="00CE2DD4">
        <w:trPr>
          <w:jc w:val="center"/>
        </w:trPr>
        <w:tc>
          <w:tcPr>
            <w:tcW w:w="1743" w:type="dxa"/>
            <w:shd w:val="clear" w:color="auto" w:fill="F2F2F2" w:themeFill="background1" w:themeFillShade="F2"/>
          </w:tcPr>
          <w:p w14:paraId="4F367B4B" w14:textId="77777777" w:rsidR="00A8341A" w:rsidRPr="00A036B2" w:rsidRDefault="00A8341A" w:rsidP="00CE2DD4">
            <w:pPr>
              <w:rPr>
                <w:b/>
                <w:sz w:val="20"/>
                <w:szCs w:val="20"/>
              </w:rPr>
            </w:pPr>
            <w:r w:rsidRPr="00A036B2">
              <w:rPr>
                <w:b/>
                <w:sz w:val="20"/>
                <w:szCs w:val="20"/>
              </w:rPr>
              <w:t>Decision-Making</w:t>
            </w:r>
          </w:p>
        </w:tc>
        <w:tc>
          <w:tcPr>
            <w:tcW w:w="946" w:type="dxa"/>
          </w:tcPr>
          <w:p w14:paraId="7824CA47"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05" w:type="dxa"/>
          </w:tcPr>
          <w:p w14:paraId="3671046C"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80" w:type="dxa"/>
          </w:tcPr>
          <w:p w14:paraId="28C37C2D"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17" w:type="dxa"/>
          </w:tcPr>
          <w:p w14:paraId="6E7F9520"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417" w:type="dxa"/>
          </w:tcPr>
          <w:p w14:paraId="2F88D11B"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559" w:type="dxa"/>
          </w:tcPr>
          <w:p w14:paraId="2ECAC29D"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r>
      <w:tr w:rsidR="00A8341A" w14:paraId="68653C08" w14:textId="77777777" w:rsidTr="00CE2DD4">
        <w:trPr>
          <w:jc w:val="center"/>
        </w:trPr>
        <w:tc>
          <w:tcPr>
            <w:tcW w:w="1743" w:type="dxa"/>
            <w:shd w:val="clear" w:color="auto" w:fill="F2F2F2" w:themeFill="background1" w:themeFillShade="F2"/>
          </w:tcPr>
          <w:p w14:paraId="0995FA9D" w14:textId="77777777" w:rsidR="00A8341A" w:rsidRPr="00A036B2" w:rsidRDefault="00A8341A" w:rsidP="00CE2DD4">
            <w:pPr>
              <w:rPr>
                <w:b/>
                <w:sz w:val="20"/>
                <w:szCs w:val="20"/>
              </w:rPr>
            </w:pPr>
            <w:r w:rsidRPr="00A036B2">
              <w:rPr>
                <w:b/>
                <w:sz w:val="20"/>
                <w:szCs w:val="20"/>
              </w:rPr>
              <w:t>Working Memory</w:t>
            </w:r>
          </w:p>
        </w:tc>
        <w:tc>
          <w:tcPr>
            <w:tcW w:w="946" w:type="dxa"/>
          </w:tcPr>
          <w:p w14:paraId="59BBFD73"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05" w:type="dxa"/>
          </w:tcPr>
          <w:p w14:paraId="1BF70942"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80" w:type="dxa"/>
          </w:tcPr>
          <w:p w14:paraId="6F2AF2B4"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117" w:type="dxa"/>
          </w:tcPr>
          <w:p w14:paraId="5DADD967"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417" w:type="dxa"/>
          </w:tcPr>
          <w:p w14:paraId="717A218D"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c>
          <w:tcPr>
            <w:tcW w:w="1559" w:type="dxa"/>
          </w:tcPr>
          <w:p w14:paraId="756615F5" w14:textId="77777777" w:rsidR="00A8341A" w:rsidRPr="00A036B2" w:rsidRDefault="00A8341A" w:rsidP="00CE2DD4">
            <w:pPr>
              <w:jc w:val="center"/>
              <w:rPr>
                <w:sz w:val="20"/>
                <w:szCs w:val="20"/>
              </w:rPr>
            </w:pPr>
            <w:proofErr w:type="spellStart"/>
            <w:r>
              <w:rPr>
                <w:sz w:val="20"/>
                <w:szCs w:val="20"/>
              </w:rPr>
              <w:t>n.s</w:t>
            </w:r>
            <w:proofErr w:type="spellEnd"/>
            <w:r>
              <w:rPr>
                <w:sz w:val="20"/>
                <w:szCs w:val="20"/>
              </w:rPr>
              <w:t>.</w:t>
            </w:r>
          </w:p>
        </w:tc>
      </w:tr>
    </w:tbl>
    <w:p w14:paraId="0EBCEBA1" w14:textId="77777777" w:rsidR="00A8341A" w:rsidRDefault="00A8341A" w:rsidP="00A8341A">
      <w:pPr>
        <w:rPr>
          <w:b/>
        </w:rPr>
      </w:pPr>
    </w:p>
    <w:p w14:paraId="00A84879" w14:textId="77777777" w:rsidR="00A8341A" w:rsidRDefault="00A8341A" w:rsidP="00A8341A">
      <w:r>
        <w:rPr>
          <w:b/>
        </w:rPr>
        <w:t xml:space="preserve">Legend: </w:t>
      </w:r>
      <w:r w:rsidRPr="004B385A">
        <w:rPr>
          <w:b/>
        </w:rPr>
        <w:t>Age</w:t>
      </w:r>
      <w:r w:rsidRPr="00345AB8">
        <w:t xml:space="preserve"> was not a moderating variable in Go/No-Go (p=0.15), decision-making (p=0.62), working memory (p=0.21) studies. There is a clear gender bias in the study designs where there was a significant number of ‘males only’ studies (~54%), but none of ‘females only’.</w:t>
      </w:r>
      <w:r w:rsidRPr="004B385A">
        <w:rPr>
          <w:b/>
        </w:rPr>
        <w:t xml:space="preserve"> Gender</w:t>
      </w:r>
      <w:r w:rsidRPr="00345AB8">
        <w:t xml:space="preserve"> (analysed as ‘males only’ </w:t>
      </w:r>
      <w:proofErr w:type="spellStart"/>
      <w:r w:rsidRPr="00345AB8">
        <w:t>vs</w:t>
      </w:r>
      <w:proofErr w:type="spellEnd"/>
      <w:r w:rsidRPr="00345AB8">
        <w:t xml:space="preserve"> ‘mixed’) was not a moderating variable in any domain [Stroop (p=0.17), SST (p=0.65), Go/No-Go (p=0.81), decision-making (p=0.21), and working memory (p=0.071)]. Geographical area (analysed as binary variable of predominantly Asian versus predominantly Caucasian populated areas) was not a moderating variable in any domain [Stroop (p=0.52), SST (p=0.15), Go/No-Go (p=0.53), decision-making (p=0.88) and working memory (p=0.97)]. The </w:t>
      </w:r>
      <w:r w:rsidRPr="004B385A">
        <w:rPr>
          <w:b/>
        </w:rPr>
        <w:t>presence of comorbidities</w:t>
      </w:r>
      <w:r w:rsidRPr="00345AB8">
        <w:t xml:space="preserve"> was not a moderating variable in SST (p=0.15), Go/No-Go (p=0.81), decision-making (p=0.34) and working memory (p=0.97) studies. </w:t>
      </w:r>
      <w:r w:rsidRPr="004B385A">
        <w:rPr>
          <w:b/>
        </w:rPr>
        <w:t xml:space="preserve">Diagnostic conceptualization </w:t>
      </w:r>
      <w:r w:rsidRPr="00345AB8">
        <w:t xml:space="preserve">was not a moderating variable in any domain [Stroop (p=0.40), Go/No-Go (p=0.06), decision-making (p=0.37), working memory (p=0.07)]. </w:t>
      </w:r>
      <w:r w:rsidRPr="00902219">
        <w:rPr>
          <w:b/>
        </w:rPr>
        <w:t xml:space="preserve">Quality </w:t>
      </w:r>
      <w:r w:rsidRPr="00345AB8">
        <w:t>was not a moder</w:t>
      </w:r>
      <w:r>
        <w:t>ating variable in Stroop (p=0.87</w:t>
      </w:r>
      <w:r w:rsidRPr="00345AB8">
        <w:t>), Go/No-Go (p=0.</w:t>
      </w:r>
      <w:r>
        <w:t>22</w:t>
      </w:r>
      <w:r w:rsidRPr="00345AB8">
        <w:t>),</w:t>
      </w:r>
      <w:r>
        <w:t xml:space="preserve"> decision-making (p=0.3</w:t>
      </w:r>
      <w:r w:rsidRPr="00345AB8">
        <w:t>9) or working-memory (p=0.21).</w:t>
      </w:r>
    </w:p>
    <w:p w14:paraId="5F940E88" w14:textId="77777777" w:rsidR="005C757D" w:rsidRDefault="005C757D">
      <w:pPr>
        <w:spacing w:line="259" w:lineRule="auto"/>
        <w:jc w:val="left"/>
        <w:rPr>
          <w:rFonts w:asciiTheme="majorHAnsi" w:eastAsiaTheme="majorEastAsia" w:hAnsiTheme="majorHAnsi" w:cstheme="majorBidi"/>
          <w:b/>
          <w:color w:val="000000" w:themeColor="text1"/>
          <w:sz w:val="28"/>
          <w:szCs w:val="32"/>
        </w:rPr>
      </w:pPr>
      <w:r>
        <w:br w:type="page"/>
      </w:r>
    </w:p>
    <w:p w14:paraId="75B73E46" w14:textId="1F10934D" w:rsidR="00562424" w:rsidRDefault="00562424" w:rsidP="00562424">
      <w:pPr>
        <w:pStyle w:val="Heading1"/>
      </w:pPr>
      <w:r>
        <w:lastRenderedPageBreak/>
        <w:t>TABLE S</w:t>
      </w:r>
      <w:r>
        <w:t>7</w:t>
      </w:r>
      <w:r>
        <w:t xml:space="preserve"> - List of studies </w:t>
      </w:r>
      <w:bookmarkStart w:id="0" w:name="_GoBack"/>
      <w:bookmarkEnd w:id="0"/>
      <w:r>
        <w:t>that were excluded from the meta-analysis</w:t>
      </w:r>
    </w:p>
    <w:tbl>
      <w:tblPr>
        <w:tblStyle w:val="TableGrid"/>
        <w:tblW w:w="0" w:type="auto"/>
        <w:tblLook w:val="04A0" w:firstRow="1" w:lastRow="0" w:firstColumn="1" w:lastColumn="0" w:noHBand="0" w:noVBand="1"/>
      </w:tblPr>
      <w:tblGrid>
        <w:gridCol w:w="704"/>
        <w:gridCol w:w="4820"/>
        <w:gridCol w:w="4932"/>
      </w:tblGrid>
      <w:tr w:rsidR="00562424" w:rsidRPr="00CB212E" w14:paraId="227EC979" w14:textId="77777777" w:rsidTr="002E1E52">
        <w:tc>
          <w:tcPr>
            <w:tcW w:w="704" w:type="dxa"/>
            <w:shd w:val="clear" w:color="auto" w:fill="E7E6E6" w:themeFill="background2"/>
          </w:tcPr>
          <w:p w14:paraId="11DCF639" w14:textId="77777777" w:rsidR="00562424" w:rsidRPr="00CB212E" w:rsidRDefault="00562424" w:rsidP="002E1E52">
            <w:pPr>
              <w:rPr>
                <w:sz w:val="20"/>
              </w:rPr>
            </w:pPr>
          </w:p>
        </w:tc>
        <w:tc>
          <w:tcPr>
            <w:tcW w:w="4820" w:type="dxa"/>
            <w:shd w:val="clear" w:color="auto" w:fill="E7E6E6" w:themeFill="background2"/>
          </w:tcPr>
          <w:p w14:paraId="64DEA6AC" w14:textId="77777777" w:rsidR="00562424" w:rsidRPr="00CB212E" w:rsidRDefault="00562424" w:rsidP="002E1E52">
            <w:pPr>
              <w:rPr>
                <w:b/>
                <w:sz w:val="20"/>
              </w:rPr>
            </w:pPr>
            <w:r w:rsidRPr="00CB212E">
              <w:rPr>
                <w:b/>
                <w:sz w:val="20"/>
              </w:rPr>
              <w:t>Study</w:t>
            </w:r>
          </w:p>
        </w:tc>
        <w:tc>
          <w:tcPr>
            <w:tcW w:w="4932" w:type="dxa"/>
            <w:shd w:val="clear" w:color="auto" w:fill="E7E6E6" w:themeFill="background2"/>
          </w:tcPr>
          <w:p w14:paraId="4CACF6A4" w14:textId="77777777" w:rsidR="00562424" w:rsidRPr="00CB212E" w:rsidRDefault="00562424" w:rsidP="002E1E52">
            <w:pPr>
              <w:rPr>
                <w:b/>
                <w:sz w:val="20"/>
              </w:rPr>
            </w:pPr>
            <w:r w:rsidRPr="00CB212E">
              <w:rPr>
                <w:b/>
                <w:sz w:val="20"/>
              </w:rPr>
              <w:t>Task</w:t>
            </w:r>
          </w:p>
        </w:tc>
      </w:tr>
      <w:tr w:rsidR="00562424" w:rsidRPr="008C2128" w14:paraId="4C3D6E54" w14:textId="77777777" w:rsidTr="002E1E52">
        <w:trPr>
          <w:trHeight w:val="300"/>
        </w:trPr>
        <w:tc>
          <w:tcPr>
            <w:tcW w:w="704" w:type="dxa"/>
            <w:shd w:val="clear" w:color="auto" w:fill="F2F2F2" w:themeFill="background1" w:themeFillShade="F2"/>
            <w:noWrap/>
          </w:tcPr>
          <w:p w14:paraId="7503DCE7"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w:t>
            </w:r>
          </w:p>
        </w:tc>
        <w:tc>
          <w:tcPr>
            <w:tcW w:w="4820" w:type="dxa"/>
            <w:noWrap/>
          </w:tcPr>
          <w:p w14:paraId="303E81BB"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Bailey et al., Front in </w:t>
            </w:r>
            <w:proofErr w:type="spellStart"/>
            <w:r w:rsidRPr="008C2128">
              <w:rPr>
                <w:rFonts w:ascii="Calibri" w:eastAsia="Times New Roman" w:hAnsi="Calibri" w:cs="Calibri"/>
                <w:color w:val="000000"/>
                <w:sz w:val="20"/>
                <w:lang w:eastAsia="en-GB"/>
              </w:rPr>
              <w:t>Psychol</w:t>
            </w:r>
            <w:proofErr w:type="spellEnd"/>
            <w:r w:rsidRPr="008C2128">
              <w:rPr>
                <w:rFonts w:ascii="Calibri" w:eastAsia="Times New Roman" w:hAnsi="Calibri" w:cs="Calibri"/>
                <w:color w:val="000000"/>
                <w:sz w:val="20"/>
                <w:lang w:eastAsia="en-GB"/>
              </w:rPr>
              <w:t xml:space="preserve"> 2013</w:t>
            </w:r>
          </w:p>
        </w:tc>
        <w:tc>
          <w:tcPr>
            <w:tcW w:w="4932" w:type="dxa"/>
            <w:noWrap/>
          </w:tcPr>
          <w:p w14:paraId="6903A77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CB212E">
              <w:rPr>
                <w:rFonts w:ascii="Calibri" w:eastAsia="Times New Roman" w:hAnsi="Calibri" w:cs="Calibri"/>
                <w:color w:val="000000"/>
                <w:sz w:val="20"/>
                <w:lang w:eastAsia="en-GB"/>
              </w:rPr>
              <w:t>IGT/ Temporal Discounting/Risk task/Probabilistic selection</w:t>
            </w:r>
          </w:p>
        </w:tc>
      </w:tr>
      <w:tr w:rsidR="00562424" w:rsidRPr="00CB212E" w14:paraId="1794E6E2" w14:textId="77777777" w:rsidTr="002E1E52">
        <w:trPr>
          <w:trHeight w:val="300"/>
        </w:trPr>
        <w:tc>
          <w:tcPr>
            <w:tcW w:w="704" w:type="dxa"/>
            <w:shd w:val="clear" w:color="auto" w:fill="F2F2F2" w:themeFill="background1" w:themeFillShade="F2"/>
            <w:noWrap/>
          </w:tcPr>
          <w:p w14:paraId="6BBE7962"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w:t>
            </w:r>
          </w:p>
        </w:tc>
        <w:tc>
          <w:tcPr>
            <w:tcW w:w="4820" w:type="dxa"/>
            <w:noWrap/>
          </w:tcPr>
          <w:p w14:paraId="0543A1E3"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Balconi</w:t>
            </w:r>
            <w:proofErr w:type="spellEnd"/>
            <w:r w:rsidRPr="008C2128">
              <w:rPr>
                <w:rFonts w:ascii="Calibri" w:eastAsia="Times New Roman" w:hAnsi="Calibri" w:cs="Calibri"/>
                <w:color w:val="000000"/>
                <w:sz w:val="20"/>
                <w:lang w:eastAsia="en-GB"/>
              </w:rPr>
              <w:t xml:space="preserve"> &amp; </w:t>
            </w:r>
            <w:proofErr w:type="spellStart"/>
            <w:r w:rsidRPr="008C2128">
              <w:rPr>
                <w:rFonts w:ascii="Calibri" w:eastAsia="Times New Roman" w:hAnsi="Calibri" w:cs="Calibri"/>
                <w:color w:val="000000"/>
                <w:sz w:val="20"/>
                <w:lang w:eastAsia="en-GB"/>
              </w:rPr>
              <w:t>Finocchiaro</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Acta</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Neuro</w:t>
            </w:r>
            <w:proofErr w:type="spellEnd"/>
            <w:r w:rsidRPr="008C2128">
              <w:rPr>
                <w:rFonts w:ascii="Calibri" w:eastAsia="Times New Roman" w:hAnsi="Calibri" w:cs="Calibri"/>
                <w:color w:val="000000"/>
                <w:sz w:val="20"/>
                <w:lang w:eastAsia="en-GB"/>
              </w:rPr>
              <w:t>, 2016</w:t>
            </w:r>
          </w:p>
        </w:tc>
        <w:tc>
          <w:tcPr>
            <w:tcW w:w="4932" w:type="dxa"/>
            <w:noWrap/>
          </w:tcPr>
          <w:p w14:paraId="0EA6298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GNG</w:t>
            </w:r>
          </w:p>
        </w:tc>
      </w:tr>
      <w:tr w:rsidR="00562424" w:rsidRPr="00CB212E" w14:paraId="2C323A6A" w14:textId="77777777" w:rsidTr="002E1E52">
        <w:trPr>
          <w:trHeight w:val="300"/>
        </w:trPr>
        <w:tc>
          <w:tcPr>
            <w:tcW w:w="704" w:type="dxa"/>
            <w:shd w:val="clear" w:color="auto" w:fill="F2F2F2" w:themeFill="background1" w:themeFillShade="F2"/>
            <w:noWrap/>
          </w:tcPr>
          <w:p w14:paraId="466A2BB7"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w:t>
            </w:r>
          </w:p>
        </w:tc>
        <w:tc>
          <w:tcPr>
            <w:tcW w:w="4820" w:type="dxa"/>
            <w:noWrap/>
          </w:tcPr>
          <w:p w14:paraId="721BED7C"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Chen et al, Psych Res 2017</w:t>
            </w:r>
          </w:p>
        </w:tc>
        <w:tc>
          <w:tcPr>
            <w:tcW w:w="4932" w:type="dxa"/>
            <w:noWrap/>
          </w:tcPr>
          <w:p w14:paraId="34729E5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Facial Processing</w:t>
            </w:r>
          </w:p>
        </w:tc>
      </w:tr>
      <w:tr w:rsidR="00562424" w:rsidRPr="00CB212E" w14:paraId="64EFB575" w14:textId="77777777" w:rsidTr="002E1E52">
        <w:trPr>
          <w:trHeight w:val="300"/>
        </w:trPr>
        <w:tc>
          <w:tcPr>
            <w:tcW w:w="704" w:type="dxa"/>
            <w:shd w:val="clear" w:color="auto" w:fill="F2F2F2" w:themeFill="background1" w:themeFillShade="F2"/>
            <w:noWrap/>
          </w:tcPr>
          <w:p w14:paraId="1DF7CC2D"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4</w:t>
            </w:r>
          </w:p>
        </w:tc>
        <w:tc>
          <w:tcPr>
            <w:tcW w:w="4820" w:type="dxa"/>
            <w:noWrap/>
          </w:tcPr>
          <w:p w14:paraId="4660A1C1"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Choi et al., Psych Res, 2014</w:t>
            </w:r>
          </w:p>
        </w:tc>
        <w:tc>
          <w:tcPr>
            <w:tcW w:w="4932" w:type="dxa"/>
            <w:noWrap/>
          </w:tcPr>
          <w:p w14:paraId="042A46E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SSRT</w:t>
            </w:r>
          </w:p>
        </w:tc>
      </w:tr>
      <w:tr w:rsidR="00562424" w:rsidRPr="00CB212E" w14:paraId="34AAFAF0" w14:textId="77777777" w:rsidTr="002E1E52">
        <w:trPr>
          <w:trHeight w:val="300"/>
        </w:trPr>
        <w:tc>
          <w:tcPr>
            <w:tcW w:w="704" w:type="dxa"/>
            <w:shd w:val="clear" w:color="auto" w:fill="F2F2F2" w:themeFill="background1" w:themeFillShade="F2"/>
            <w:noWrap/>
          </w:tcPr>
          <w:p w14:paraId="5B112EA8"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5</w:t>
            </w:r>
          </w:p>
        </w:tc>
        <w:tc>
          <w:tcPr>
            <w:tcW w:w="4820" w:type="dxa"/>
            <w:noWrap/>
          </w:tcPr>
          <w:p w14:paraId="3D37C51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Decker et al., Comp in Human </w:t>
            </w:r>
            <w:proofErr w:type="spellStart"/>
            <w:r w:rsidRPr="008C2128">
              <w:rPr>
                <w:rFonts w:ascii="Calibri" w:eastAsia="Times New Roman" w:hAnsi="Calibri" w:cs="Calibri"/>
                <w:color w:val="000000"/>
                <w:sz w:val="20"/>
                <w:lang w:eastAsia="en-GB"/>
              </w:rPr>
              <w:t>Behav</w:t>
            </w:r>
            <w:proofErr w:type="spellEnd"/>
            <w:r w:rsidRPr="008C2128">
              <w:rPr>
                <w:rFonts w:ascii="Calibri" w:eastAsia="Times New Roman" w:hAnsi="Calibri" w:cs="Calibri"/>
                <w:color w:val="000000"/>
                <w:sz w:val="20"/>
                <w:lang w:eastAsia="en-GB"/>
              </w:rPr>
              <w:t>, 2011</w:t>
            </w:r>
          </w:p>
        </w:tc>
        <w:tc>
          <w:tcPr>
            <w:tcW w:w="4932" w:type="dxa"/>
            <w:noWrap/>
          </w:tcPr>
          <w:p w14:paraId="1F91BA76"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Internet GNG</w:t>
            </w:r>
          </w:p>
        </w:tc>
      </w:tr>
      <w:tr w:rsidR="00562424" w:rsidRPr="008C2128" w14:paraId="267F3B04" w14:textId="77777777" w:rsidTr="002E1E52">
        <w:trPr>
          <w:trHeight w:val="300"/>
        </w:trPr>
        <w:tc>
          <w:tcPr>
            <w:tcW w:w="704" w:type="dxa"/>
            <w:shd w:val="clear" w:color="auto" w:fill="F2F2F2" w:themeFill="background1" w:themeFillShade="F2"/>
            <w:noWrap/>
          </w:tcPr>
          <w:p w14:paraId="1E699A43"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6</w:t>
            </w:r>
          </w:p>
        </w:tc>
        <w:tc>
          <w:tcPr>
            <w:tcW w:w="4820" w:type="dxa"/>
            <w:noWrap/>
          </w:tcPr>
          <w:p w14:paraId="544FC458"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Dieter et al., </w:t>
            </w:r>
            <w:proofErr w:type="spellStart"/>
            <w:r w:rsidRPr="008C2128">
              <w:rPr>
                <w:rFonts w:ascii="Calibri" w:eastAsia="Times New Roman" w:hAnsi="Calibri" w:cs="Calibri"/>
                <w:color w:val="000000"/>
                <w:sz w:val="20"/>
                <w:lang w:eastAsia="en-GB"/>
              </w:rPr>
              <w:t>Bheavior</w:t>
            </w:r>
            <w:proofErr w:type="spellEnd"/>
            <w:r w:rsidRPr="008C2128">
              <w:rPr>
                <w:rFonts w:ascii="Calibri" w:eastAsia="Times New Roman" w:hAnsi="Calibri" w:cs="Calibri"/>
                <w:color w:val="000000"/>
                <w:sz w:val="20"/>
                <w:lang w:eastAsia="en-GB"/>
              </w:rPr>
              <w:t xml:space="preserve"> Brain Res 2017</w:t>
            </w:r>
          </w:p>
        </w:tc>
        <w:tc>
          <w:tcPr>
            <w:tcW w:w="4932" w:type="dxa"/>
            <w:noWrap/>
          </w:tcPr>
          <w:p w14:paraId="132C532A"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Emotional Stroop</w:t>
            </w:r>
          </w:p>
        </w:tc>
      </w:tr>
      <w:tr w:rsidR="00562424" w:rsidRPr="008C2128" w14:paraId="46428DD9" w14:textId="77777777" w:rsidTr="002E1E52">
        <w:trPr>
          <w:trHeight w:val="300"/>
        </w:trPr>
        <w:tc>
          <w:tcPr>
            <w:tcW w:w="704" w:type="dxa"/>
            <w:shd w:val="clear" w:color="auto" w:fill="F2F2F2" w:themeFill="background1" w:themeFillShade="F2"/>
            <w:noWrap/>
          </w:tcPr>
          <w:p w14:paraId="7A07CA3D"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7</w:t>
            </w:r>
          </w:p>
        </w:tc>
        <w:tc>
          <w:tcPr>
            <w:tcW w:w="4820" w:type="dxa"/>
            <w:noWrap/>
          </w:tcPr>
          <w:p w14:paraId="17E6726F"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Dong et al., </w:t>
            </w:r>
            <w:proofErr w:type="spellStart"/>
            <w:r w:rsidRPr="008C2128">
              <w:rPr>
                <w:rFonts w:ascii="Calibri" w:eastAsia="Times New Roman" w:hAnsi="Calibri" w:cs="Calibri"/>
                <w:color w:val="000000"/>
                <w:sz w:val="20"/>
                <w:lang w:eastAsia="en-GB"/>
              </w:rPr>
              <w:t>Prog</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Neuropsychopharm</w:t>
            </w:r>
            <w:proofErr w:type="spellEnd"/>
            <w:r w:rsidRPr="008C2128">
              <w:rPr>
                <w:rFonts w:ascii="Calibri" w:eastAsia="Times New Roman" w:hAnsi="Calibri" w:cs="Calibri"/>
                <w:color w:val="000000"/>
                <w:sz w:val="20"/>
                <w:lang w:eastAsia="en-GB"/>
              </w:rPr>
              <w:t xml:space="preserve"> Bio, 2015</w:t>
            </w:r>
          </w:p>
        </w:tc>
        <w:tc>
          <w:tcPr>
            <w:tcW w:w="4932" w:type="dxa"/>
            <w:noWrap/>
          </w:tcPr>
          <w:p w14:paraId="7EC0D1E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Stroop</w:t>
            </w:r>
          </w:p>
        </w:tc>
      </w:tr>
      <w:tr w:rsidR="00562424" w:rsidRPr="008C2128" w14:paraId="1DA96827" w14:textId="77777777" w:rsidTr="002E1E52">
        <w:trPr>
          <w:trHeight w:val="375"/>
        </w:trPr>
        <w:tc>
          <w:tcPr>
            <w:tcW w:w="704" w:type="dxa"/>
            <w:shd w:val="clear" w:color="auto" w:fill="F2F2F2" w:themeFill="background1" w:themeFillShade="F2"/>
            <w:noWrap/>
          </w:tcPr>
          <w:p w14:paraId="02489760"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8</w:t>
            </w:r>
          </w:p>
        </w:tc>
        <w:tc>
          <w:tcPr>
            <w:tcW w:w="4820" w:type="dxa"/>
            <w:noWrap/>
          </w:tcPr>
          <w:p w14:paraId="35E3F3A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Han et al., </w:t>
            </w:r>
            <w:proofErr w:type="spellStart"/>
            <w:r w:rsidRPr="008C2128">
              <w:rPr>
                <w:rFonts w:ascii="Calibri" w:eastAsia="Times New Roman" w:hAnsi="Calibri" w:cs="Calibri"/>
                <w:color w:val="000000"/>
                <w:sz w:val="20"/>
                <w:lang w:eastAsia="en-GB"/>
              </w:rPr>
              <w:t>Journ</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Affec</w:t>
            </w:r>
            <w:proofErr w:type="spellEnd"/>
            <w:r w:rsidRPr="008C2128">
              <w:rPr>
                <w:rFonts w:ascii="Calibri" w:eastAsia="Times New Roman" w:hAnsi="Calibri" w:cs="Calibri"/>
                <w:color w:val="000000"/>
                <w:sz w:val="20"/>
                <w:lang w:eastAsia="en-GB"/>
              </w:rPr>
              <w:t xml:space="preserve"> Dis 2016</w:t>
            </w:r>
          </w:p>
        </w:tc>
        <w:tc>
          <w:tcPr>
            <w:tcW w:w="4932" w:type="dxa"/>
          </w:tcPr>
          <w:p w14:paraId="0507F75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Set shifting</w:t>
            </w:r>
          </w:p>
        </w:tc>
      </w:tr>
      <w:tr w:rsidR="00562424" w:rsidRPr="008C2128" w14:paraId="1956451B" w14:textId="77777777" w:rsidTr="002E1E52">
        <w:trPr>
          <w:trHeight w:val="300"/>
        </w:trPr>
        <w:tc>
          <w:tcPr>
            <w:tcW w:w="704" w:type="dxa"/>
            <w:shd w:val="clear" w:color="auto" w:fill="F2F2F2" w:themeFill="background1" w:themeFillShade="F2"/>
            <w:noWrap/>
          </w:tcPr>
          <w:p w14:paraId="070D70F2"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9</w:t>
            </w:r>
          </w:p>
        </w:tc>
        <w:tc>
          <w:tcPr>
            <w:tcW w:w="4820" w:type="dxa"/>
            <w:noWrap/>
          </w:tcPr>
          <w:p w14:paraId="29B2A00C"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Jeromin</w:t>
            </w:r>
            <w:proofErr w:type="spellEnd"/>
            <w:r w:rsidRPr="008C2128">
              <w:rPr>
                <w:rFonts w:ascii="Calibri" w:eastAsia="Times New Roman" w:hAnsi="Calibri" w:cs="Calibri"/>
                <w:color w:val="000000"/>
                <w:sz w:val="20"/>
                <w:lang w:eastAsia="en-GB"/>
              </w:rPr>
              <w:t xml:space="preserve"> et al</w:t>
            </w:r>
            <w:proofErr w:type="gramStart"/>
            <w:r w:rsidRPr="008C2128">
              <w:rPr>
                <w:rFonts w:ascii="Calibri" w:eastAsia="Times New Roman" w:hAnsi="Calibri" w:cs="Calibri"/>
                <w:color w:val="000000"/>
                <w:sz w:val="20"/>
                <w:lang w:eastAsia="en-GB"/>
              </w:rPr>
              <w:t>,.</w:t>
            </w:r>
            <w:proofErr w:type="gramEnd"/>
            <w:r w:rsidRPr="008C2128">
              <w:rPr>
                <w:rFonts w:ascii="Calibri" w:eastAsia="Times New Roman" w:hAnsi="Calibri" w:cs="Calibri"/>
                <w:color w:val="000000"/>
                <w:sz w:val="20"/>
                <w:lang w:eastAsia="en-GB"/>
              </w:rPr>
              <w:t xml:space="preserve"> J of </w:t>
            </w:r>
            <w:proofErr w:type="spellStart"/>
            <w:r w:rsidRPr="008C2128">
              <w:rPr>
                <w:rFonts w:ascii="Calibri" w:eastAsia="Times New Roman" w:hAnsi="Calibri" w:cs="Calibri"/>
                <w:color w:val="000000"/>
                <w:sz w:val="20"/>
                <w:lang w:eastAsia="en-GB"/>
              </w:rPr>
              <w:t>Behav</w:t>
            </w:r>
            <w:proofErr w:type="spellEnd"/>
            <w:r w:rsidRPr="008C2128">
              <w:rPr>
                <w:rFonts w:ascii="Calibri" w:eastAsia="Times New Roman" w:hAnsi="Calibri" w:cs="Calibri"/>
                <w:color w:val="000000"/>
                <w:sz w:val="20"/>
                <w:lang w:eastAsia="en-GB"/>
              </w:rPr>
              <w:t xml:space="preserve"> Add, 2016 (b)</w:t>
            </w:r>
          </w:p>
        </w:tc>
        <w:tc>
          <w:tcPr>
            <w:tcW w:w="4932" w:type="dxa"/>
            <w:noWrap/>
          </w:tcPr>
          <w:p w14:paraId="44B2C5A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Internet Stroop</w:t>
            </w:r>
            <w:r w:rsidRPr="00CB212E">
              <w:rPr>
                <w:rFonts w:ascii="Calibri" w:eastAsia="Times New Roman" w:hAnsi="Calibri" w:cs="Calibri"/>
                <w:color w:val="000000"/>
                <w:sz w:val="20"/>
                <w:lang w:eastAsia="en-GB"/>
              </w:rPr>
              <w:t>/</w:t>
            </w:r>
            <w:r w:rsidRPr="008C2128">
              <w:rPr>
                <w:rFonts w:ascii="Calibri" w:eastAsia="Times New Roman" w:hAnsi="Calibri" w:cs="Calibri"/>
                <w:color w:val="000000"/>
                <w:sz w:val="20"/>
                <w:lang w:eastAsia="en-GB"/>
              </w:rPr>
              <w:t>Stroop</w:t>
            </w:r>
          </w:p>
        </w:tc>
      </w:tr>
      <w:tr w:rsidR="00562424" w:rsidRPr="008C2128" w14:paraId="6F4911DF" w14:textId="77777777" w:rsidTr="002E1E52">
        <w:trPr>
          <w:trHeight w:val="300"/>
        </w:trPr>
        <w:tc>
          <w:tcPr>
            <w:tcW w:w="704" w:type="dxa"/>
            <w:shd w:val="clear" w:color="auto" w:fill="F2F2F2" w:themeFill="background1" w:themeFillShade="F2"/>
            <w:noWrap/>
          </w:tcPr>
          <w:p w14:paraId="1DA5ECAF"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10</w:t>
            </w:r>
          </w:p>
        </w:tc>
        <w:tc>
          <w:tcPr>
            <w:tcW w:w="4820" w:type="dxa"/>
            <w:noWrap/>
          </w:tcPr>
          <w:p w14:paraId="0175C12E" w14:textId="77777777" w:rsidR="00562424" w:rsidRPr="008C2128" w:rsidRDefault="00562424" w:rsidP="002E1E52">
            <w:pPr>
              <w:spacing w:line="240" w:lineRule="auto"/>
              <w:jc w:val="left"/>
              <w:rPr>
                <w:rFonts w:ascii="Calibri" w:eastAsia="Times New Roman" w:hAnsi="Calibri" w:cs="Calibri"/>
                <w:sz w:val="20"/>
                <w:lang w:eastAsia="en-GB"/>
              </w:rPr>
            </w:pPr>
            <w:proofErr w:type="spellStart"/>
            <w:r w:rsidRPr="008C2128">
              <w:rPr>
                <w:rFonts w:ascii="Calibri" w:eastAsia="Times New Roman" w:hAnsi="Calibri" w:cs="Calibri"/>
                <w:sz w:val="20"/>
                <w:lang w:eastAsia="en-GB"/>
              </w:rPr>
              <w:t>Jeromin</w:t>
            </w:r>
            <w:proofErr w:type="spellEnd"/>
            <w:r w:rsidRPr="008C2128">
              <w:rPr>
                <w:rFonts w:ascii="Calibri" w:eastAsia="Times New Roman" w:hAnsi="Calibri" w:cs="Calibri"/>
                <w:sz w:val="20"/>
                <w:lang w:eastAsia="en-GB"/>
              </w:rPr>
              <w:t xml:space="preserve"> et al</w:t>
            </w:r>
            <w:proofErr w:type="gramStart"/>
            <w:r w:rsidRPr="008C2128">
              <w:rPr>
                <w:rFonts w:ascii="Calibri" w:eastAsia="Times New Roman" w:hAnsi="Calibri" w:cs="Calibri"/>
                <w:sz w:val="20"/>
                <w:lang w:eastAsia="en-GB"/>
              </w:rPr>
              <w:t>,.</w:t>
            </w:r>
            <w:proofErr w:type="gramEnd"/>
            <w:r w:rsidRPr="008C2128">
              <w:rPr>
                <w:rFonts w:ascii="Calibri" w:eastAsia="Times New Roman" w:hAnsi="Calibri" w:cs="Calibri"/>
                <w:sz w:val="20"/>
                <w:lang w:eastAsia="en-GB"/>
              </w:rPr>
              <w:t xml:space="preserve"> J of </w:t>
            </w:r>
            <w:proofErr w:type="spellStart"/>
            <w:r w:rsidRPr="008C2128">
              <w:rPr>
                <w:rFonts w:ascii="Calibri" w:eastAsia="Times New Roman" w:hAnsi="Calibri" w:cs="Calibri"/>
                <w:sz w:val="20"/>
                <w:lang w:eastAsia="en-GB"/>
              </w:rPr>
              <w:t>Behav</w:t>
            </w:r>
            <w:proofErr w:type="spellEnd"/>
            <w:r w:rsidRPr="008C2128">
              <w:rPr>
                <w:rFonts w:ascii="Calibri" w:eastAsia="Times New Roman" w:hAnsi="Calibri" w:cs="Calibri"/>
                <w:sz w:val="20"/>
                <w:lang w:eastAsia="en-GB"/>
              </w:rPr>
              <w:t xml:space="preserve"> Add, 2016</w:t>
            </w:r>
          </w:p>
        </w:tc>
        <w:tc>
          <w:tcPr>
            <w:tcW w:w="4932" w:type="dxa"/>
            <w:noWrap/>
          </w:tcPr>
          <w:p w14:paraId="1D80BFC1"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Internet Stroop</w:t>
            </w:r>
          </w:p>
        </w:tc>
      </w:tr>
      <w:tr w:rsidR="00562424" w:rsidRPr="008C2128" w14:paraId="5AEB1852" w14:textId="77777777" w:rsidTr="002E1E52">
        <w:trPr>
          <w:trHeight w:val="300"/>
        </w:trPr>
        <w:tc>
          <w:tcPr>
            <w:tcW w:w="704" w:type="dxa"/>
            <w:shd w:val="clear" w:color="auto" w:fill="F2F2F2" w:themeFill="background1" w:themeFillShade="F2"/>
            <w:noWrap/>
          </w:tcPr>
          <w:p w14:paraId="613F9DA5"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11</w:t>
            </w:r>
          </w:p>
        </w:tc>
        <w:tc>
          <w:tcPr>
            <w:tcW w:w="4820" w:type="dxa"/>
            <w:noWrap/>
          </w:tcPr>
          <w:p w14:paraId="608FAE50"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Ko</w:t>
            </w:r>
            <w:proofErr w:type="spellEnd"/>
            <w:r w:rsidRPr="008C2128">
              <w:rPr>
                <w:rFonts w:ascii="Calibri" w:eastAsia="Times New Roman" w:hAnsi="Calibri" w:cs="Calibri"/>
                <w:color w:val="000000"/>
                <w:sz w:val="20"/>
                <w:lang w:eastAsia="en-GB"/>
              </w:rPr>
              <w:t xml:space="preserve"> et al., Asia-Pacific Psych, 2014</w:t>
            </w:r>
          </w:p>
        </w:tc>
        <w:tc>
          <w:tcPr>
            <w:tcW w:w="4932" w:type="dxa"/>
            <w:noWrap/>
          </w:tcPr>
          <w:p w14:paraId="031F1812"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Directed forgetting Internet</w:t>
            </w:r>
          </w:p>
        </w:tc>
      </w:tr>
      <w:tr w:rsidR="00562424" w:rsidRPr="008C2128" w14:paraId="5C8C785A" w14:textId="77777777" w:rsidTr="002E1E52">
        <w:trPr>
          <w:trHeight w:val="300"/>
        </w:trPr>
        <w:tc>
          <w:tcPr>
            <w:tcW w:w="704" w:type="dxa"/>
            <w:shd w:val="clear" w:color="auto" w:fill="F2F2F2" w:themeFill="background1" w:themeFillShade="F2"/>
            <w:noWrap/>
          </w:tcPr>
          <w:p w14:paraId="0810DAF6"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12</w:t>
            </w:r>
          </w:p>
        </w:tc>
        <w:tc>
          <w:tcPr>
            <w:tcW w:w="4820" w:type="dxa"/>
            <w:noWrap/>
          </w:tcPr>
          <w:p w14:paraId="09ACB955"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Lee et al., </w:t>
            </w:r>
            <w:proofErr w:type="spellStart"/>
            <w:r w:rsidRPr="008C2128">
              <w:rPr>
                <w:rFonts w:ascii="Calibri" w:eastAsia="Times New Roman" w:hAnsi="Calibri" w:cs="Calibri"/>
                <w:color w:val="000000"/>
                <w:sz w:val="20"/>
                <w:lang w:eastAsia="en-GB"/>
              </w:rPr>
              <w:t>Cyberpsychol</w:t>
            </w:r>
            <w:proofErr w:type="spellEnd"/>
            <w:r w:rsidRPr="008C2128">
              <w:rPr>
                <w:rFonts w:ascii="Calibri" w:eastAsia="Times New Roman" w:hAnsi="Calibri" w:cs="Calibri"/>
                <w:color w:val="000000"/>
                <w:sz w:val="20"/>
                <w:lang w:eastAsia="en-GB"/>
              </w:rPr>
              <w:t>, 2015</w:t>
            </w:r>
          </w:p>
        </w:tc>
        <w:tc>
          <w:tcPr>
            <w:tcW w:w="4932" w:type="dxa"/>
            <w:noWrap/>
          </w:tcPr>
          <w:p w14:paraId="424E9A91"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Stroop Match-to-Sample</w:t>
            </w:r>
          </w:p>
        </w:tc>
      </w:tr>
      <w:tr w:rsidR="00562424" w:rsidRPr="008C2128" w14:paraId="46EE3BB9" w14:textId="77777777" w:rsidTr="002E1E52">
        <w:trPr>
          <w:trHeight w:val="300"/>
        </w:trPr>
        <w:tc>
          <w:tcPr>
            <w:tcW w:w="704" w:type="dxa"/>
            <w:shd w:val="clear" w:color="auto" w:fill="F2F2F2" w:themeFill="background1" w:themeFillShade="F2"/>
            <w:noWrap/>
          </w:tcPr>
          <w:p w14:paraId="13F20012"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13</w:t>
            </w:r>
          </w:p>
        </w:tc>
        <w:tc>
          <w:tcPr>
            <w:tcW w:w="4820" w:type="dxa"/>
            <w:noWrap/>
          </w:tcPr>
          <w:p w14:paraId="45F9712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Lim et al., Medicine Open, 2016</w:t>
            </w:r>
          </w:p>
        </w:tc>
        <w:tc>
          <w:tcPr>
            <w:tcW w:w="4932" w:type="dxa"/>
            <w:noWrap/>
          </w:tcPr>
          <w:p w14:paraId="0D77C5DC"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Verbal fluency</w:t>
            </w:r>
          </w:p>
        </w:tc>
      </w:tr>
      <w:tr w:rsidR="00562424" w:rsidRPr="008C2128" w14:paraId="773915A6" w14:textId="77777777" w:rsidTr="002E1E52">
        <w:trPr>
          <w:trHeight w:val="300"/>
        </w:trPr>
        <w:tc>
          <w:tcPr>
            <w:tcW w:w="704" w:type="dxa"/>
            <w:shd w:val="clear" w:color="auto" w:fill="F2F2F2" w:themeFill="background1" w:themeFillShade="F2"/>
            <w:noWrap/>
          </w:tcPr>
          <w:p w14:paraId="3C7607E4"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14</w:t>
            </w:r>
          </w:p>
        </w:tc>
        <w:tc>
          <w:tcPr>
            <w:tcW w:w="4820" w:type="dxa"/>
            <w:noWrap/>
          </w:tcPr>
          <w:p w14:paraId="17198DF2"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Lim et al., Medicine Open, 2016</w:t>
            </w:r>
          </w:p>
        </w:tc>
        <w:tc>
          <w:tcPr>
            <w:tcW w:w="4932" w:type="dxa"/>
            <w:noWrap/>
          </w:tcPr>
          <w:p w14:paraId="4A6747C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Planning</w:t>
            </w:r>
          </w:p>
        </w:tc>
      </w:tr>
      <w:tr w:rsidR="00562424" w:rsidRPr="008C2128" w14:paraId="794D2648" w14:textId="77777777" w:rsidTr="002E1E52">
        <w:trPr>
          <w:trHeight w:val="300"/>
        </w:trPr>
        <w:tc>
          <w:tcPr>
            <w:tcW w:w="704" w:type="dxa"/>
            <w:shd w:val="clear" w:color="auto" w:fill="F2F2F2" w:themeFill="background1" w:themeFillShade="F2"/>
            <w:noWrap/>
          </w:tcPr>
          <w:p w14:paraId="64006D46"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15</w:t>
            </w:r>
          </w:p>
        </w:tc>
        <w:tc>
          <w:tcPr>
            <w:tcW w:w="4820" w:type="dxa"/>
            <w:noWrap/>
          </w:tcPr>
          <w:p w14:paraId="7F6D0CE3"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Liu et al., </w:t>
            </w:r>
            <w:proofErr w:type="spellStart"/>
            <w:r w:rsidRPr="008C2128">
              <w:rPr>
                <w:rFonts w:ascii="Calibri" w:eastAsia="Times New Roman" w:hAnsi="Calibri" w:cs="Calibri"/>
                <w:color w:val="000000"/>
                <w:sz w:val="20"/>
                <w:lang w:eastAsia="en-GB"/>
              </w:rPr>
              <w:t>Neuroimage</w:t>
            </w:r>
            <w:proofErr w:type="spellEnd"/>
            <w:r w:rsidRPr="008C2128">
              <w:rPr>
                <w:rFonts w:ascii="Calibri" w:eastAsia="Times New Roman" w:hAnsi="Calibri" w:cs="Calibri"/>
                <w:color w:val="000000"/>
                <w:sz w:val="20"/>
                <w:lang w:eastAsia="en-GB"/>
              </w:rPr>
              <w:t>, 2017</w:t>
            </w:r>
          </w:p>
        </w:tc>
        <w:tc>
          <w:tcPr>
            <w:tcW w:w="4932" w:type="dxa"/>
            <w:noWrap/>
          </w:tcPr>
          <w:p w14:paraId="15946757"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Cups task</w:t>
            </w:r>
          </w:p>
        </w:tc>
      </w:tr>
      <w:tr w:rsidR="00562424" w:rsidRPr="008C2128" w14:paraId="760B1DC4" w14:textId="77777777" w:rsidTr="002E1E52">
        <w:trPr>
          <w:trHeight w:val="300"/>
        </w:trPr>
        <w:tc>
          <w:tcPr>
            <w:tcW w:w="704" w:type="dxa"/>
            <w:shd w:val="clear" w:color="auto" w:fill="F2F2F2" w:themeFill="background1" w:themeFillShade="F2"/>
            <w:noWrap/>
          </w:tcPr>
          <w:p w14:paraId="1FC28268"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16</w:t>
            </w:r>
          </w:p>
        </w:tc>
        <w:tc>
          <w:tcPr>
            <w:tcW w:w="4820" w:type="dxa"/>
            <w:noWrap/>
          </w:tcPr>
          <w:p w14:paraId="0411992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Li et al., </w:t>
            </w:r>
            <w:proofErr w:type="spellStart"/>
            <w:r w:rsidRPr="008C2128">
              <w:rPr>
                <w:rFonts w:ascii="Calibri" w:eastAsia="Times New Roman" w:hAnsi="Calibri" w:cs="Calibri"/>
                <w:color w:val="000000"/>
                <w:sz w:val="20"/>
                <w:lang w:eastAsia="en-GB"/>
              </w:rPr>
              <w:t>Sci</w:t>
            </w:r>
            <w:proofErr w:type="spellEnd"/>
            <w:r w:rsidRPr="008C2128">
              <w:rPr>
                <w:rFonts w:ascii="Calibri" w:eastAsia="Times New Roman" w:hAnsi="Calibri" w:cs="Calibri"/>
                <w:color w:val="000000"/>
                <w:sz w:val="20"/>
                <w:lang w:eastAsia="en-GB"/>
              </w:rPr>
              <w:t xml:space="preserve"> Rep, 2014</w:t>
            </w:r>
          </w:p>
        </w:tc>
        <w:tc>
          <w:tcPr>
            <w:tcW w:w="4932" w:type="dxa"/>
            <w:noWrap/>
          </w:tcPr>
          <w:p w14:paraId="322CA6E3"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GNG</w:t>
            </w:r>
          </w:p>
        </w:tc>
      </w:tr>
      <w:tr w:rsidR="00562424" w:rsidRPr="008C2128" w14:paraId="7923A6CA" w14:textId="77777777" w:rsidTr="002E1E52">
        <w:trPr>
          <w:trHeight w:val="300"/>
        </w:trPr>
        <w:tc>
          <w:tcPr>
            <w:tcW w:w="704" w:type="dxa"/>
            <w:shd w:val="clear" w:color="auto" w:fill="F2F2F2" w:themeFill="background1" w:themeFillShade="F2"/>
            <w:noWrap/>
          </w:tcPr>
          <w:p w14:paraId="2381D719"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17</w:t>
            </w:r>
          </w:p>
        </w:tc>
        <w:tc>
          <w:tcPr>
            <w:tcW w:w="4820" w:type="dxa"/>
            <w:noWrap/>
          </w:tcPr>
          <w:p w14:paraId="4725AD5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Lorenz et al., Addiction </w:t>
            </w:r>
            <w:proofErr w:type="spellStart"/>
            <w:r w:rsidRPr="008C2128">
              <w:rPr>
                <w:rFonts w:ascii="Calibri" w:eastAsia="Times New Roman" w:hAnsi="Calibri" w:cs="Calibri"/>
                <w:color w:val="000000"/>
                <w:sz w:val="20"/>
                <w:lang w:eastAsia="en-GB"/>
              </w:rPr>
              <w:t>Biol</w:t>
            </w:r>
            <w:proofErr w:type="spellEnd"/>
            <w:r w:rsidRPr="008C2128">
              <w:rPr>
                <w:rFonts w:ascii="Calibri" w:eastAsia="Times New Roman" w:hAnsi="Calibri" w:cs="Calibri"/>
                <w:color w:val="000000"/>
                <w:sz w:val="20"/>
                <w:lang w:eastAsia="en-GB"/>
              </w:rPr>
              <w:t>, 2012</w:t>
            </w:r>
          </w:p>
        </w:tc>
        <w:tc>
          <w:tcPr>
            <w:tcW w:w="4932" w:type="dxa"/>
            <w:noWrap/>
          </w:tcPr>
          <w:p w14:paraId="0B7741CA"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Dot probe</w:t>
            </w:r>
          </w:p>
        </w:tc>
      </w:tr>
      <w:tr w:rsidR="00562424" w:rsidRPr="008C2128" w14:paraId="7B2B4CB2" w14:textId="77777777" w:rsidTr="002E1E52">
        <w:trPr>
          <w:trHeight w:val="300"/>
        </w:trPr>
        <w:tc>
          <w:tcPr>
            <w:tcW w:w="704" w:type="dxa"/>
            <w:shd w:val="clear" w:color="auto" w:fill="F2F2F2" w:themeFill="background1" w:themeFillShade="F2"/>
            <w:noWrap/>
          </w:tcPr>
          <w:p w14:paraId="67C28D5D"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18</w:t>
            </w:r>
          </w:p>
        </w:tc>
        <w:tc>
          <w:tcPr>
            <w:tcW w:w="4820" w:type="dxa"/>
            <w:noWrap/>
          </w:tcPr>
          <w:p w14:paraId="2DB61DE6"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Metcalf et al., </w:t>
            </w:r>
            <w:proofErr w:type="spellStart"/>
            <w:r w:rsidRPr="008C2128">
              <w:rPr>
                <w:rFonts w:ascii="Calibri" w:eastAsia="Times New Roman" w:hAnsi="Calibri" w:cs="Calibri"/>
                <w:color w:val="000000"/>
                <w:sz w:val="20"/>
                <w:lang w:eastAsia="en-GB"/>
              </w:rPr>
              <w:t>Cyberpsychol</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Beh</w:t>
            </w:r>
            <w:proofErr w:type="spellEnd"/>
            <w:r w:rsidRPr="008C2128">
              <w:rPr>
                <w:rFonts w:ascii="Calibri" w:eastAsia="Times New Roman" w:hAnsi="Calibri" w:cs="Calibri"/>
                <w:color w:val="000000"/>
                <w:sz w:val="20"/>
                <w:lang w:eastAsia="en-GB"/>
              </w:rPr>
              <w:t xml:space="preserve"> and </w:t>
            </w:r>
            <w:proofErr w:type="spellStart"/>
            <w:r w:rsidRPr="008C2128">
              <w:rPr>
                <w:rFonts w:ascii="Calibri" w:eastAsia="Times New Roman" w:hAnsi="Calibri" w:cs="Calibri"/>
                <w:color w:val="000000"/>
                <w:sz w:val="20"/>
                <w:lang w:eastAsia="en-GB"/>
              </w:rPr>
              <w:t>Soc</w:t>
            </w:r>
            <w:proofErr w:type="spellEnd"/>
            <w:r w:rsidRPr="008C2128">
              <w:rPr>
                <w:rFonts w:ascii="Calibri" w:eastAsia="Times New Roman" w:hAnsi="Calibri" w:cs="Calibri"/>
                <w:color w:val="000000"/>
                <w:sz w:val="20"/>
                <w:lang w:eastAsia="en-GB"/>
              </w:rPr>
              <w:t xml:space="preserve"> N, 2014</w:t>
            </w:r>
          </w:p>
        </w:tc>
        <w:tc>
          <w:tcPr>
            <w:tcW w:w="4932" w:type="dxa"/>
            <w:noWrap/>
          </w:tcPr>
          <w:p w14:paraId="3EA5D6B9"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Sustained attention</w:t>
            </w:r>
          </w:p>
        </w:tc>
      </w:tr>
      <w:tr w:rsidR="00562424" w:rsidRPr="008C2128" w14:paraId="635C8217" w14:textId="77777777" w:rsidTr="002E1E52">
        <w:trPr>
          <w:trHeight w:val="300"/>
        </w:trPr>
        <w:tc>
          <w:tcPr>
            <w:tcW w:w="704" w:type="dxa"/>
            <w:shd w:val="clear" w:color="auto" w:fill="F2F2F2" w:themeFill="background1" w:themeFillShade="F2"/>
            <w:noWrap/>
          </w:tcPr>
          <w:p w14:paraId="472A5288"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19</w:t>
            </w:r>
          </w:p>
        </w:tc>
        <w:tc>
          <w:tcPr>
            <w:tcW w:w="4820" w:type="dxa"/>
            <w:noWrap/>
          </w:tcPr>
          <w:p w14:paraId="3DAD0DA3"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Nie</w:t>
            </w:r>
            <w:proofErr w:type="spellEnd"/>
            <w:r w:rsidRPr="008C2128">
              <w:rPr>
                <w:rFonts w:ascii="Calibri" w:eastAsia="Times New Roman" w:hAnsi="Calibri" w:cs="Calibri"/>
                <w:color w:val="000000"/>
                <w:sz w:val="20"/>
                <w:lang w:eastAsia="en-GB"/>
              </w:rPr>
              <w:t xml:space="preserve"> et al., </w:t>
            </w:r>
            <w:proofErr w:type="spellStart"/>
            <w:r w:rsidRPr="008C2128">
              <w:rPr>
                <w:rFonts w:ascii="Calibri" w:eastAsia="Times New Roman" w:hAnsi="Calibri" w:cs="Calibri"/>
                <w:color w:val="000000"/>
                <w:sz w:val="20"/>
                <w:lang w:eastAsia="en-GB"/>
              </w:rPr>
              <w:t>Compr</w:t>
            </w:r>
            <w:proofErr w:type="spellEnd"/>
            <w:r w:rsidRPr="008C2128">
              <w:rPr>
                <w:rFonts w:ascii="Calibri" w:eastAsia="Times New Roman" w:hAnsi="Calibri" w:cs="Calibri"/>
                <w:color w:val="000000"/>
                <w:sz w:val="20"/>
                <w:lang w:eastAsia="en-GB"/>
              </w:rPr>
              <w:t xml:space="preserve"> Psych, 2017</w:t>
            </w:r>
          </w:p>
        </w:tc>
        <w:tc>
          <w:tcPr>
            <w:tcW w:w="4932" w:type="dxa"/>
            <w:noWrap/>
          </w:tcPr>
          <w:p w14:paraId="32F10513"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Verbal Fluency</w:t>
            </w:r>
          </w:p>
        </w:tc>
      </w:tr>
      <w:tr w:rsidR="00562424" w:rsidRPr="008C2128" w14:paraId="0CCDAC92" w14:textId="77777777" w:rsidTr="002E1E52">
        <w:trPr>
          <w:trHeight w:val="300"/>
        </w:trPr>
        <w:tc>
          <w:tcPr>
            <w:tcW w:w="704" w:type="dxa"/>
            <w:shd w:val="clear" w:color="auto" w:fill="F2F2F2" w:themeFill="background1" w:themeFillShade="F2"/>
            <w:noWrap/>
          </w:tcPr>
          <w:p w14:paraId="6EF7A48A"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20</w:t>
            </w:r>
          </w:p>
        </w:tc>
        <w:tc>
          <w:tcPr>
            <w:tcW w:w="4820" w:type="dxa"/>
            <w:noWrap/>
          </w:tcPr>
          <w:p w14:paraId="2D702976"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Nie</w:t>
            </w:r>
            <w:proofErr w:type="spellEnd"/>
            <w:r w:rsidRPr="008C2128">
              <w:rPr>
                <w:rFonts w:ascii="Calibri" w:eastAsia="Times New Roman" w:hAnsi="Calibri" w:cs="Calibri"/>
                <w:color w:val="000000"/>
                <w:sz w:val="20"/>
                <w:lang w:eastAsia="en-GB"/>
              </w:rPr>
              <w:t xml:space="preserve"> et al., Psych Res, 2016</w:t>
            </w:r>
          </w:p>
        </w:tc>
        <w:tc>
          <w:tcPr>
            <w:tcW w:w="4932" w:type="dxa"/>
            <w:noWrap/>
          </w:tcPr>
          <w:p w14:paraId="42F359E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SSRT</w:t>
            </w:r>
          </w:p>
        </w:tc>
      </w:tr>
      <w:tr w:rsidR="00562424" w:rsidRPr="008C2128" w14:paraId="79DA7244" w14:textId="77777777" w:rsidTr="002E1E52">
        <w:trPr>
          <w:trHeight w:val="300"/>
        </w:trPr>
        <w:tc>
          <w:tcPr>
            <w:tcW w:w="704" w:type="dxa"/>
            <w:shd w:val="clear" w:color="auto" w:fill="F2F2F2" w:themeFill="background1" w:themeFillShade="F2"/>
            <w:noWrap/>
          </w:tcPr>
          <w:p w14:paraId="49621DDA"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Pr>
                <w:rFonts w:ascii="Calibri" w:eastAsia="Times New Roman" w:hAnsi="Calibri" w:cs="Calibri"/>
                <w:b/>
                <w:color w:val="000000"/>
                <w:sz w:val="20"/>
                <w:lang w:eastAsia="en-GB"/>
              </w:rPr>
              <w:t>21</w:t>
            </w:r>
          </w:p>
        </w:tc>
        <w:tc>
          <w:tcPr>
            <w:tcW w:w="4820" w:type="dxa"/>
            <w:noWrap/>
          </w:tcPr>
          <w:p w14:paraId="5420129B"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Park et al, Medicine 2017</w:t>
            </w:r>
          </w:p>
        </w:tc>
        <w:tc>
          <w:tcPr>
            <w:tcW w:w="4932" w:type="dxa"/>
            <w:noWrap/>
          </w:tcPr>
          <w:p w14:paraId="6D76990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Auditory odd ball</w:t>
            </w:r>
          </w:p>
        </w:tc>
      </w:tr>
      <w:tr w:rsidR="00562424" w:rsidRPr="008C2128" w14:paraId="2DD98AD8" w14:textId="77777777" w:rsidTr="002E1E52">
        <w:trPr>
          <w:trHeight w:val="300"/>
        </w:trPr>
        <w:tc>
          <w:tcPr>
            <w:tcW w:w="704" w:type="dxa"/>
            <w:shd w:val="clear" w:color="auto" w:fill="F2F2F2" w:themeFill="background1" w:themeFillShade="F2"/>
            <w:noWrap/>
          </w:tcPr>
          <w:p w14:paraId="4C5EA64B"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22</w:t>
            </w:r>
          </w:p>
        </w:tc>
        <w:tc>
          <w:tcPr>
            <w:tcW w:w="4820" w:type="dxa"/>
            <w:noWrap/>
          </w:tcPr>
          <w:p w14:paraId="661E745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Park et at., </w:t>
            </w:r>
            <w:proofErr w:type="spellStart"/>
            <w:r w:rsidRPr="008C2128">
              <w:rPr>
                <w:rFonts w:ascii="Calibri" w:eastAsia="Times New Roman" w:hAnsi="Calibri" w:cs="Calibri"/>
                <w:color w:val="000000"/>
                <w:sz w:val="20"/>
                <w:lang w:eastAsia="en-GB"/>
              </w:rPr>
              <w:t>Transl</w:t>
            </w:r>
            <w:proofErr w:type="spellEnd"/>
            <w:r w:rsidRPr="008C2128">
              <w:rPr>
                <w:rFonts w:ascii="Calibri" w:eastAsia="Times New Roman" w:hAnsi="Calibri" w:cs="Calibri"/>
                <w:color w:val="000000"/>
                <w:sz w:val="20"/>
                <w:lang w:eastAsia="en-GB"/>
              </w:rPr>
              <w:t xml:space="preserve"> Psych 2016</w:t>
            </w:r>
          </w:p>
        </w:tc>
        <w:tc>
          <w:tcPr>
            <w:tcW w:w="4932" w:type="dxa"/>
            <w:noWrap/>
          </w:tcPr>
          <w:p w14:paraId="39633448"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Auditory odd ball</w:t>
            </w:r>
          </w:p>
        </w:tc>
      </w:tr>
      <w:tr w:rsidR="00562424" w:rsidRPr="008C2128" w14:paraId="77E3E6E6" w14:textId="77777777" w:rsidTr="002E1E52">
        <w:trPr>
          <w:trHeight w:val="300"/>
        </w:trPr>
        <w:tc>
          <w:tcPr>
            <w:tcW w:w="704" w:type="dxa"/>
            <w:shd w:val="clear" w:color="auto" w:fill="F2F2F2" w:themeFill="background1" w:themeFillShade="F2"/>
            <w:noWrap/>
          </w:tcPr>
          <w:p w14:paraId="0DB04E66"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23</w:t>
            </w:r>
          </w:p>
        </w:tc>
        <w:tc>
          <w:tcPr>
            <w:tcW w:w="4820" w:type="dxa"/>
            <w:noWrap/>
          </w:tcPr>
          <w:p w14:paraId="3FBC4EEF"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Peng</w:t>
            </w:r>
            <w:proofErr w:type="spellEnd"/>
            <w:r w:rsidRPr="008C2128">
              <w:rPr>
                <w:rFonts w:ascii="Calibri" w:eastAsia="Times New Roman" w:hAnsi="Calibri" w:cs="Calibri"/>
                <w:color w:val="000000"/>
                <w:sz w:val="20"/>
                <w:lang w:eastAsia="en-GB"/>
              </w:rPr>
              <w:t xml:space="preserve"> et al, Front in </w:t>
            </w:r>
            <w:proofErr w:type="spellStart"/>
            <w:r w:rsidRPr="008C2128">
              <w:rPr>
                <w:rFonts w:ascii="Calibri" w:eastAsia="Times New Roman" w:hAnsi="Calibri" w:cs="Calibri"/>
                <w:color w:val="000000"/>
                <w:sz w:val="20"/>
                <w:lang w:eastAsia="en-GB"/>
              </w:rPr>
              <w:t>Behav</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Neuro</w:t>
            </w:r>
            <w:proofErr w:type="spellEnd"/>
            <w:r w:rsidRPr="008C2128">
              <w:rPr>
                <w:rFonts w:ascii="Calibri" w:eastAsia="Times New Roman" w:hAnsi="Calibri" w:cs="Calibri"/>
                <w:color w:val="000000"/>
                <w:sz w:val="20"/>
                <w:lang w:eastAsia="en-GB"/>
              </w:rPr>
              <w:t>, 2017</w:t>
            </w:r>
          </w:p>
        </w:tc>
        <w:tc>
          <w:tcPr>
            <w:tcW w:w="4932" w:type="dxa"/>
            <w:noWrap/>
          </w:tcPr>
          <w:p w14:paraId="362D0349"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Facial Processing</w:t>
            </w:r>
          </w:p>
        </w:tc>
      </w:tr>
      <w:tr w:rsidR="00562424" w:rsidRPr="008C2128" w14:paraId="150C6FFD" w14:textId="77777777" w:rsidTr="002E1E52">
        <w:trPr>
          <w:trHeight w:val="300"/>
        </w:trPr>
        <w:tc>
          <w:tcPr>
            <w:tcW w:w="704" w:type="dxa"/>
            <w:shd w:val="clear" w:color="auto" w:fill="F2F2F2" w:themeFill="background1" w:themeFillShade="F2"/>
            <w:noWrap/>
          </w:tcPr>
          <w:p w14:paraId="7D1E0E85"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24</w:t>
            </w:r>
          </w:p>
        </w:tc>
        <w:tc>
          <w:tcPr>
            <w:tcW w:w="4820" w:type="dxa"/>
            <w:noWrap/>
          </w:tcPr>
          <w:p w14:paraId="05200605"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Seok</w:t>
            </w:r>
            <w:proofErr w:type="spellEnd"/>
            <w:r w:rsidRPr="008C2128">
              <w:rPr>
                <w:rFonts w:ascii="Calibri" w:eastAsia="Times New Roman" w:hAnsi="Calibri" w:cs="Calibri"/>
                <w:color w:val="000000"/>
                <w:sz w:val="20"/>
                <w:lang w:eastAsia="en-GB"/>
              </w:rPr>
              <w:t xml:space="preserve"> et al, ANZJP, 2015</w:t>
            </w:r>
          </w:p>
        </w:tc>
        <w:tc>
          <w:tcPr>
            <w:tcW w:w="4932" w:type="dxa"/>
            <w:noWrap/>
          </w:tcPr>
          <w:p w14:paraId="3893B17A"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Decision-making</w:t>
            </w:r>
          </w:p>
        </w:tc>
      </w:tr>
      <w:tr w:rsidR="00562424" w:rsidRPr="008C2128" w14:paraId="6ABDCF3A" w14:textId="77777777" w:rsidTr="002E1E52">
        <w:trPr>
          <w:trHeight w:val="300"/>
        </w:trPr>
        <w:tc>
          <w:tcPr>
            <w:tcW w:w="704" w:type="dxa"/>
            <w:shd w:val="clear" w:color="auto" w:fill="F2F2F2" w:themeFill="background1" w:themeFillShade="F2"/>
            <w:noWrap/>
          </w:tcPr>
          <w:p w14:paraId="1930E825"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25</w:t>
            </w:r>
          </w:p>
        </w:tc>
        <w:tc>
          <w:tcPr>
            <w:tcW w:w="4820" w:type="dxa"/>
            <w:noWrap/>
          </w:tcPr>
          <w:p w14:paraId="0446A5DE"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Sun et al., </w:t>
            </w:r>
            <w:proofErr w:type="spellStart"/>
            <w:r w:rsidRPr="008C2128">
              <w:rPr>
                <w:rFonts w:ascii="Calibri" w:eastAsia="Times New Roman" w:hAnsi="Calibri" w:cs="Calibri"/>
                <w:color w:val="000000"/>
                <w:sz w:val="20"/>
                <w:lang w:eastAsia="en-GB"/>
              </w:rPr>
              <w:t>Cyberpsychol</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Beh</w:t>
            </w:r>
            <w:proofErr w:type="spellEnd"/>
            <w:r w:rsidRPr="008C2128">
              <w:rPr>
                <w:rFonts w:ascii="Calibri" w:eastAsia="Times New Roman" w:hAnsi="Calibri" w:cs="Calibri"/>
                <w:color w:val="000000"/>
                <w:sz w:val="20"/>
                <w:lang w:eastAsia="en-GB"/>
              </w:rPr>
              <w:t>, 2008</w:t>
            </w:r>
          </w:p>
        </w:tc>
        <w:tc>
          <w:tcPr>
            <w:tcW w:w="4932" w:type="dxa"/>
            <w:noWrap/>
          </w:tcPr>
          <w:p w14:paraId="2555E1A2"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Multiple Object Tracking Task</w:t>
            </w:r>
          </w:p>
        </w:tc>
      </w:tr>
      <w:tr w:rsidR="00562424" w:rsidRPr="008C2128" w14:paraId="50E624FC" w14:textId="77777777" w:rsidTr="002E1E52">
        <w:trPr>
          <w:trHeight w:val="300"/>
        </w:trPr>
        <w:tc>
          <w:tcPr>
            <w:tcW w:w="704" w:type="dxa"/>
            <w:shd w:val="clear" w:color="auto" w:fill="F2F2F2" w:themeFill="background1" w:themeFillShade="F2"/>
            <w:noWrap/>
          </w:tcPr>
          <w:p w14:paraId="0EC3D9F0"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26</w:t>
            </w:r>
          </w:p>
        </w:tc>
        <w:tc>
          <w:tcPr>
            <w:tcW w:w="4820" w:type="dxa"/>
            <w:noWrap/>
          </w:tcPr>
          <w:p w14:paraId="0A8C74F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Vila et al., </w:t>
            </w:r>
            <w:proofErr w:type="spellStart"/>
            <w:r w:rsidRPr="008C2128">
              <w:rPr>
                <w:rFonts w:ascii="Calibri" w:eastAsia="Times New Roman" w:hAnsi="Calibri" w:cs="Calibri"/>
                <w:color w:val="000000"/>
                <w:sz w:val="20"/>
                <w:lang w:eastAsia="en-GB"/>
              </w:rPr>
              <w:t>Adicciones</w:t>
            </w:r>
            <w:proofErr w:type="spellEnd"/>
            <w:r w:rsidRPr="008C2128">
              <w:rPr>
                <w:rFonts w:ascii="Calibri" w:eastAsia="Times New Roman" w:hAnsi="Calibri" w:cs="Calibri"/>
                <w:color w:val="000000"/>
                <w:sz w:val="20"/>
                <w:lang w:eastAsia="en-GB"/>
              </w:rPr>
              <w:t>, 2017</w:t>
            </w:r>
          </w:p>
        </w:tc>
        <w:tc>
          <w:tcPr>
            <w:tcW w:w="4932" w:type="dxa"/>
            <w:noWrap/>
          </w:tcPr>
          <w:p w14:paraId="496F60EC"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Verbal fluency</w:t>
            </w:r>
            <w:r w:rsidRPr="00CB212E">
              <w:rPr>
                <w:rFonts w:ascii="Calibri" w:eastAsia="Times New Roman" w:hAnsi="Calibri" w:cs="Calibri"/>
                <w:color w:val="000000"/>
                <w:sz w:val="20"/>
                <w:lang w:eastAsia="en-GB"/>
              </w:rPr>
              <w:t xml:space="preserve">/ </w:t>
            </w:r>
            <w:r w:rsidRPr="008C2128">
              <w:rPr>
                <w:rFonts w:ascii="Calibri" w:eastAsia="Times New Roman" w:hAnsi="Calibri" w:cs="Calibri"/>
                <w:color w:val="000000"/>
                <w:sz w:val="20"/>
                <w:lang w:eastAsia="en-GB"/>
              </w:rPr>
              <w:t>Sustained attention</w:t>
            </w:r>
            <w:r w:rsidRPr="00CB212E">
              <w:rPr>
                <w:rFonts w:ascii="Calibri" w:eastAsia="Times New Roman" w:hAnsi="Calibri" w:cs="Calibri"/>
                <w:color w:val="000000"/>
                <w:sz w:val="20"/>
                <w:lang w:eastAsia="en-GB"/>
              </w:rPr>
              <w:t xml:space="preserve">/ </w:t>
            </w:r>
            <w:r w:rsidRPr="008C2128">
              <w:rPr>
                <w:rFonts w:ascii="Calibri" w:eastAsia="Times New Roman" w:hAnsi="Calibri" w:cs="Calibri"/>
                <w:color w:val="000000"/>
                <w:sz w:val="20"/>
                <w:lang w:eastAsia="en-GB"/>
              </w:rPr>
              <w:t>Verbal recall</w:t>
            </w:r>
          </w:p>
        </w:tc>
      </w:tr>
      <w:tr w:rsidR="00562424" w:rsidRPr="008C2128" w14:paraId="660049C2" w14:textId="77777777" w:rsidTr="002E1E52">
        <w:trPr>
          <w:trHeight w:val="300"/>
        </w:trPr>
        <w:tc>
          <w:tcPr>
            <w:tcW w:w="704" w:type="dxa"/>
            <w:shd w:val="clear" w:color="auto" w:fill="F2F2F2" w:themeFill="background1" w:themeFillShade="F2"/>
            <w:noWrap/>
          </w:tcPr>
          <w:p w14:paraId="2825BCED"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27</w:t>
            </w:r>
          </w:p>
        </w:tc>
        <w:tc>
          <w:tcPr>
            <w:tcW w:w="4820" w:type="dxa"/>
            <w:noWrap/>
          </w:tcPr>
          <w:p w14:paraId="4ACDA0B8"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Wang et el</w:t>
            </w:r>
            <w:proofErr w:type="gramStart"/>
            <w:r w:rsidRPr="008C2128">
              <w:rPr>
                <w:rFonts w:ascii="Calibri" w:eastAsia="Times New Roman" w:hAnsi="Calibri" w:cs="Calibri"/>
                <w:color w:val="000000"/>
                <w:sz w:val="20"/>
                <w:lang w:eastAsia="en-GB"/>
              </w:rPr>
              <w:t>,.</w:t>
            </w:r>
            <w:proofErr w:type="gramEnd"/>
            <w:r w:rsidRPr="008C2128">
              <w:rPr>
                <w:rFonts w:ascii="Calibri" w:eastAsia="Times New Roman" w:hAnsi="Calibri" w:cs="Calibri"/>
                <w:color w:val="000000"/>
                <w:sz w:val="20"/>
                <w:lang w:eastAsia="en-GB"/>
              </w:rPr>
              <w:t xml:space="preserve"> Front </w:t>
            </w:r>
            <w:proofErr w:type="spellStart"/>
            <w:r w:rsidRPr="008C2128">
              <w:rPr>
                <w:rFonts w:ascii="Calibri" w:eastAsia="Times New Roman" w:hAnsi="Calibri" w:cs="Calibri"/>
                <w:color w:val="000000"/>
                <w:sz w:val="20"/>
                <w:lang w:eastAsia="en-GB"/>
              </w:rPr>
              <w:t>Behav</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Neursc</w:t>
            </w:r>
            <w:proofErr w:type="spellEnd"/>
            <w:r w:rsidRPr="008C2128">
              <w:rPr>
                <w:rFonts w:ascii="Calibri" w:eastAsia="Times New Roman" w:hAnsi="Calibri" w:cs="Calibri"/>
                <w:color w:val="000000"/>
                <w:sz w:val="20"/>
                <w:lang w:eastAsia="en-GB"/>
              </w:rPr>
              <w:t xml:space="preserve"> 2015</w:t>
            </w:r>
          </w:p>
        </w:tc>
        <w:tc>
          <w:tcPr>
            <w:tcW w:w="4932" w:type="dxa"/>
            <w:noWrap/>
          </w:tcPr>
          <w:p w14:paraId="4D9B9DC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Stroop</w:t>
            </w:r>
          </w:p>
        </w:tc>
      </w:tr>
      <w:tr w:rsidR="00562424" w:rsidRPr="008C2128" w14:paraId="7AB34DC2" w14:textId="77777777" w:rsidTr="002E1E52">
        <w:trPr>
          <w:trHeight w:val="300"/>
        </w:trPr>
        <w:tc>
          <w:tcPr>
            <w:tcW w:w="704" w:type="dxa"/>
            <w:shd w:val="clear" w:color="auto" w:fill="F2F2F2" w:themeFill="background1" w:themeFillShade="F2"/>
            <w:noWrap/>
          </w:tcPr>
          <w:p w14:paraId="341A8459"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28</w:t>
            </w:r>
          </w:p>
        </w:tc>
        <w:tc>
          <w:tcPr>
            <w:tcW w:w="4820" w:type="dxa"/>
            <w:noWrap/>
          </w:tcPr>
          <w:p w14:paraId="7854213F"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Wang et al</w:t>
            </w:r>
            <w:proofErr w:type="gramStart"/>
            <w:r w:rsidRPr="008C2128">
              <w:rPr>
                <w:rFonts w:ascii="Calibri" w:eastAsia="Times New Roman" w:hAnsi="Calibri" w:cs="Calibri"/>
                <w:color w:val="000000"/>
                <w:sz w:val="20"/>
                <w:lang w:eastAsia="en-GB"/>
              </w:rPr>
              <w:t>,.</w:t>
            </w:r>
            <w:proofErr w:type="gramEnd"/>
            <w:r w:rsidRPr="008C2128">
              <w:rPr>
                <w:rFonts w:ascii="Calibri" w:eastAsia="Times New Roman" w:hAnsi="Calibri" w:cs="Calibri"/>
                <w:color w:val="000000"/>
                <w:sz w:val="20"/>
                <w:lang w:eastAsia="en-GB"/>
              </w:rPr>
              <w:t xml:space="preserve"> CNS Specs, 2017</w:t>
            </w:r>
          </w:p>
        </w:tc>
        <w:tc>
          <w:tcPr>
            <w:tcW w:w="4932" w:type="dxa"/>
            <w:noWrap/>
          </w:tcPr>
          <w:p w14:paraId="4E8C62B3"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Stroop</w:t>
            </w:r>
            <w:r w:rsidRPr="00CB212E">
              <w:rPr>
                <w:rFonts w:ascii="Calibri" w:eastAsia="Times New Roman" w:hAnsi="Calibri" w:cs="Calibri"/>
                <w:color w:val="000000"/>
                <w:sz w:val="20"/>
                <w:lang w:eastAsia="en-GB"/>
              </w:rPr>
              <w:t xml:space="preserve"> / </w:t>
            </w:r>
            <w:r w:rsidRPr="008C2128">
              <w:rPr>
                <w:rFonts w:ascii="Calibri" w:eastAsia="Times New Roman" w:hAnsi="Calibri" w:cs="Calibri"/>
                <w:color w:val="000000"/>
                <w:sz w:val="20"/>
                <w:lang w:eastAsia="en-GB"/>
              </w:rPr>
              <w:t>Internet Stroop</w:t>
            </w:r>
          </w:p>
        </w:tc>
      </w:tr>
      <w:tr w:rsidR="00562424" w:rsidRPr="008C2128" w14:paraId="474EB5AB" w14:textId="77777777" w:rsidTr="002E1E52">
        <w:trPr>
          <w:trHeight w:val="300"/>
        </w:trPr>
        <w:tc>
          <w:tcPr>
            <w:tcW w:w="704" w:type="dxa"/>
            <w:shd w:val="clear" w:color="auto" w:fill="F2F2F2" w:themeFill="background1" w:themeFillShade="F2"/>
            <w:noWrap/>
          </w:tcPr>
          <w:p w14:paraId="4BBAF86C"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29</w:t>
            </w:r>
          </w:p>
        </w:tc>
        <w:tc>
          <w:tcPr>
            <w:tcW w:w="4820" w:type="dxa"/>
            <w:noWrap/>
          </w:tcPr>
          <w:p w14:paraId="5ED92545"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Wang et al</w:t>
            </w:r>
            <w:proofErr w:type="gramStart"/>
            <w:r w:rsidRPr="008C2128">
              <w:rPr>
                <w:rFonts w:ascii="Calibri" w:eastAsia="Times New Roman" w:hAnsi="Calibri" w:cs="Calibri"/>
                <w:color w:val="000000"/>
                <w:sz w:val="20"/>
                <w:lang w:eastAsia="en-GB"/>
              </w:rPr>
              <w:t>,.</w:t>
            </w:r>
            <w:proofErr w:type="gramEnd"/>
            <w:r w:rsidRPr="00CB212E">
              <w:rPr>
                <w:rFonts w:ascii="Calibri" w:eastAsia="Times New Roman" w:hAnsi="Calibri" w:cs="Calibri"/>
                <w:color w:val="000000"/>
                <w:sz w:val="20"/>
                <w:lang w:eastAsia="en-GB"/>
              </w:rPr>
              <w:t xml:space="preserve"> </w:t>
            </w:r>
            <w:r w:rsidRPr="008C2128">
              <w:rPr>
                <w:rFonts w:ascii="Calibri" w:eastAsia="Times New Roman" w:hAnsi="Calibri" w:cs="Calibri"/>
                <w:color w:val="000000"/>
                <w:sz w:val="20"/>
                <w:lang w:eastAsia="en-GB"/>
              </w:rPr>
              <w:t xml:space="preserve">Addiction </w:t>
            </w:r>
            <w:proofErr w:type="spellStart"/>
            <w:r w:rsidRPr="008C2128">
              <w:rPr>
                <w:rFonts w:ascii="Calibri" w:eastAsia="Times New Roman" w:hAnsi="Calibri" w:cs="Calibri"/>
                <w:color w:val="000000"/>
                <w:sz w:val="20"/>
                <w:lang w:eastAsia="en-GB"/>
              </w:rPr>
              <w:t>Biol</w:t>
            </w:r>
            <w:proofErr w:type="spellEnd"/>
            <w:r w:rsidRPr="008C2128">
              <w:rPr>
                <w:rFonts w:ascii="Calibri" w:eastAsia="Times New Roman" w:hAnsi="Calibri" w:cs="Calibri"/>
                <w:color w:val="000000"/>
                <w:sz w:val="20"/>
                <w:lang w:eastAsia="en-GB"/>
              </w:rPr>
              <w:t xml:space="preserve"> 2016</w:t>
            </w:r>
          </w:p>
        </w:tc>
        <w:tc>
          <w:tcPr>
            <w:tcW w:w="4932" w:type="dxa"/>
            <w:noWrap/>
          </w:tcPr>
          <w:p w14:paraId="4B77A055"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Discounting</w:t>
            </w:r>
          </w:p>
        </w:tc>
      </w:tr>
      <w:tr w:rsidR="00562424" w:rsidRPr="008C2128" w14:paraId="194FBBC1" w14:textId="77777777" w:rsidTr="002E1E52">
        <w:trPr>
          <w:trHeight w:val="300"/>
        </w:trPr>
        <w:tc>
          <w:tcPr>
            <w:tcW w:w="704" w:type="dxa"/>
            <w:shd w:val="clear" w:color="auto" w:fill="F2F2F2" w:themeFill="background1" w:themeFillShade="F2"/>
            <w:noWrap/>
          </w:tcPr>
          <w:p w14:paraId="319C4454"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30</w:t>
            </w:r>
          </w:p>
        </w:tc>
        <w:tc>
          <w:tcPr>
            <w:tcW w:w="4820" w:type="dxa"/>
            <w:noWrap/>
          </w:tcPr>
          <w:p w14:paraId="52F610DF"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Yao et al., PLOS ONE, 2015</w:t>
            </w:r>
          </w:p>
        </w:tc>
        <w:tc>
          <w:tcPr>
            <w:tcW w:w="4932" w:type="dxa"/>
            <w:noWrap/>
          </w:tcPr>
          <w:p w14:paraId="44F22A5B"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Cups task</w:t>
            </w:r>
          </w:p>
        </w:tc>
      </w:tr>
      <w:tr w:rsidR="00562424" w:rsidRPr="008C2128" w14:paraId="299A5CFA" w14:textId="77777777" w:rsidTr="002E1E52">
        <w:trPr>
          <w:trHeight w:val="300"/>
        </w:trPr>
        <w:tc>
          <w:tcPr>
            <w:tcW w:w="704" w:type="dxa"/>
            <w:shd w:val="clear" w:color="auto" w:fill="F2F2F2" w:themeFill="background1" w:themeFillShade="F2"/>
            <w:noWrap/>
          </w:tcPr>
          <w:p w14:paraId="22E294A9"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31</w:t>
            </w:r>
          </w:p>
        </w:tc>
        <w:tc>
          <w:tcPr>
            <w:tcW w:w="4820" w:type="dxa"/>
            <w:noWrap/>
          </w:tcPr>
          <w:p w14:paraId="696DDE0D"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Yao et al., Psych Res, 2015</w:t>
            </w:r>
          </w:p>
        </w:tc>
        <w:tc>
          <w:tcPr>
            <w:tcW w:w="4932" w:type="dxa"/>
            <w:noWrap/>
          </w:tcPr>
          <w:p w14:paraId="36EC7D9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Cups task</w:t>
            </w:r>
          </w:p>
        </w:tc>
      </w:tr>
      <w:tr w:rsidR="00562424" w:rsidRPr="008C2128" w14:paraId="5AFC2F90" w14:textId="77777777" w:rsidTr="002E1E52">
        <w:trPr>
          <w:trHeight w:val="300"/>
        </w:trPr>
        <w:tc>
          <w:tcPr>
            <w:tcW w:w="704" w:type="dxa"/>
            <w:shd w:val="clear" w:color="auto" w:fill="F2F2F2" w:themeFill="background1" w:themeFillShade="F2"/>
            <w:noWrap/>
          </w:tcPr>
          <w:p w14:paraId="21ED9DDE"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32</w:t>
            </w:r>
          </w:p>
        </w:tc>
        <w:tc>
          <w:tcPr>
            <w:tcW w:w="4820" w:type="dxa"/>
            <w:noWrap/>
          </w:tcPr>
          <w:p w14:paraId="33CE0638" w14:textId="77777777" w:rsidR="00562424" w:rsidRPr="008C2128" w:rsidRDefault="00562424" w:rsidP="002E1E52">
            <w:pPr>
              <w:spacing w:line="240" w:lineRule="auto"/>
              <w:jc w:val="left"/>
              <w:rPr>
                <w:rFonts w:ascii="Calibri" w:eastAsia="Times New Roman" w:hAnsi="Calibri" w:cs="Calibri"/>
                <w:color w:val="000000"/>
                <w:sz w:val="20"/>
                <w:lang w:eastAsia="en-GB"/>
              </w:rPr>
            </w:pPr>
            <w:proofErr w:type="spellStart"/>
            <w:r w:rsidRPr="008C2128">
              <w:rPr>
                <w:rFonts w:ascii="Calibri" w:eastAsia="Times New Roman" w:hAnsi="Calibri" w:cs="Calibri"/>
                <w:color w:val="000000"/>
                <w:sz w:val="20"/>
                <w:lang w:eastAsia="en-GB"/>
              </w:rPr>
              <w:t>Yau</w:t>
            </w:r>
            <w:proofErr w:type="spellEnd"/>
            <w:r w:rsidRPr="008C2128">
              <w:rPr>
                <w:rFonts w:ascii="Calibri" w:eastAsia="Times New Roman" w:hAnsi="Calibri" w:cs="Calibri"/>
                <w:color w:val="000000"/>
                <w:sz w:val="20"/>
                <w:lang w:eastAsia="en-GB"/>
              </w:rPr>
              <w:t xml:space="preserve"> et al., Add </w:t>
            </w:r>
            <w:proofErr w:type="spellStart"/>
            <w:r w:rsidRPr="008C2128">
              <w:rPr>
                <w:rFonts w:ascii="Calibri" w:eastAsia="Times New Roman" w:hAnsi="Calibri" w:cs="Calibri"/>
                <w:color w:val="000000"/>
                <w:sz w:val="20"/>
                <w:lang w:eastAsia="en-GB"/>
              </w:rPr>
              <w:t>Behav</w:t>
            </w:r>
            <w:proofErr w:type="spellEnd"/>
            <w:r w:rsidRPr="008C2128">
              <w:rPr>
                <w:rFonts w:ascii="Calibri" w:eastAsia="Times New Roman" w:hAnsi="Calibri" w:cs="Calibri"/>
                <w:color w:val="000000"/>
                <w:sz w:val="20"/>
                <w:lang w:eastAsia="en-GB"/>
              </w:rPr>
              <w:t xml:space="preserve"> , 2015</w:t>
            </w:r>
          </w:p>
        </w:tc>
        <w:tc>
          <w:tcPr>
            <w:tcW w:w="4932" w:type="dxa"/>
            <w:noWrap/>
          </w:tcPr>
          <w:p w14:paraId="01D17182"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BART</w:t>
            </w:r>
          </w:p>
        </w:tc>
      </w:tr>
      <w:tr w:rsidR="00562424" w:rsidRPr="008C2128" w14:paraId="216F2B4F" w14:textId="77777777" w:rsidTr="002E1E52">
        <w:trPr>
          <w:trHeight w:val="300"/>
        </w:trPr>
        <w:tc>
          <w:tcPr>
            <w:tcW w:w="704" w:type="dxa"/>
            <w:shd w:val="clear" w:color="auto" w:fill="F2F2F2" w:themeFill="background1" w:themeFillShade="F2"/>
            <w:noWrap/>
          </w:tcPr>
          <w:p w14:paraId="17B98F05"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33</w:t>
            </w:r>
          </w:p>
        </w:tc>
        <w:tc>
          <w:tcPr>
            <w:tcW w:w="4820" w:type="dxa"/>
            <w:noWrap/>
          </w:tcPr>
          <w:p w14:paraId="44B065EB"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Yen et al., Psych Res, 2011</w:t>
            </w:r>
          </w:p>
        </w:tc>
        <w:tc>
          <w:tcPr>
            <w:tcW w:w="4932" w:type="dxa"/>
            <w:noWrap/>
          </w:tcPr>
          <w:p w14:paraId="3E42BD91"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Implicit association Task</w:t>
            </w:r>
          </w:p>
        </w:tc>
      </w:tr>
      <w:tr w:rsidR="00562424" w:rsidRPr="008C2128" w14:paraId="35B934CD" w14:textId="77777777" w:rsidTr="002E1E52">
        <w:trPr>
          <w:trHeight w:val="300"/>
        </w:trPr>
        <w:tc>
          <w:tcPr>
            <w:tcW w:w="704" w:type="dxa"/>
            <w:shd w:val="clear" w:color="auto" w:fill="F2F2F2" w:themeFill="background1" w:themeFillShade="F2"/>
            <w:noWrap/>
          </w:tcPr>
          <w:p w14:paraId="40DD420D"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34</w:t>
            </w:r>
          </w:p>
        </w:tc>
        <w:tc>
          <w:tcPr>
            <w:tcW w:w="4820" w:type="dxa"/>
            <w:noWrap/>
          </w:tcPr>
          <w:p w14:paraId="033BCA16"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Zhang et al., Front in </w:t>
            </w:r>
            <w:proofErr w:type="spellStart"/>
            <w:r w:rsidRPr="008C2128">
              <w:rPr>
                <w:rFonts w:ascii="Calibri" w:eastAsia="Times New Roman" w:hAnsi="Calibri" w:cs="Calibri"/>
                <w:color w:val="000000"/>
                <w:sz w:val="20"/>
                <w:lang w:eastAsia="en-GB"/>
              </w:rPr>
              <w:t>Psychol</w:t>
            </w:r>
            <w:proofErr w:type="spellEnd"/>
            <w:r w:rsidRPr="008C2128">
              <w:rPr>
                <w:rFonts w:ascii="Calibri" w:eastAsia="Times New Roman" w:hAnsi="Calibri" w:cs="Calibri"/>
                <w:color w:val="000000"/>
                <w:sz w:val="20"/>
                <w:lang w:eastAsia="en-GB"/>
              </w:rPr>
              <w:t>, 2016</w:t>
            </w:r>
          </w:p>
        </w:tc>
        <w:tc>
          <w:tcPr>
            <w:tcW w:w="4932" w:type="dxa"/>
            <w:noWrap/>
          </w:tcPr>
          <w:p w14:paraId="27C46DE8"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Internet Stroop</w:t>
            </w:r>
          </w:p>
        </w:tc>
      </w:tr>
      <w:tr w:rsidR="00562424" w:rsidRPr="008C2128" w14:paraId="0421E1D2" w14:textId="77777777" w:rsidTr="002E1E52">
        <w:trPr>
          <w:trHeight w:val="300"/>
        </w:trPr>
        <w:tc>
          <w:tcPr>
            <w:tcW w:w="704" w:type="dxa"/>
            <w:noWrap/>
          </w:tcPr>
          <w:p w14:paraId="1D2B6CF3"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35</w:t>
            </w:r>
          </w:p>
        </w:tc>
        <w:tc>
          <w:tcPr>
            <w:tcW w:w="4820" w:type="dxa"/>
            <w:noWrap/>
          </w:tcPr>
          <w:p w14:paraId="25FF5CE7"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Zhou et al., PLOS ONE, 2012</w:t>
            </w:r>
          </w:p>
        </w:tc>
        <w:tc>
          <w:tcPr>
            <w:tcW w:w="4932" w:type="dxa"/>
            <w:noWrap/>
          </w:tcPr>
          <w:p w14:paraId="509BCD5A"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Internet Game-shifting Task</w:t>
            </w:r>
          </w:p>
        </w:tc>
      </w:tr>
      <w:tr w:rsidR="00562424" w:rsidRPr="008C2128" w14:paraId="795C2294" w14:textId="77777777" w:rsidTr="002E1E52">
        <w:trPr>
          <w:trHeight w:val="300"/>
        </w:trPr>
        <w:tc>
          <w:tcPr>
            <w:tcW w:w="704" w:type="dxa"/>
            <w:noWrap/>
          </w:tcPr>
          <w:p w14:paraId="22E0ECE3"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36</w:t>
            </w:r>
          </w:p>
        </w:tc>
        <w:tc>
          <w:tcPr>
            <w:tcW w:w="4820" w:type="dxa"/>
            <w:noWrap/>
          </w:tcPr>
          <w:p w14:paraId="29EC91C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Zhou et al., </w:t>
            </w:r>
            <w:proofErr w:type="spellStart"/>
            <w:r w:rsidRPr="008C2128">
              <w:rPr>
                <w:rFonts w:ascii="Calibri" w:eastAsia="Times New Roman" w:hAnsi="Calibri" w:cs="Calibri"/>
                <w:color w:val="000000"/>
                <w:sz w:val="20"/>
                <w:lang w:eastAsia="en-GB"/>
              </w:rPr>
              <w:t>Acta</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Neuropsychiatrica</w:t>
            </w:r>
            <w:proofErr w:type="spellEnd"/>
            <w:r w:rsidRPr="008C2128">
              <w:rPr>
                <w:rFonts w:ascii="Calibri" w:eastAsia="Times New Roman" w:hAnsi="Calibri" w:cs="Calibri"/>
                <w:color w:val="000000"/>
                <w:sz w:val="20"/>
                <w:lang w:eastAsia="en-GB"/>
              </w:rPr>
              <w:t>, 2016</w:t>
            </w:r>
          </w:p>
        </w:tc>
        <w:tc>
          <w:tcPr>
            <w:tcW w:w="4932" w:type="dxa"/>
            <w:noWrap/>
          </w:tcPr>
          <w:p w14:paraId="73A0C2C0"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Set shifting</w:t>
            </w:r>
          </w:p>
        </w:tc>
      </w:tr>
      <w:tr w:rsidR="00562424" w:rsidRPr="008C2128" w14:paraId="7628A258" w14:textId="77777777" w:rsidTr="002E1E52">
        <w:trPr>
          <w:trHeight w:val="300"/>
        </w:trPr>
        <w:tc>
          <w:tcPr>
            <w:tcW w:w="704" w:type="dxa"/>
            <w:noWrap/>
          </w:tcPr>
          <w:p w14:paraId="5EA77815" w14:textId="77777777" w:rsidR="00562424" w:rsidRPr="008C2128" w:rsidRDefault="00562424" w:rsidP="002E1E52">
            <w:pPr>
              <w:spacing w:line="240" w:lineRule="auto"/>
              <w:jc w:val="center"/>
              <w:rPr>
                <w:rFonts w:ascii="Calibri" w:eastAsia="Times New Roman" w:hAnsi="Calibri" w:cs="Calibri"/>
                <w:b/>
                <w:color w:val="000000"/>
                <w:sz w:val="20"/>
                <w:lang w:eastAsia="en-GB"/>
              </w:rPr>
            </w:pPr>
            <w:r w:rsidRPr="00CB212E">
              <w:rPr>
                <w:rFonts w:ascii="Calibri" w:eastAsia="Times New Roman" w:hAnsi="Calibri" w:cs="Calibri"/>
                <w:b/>
                <w:color w:val="000000"/>
                <w:sz w:val="20"/>
                <w:lang w:eastAsia="en-GB"/>
              </w:rPr>
              <w:t>37</w:t>
            </w:r>
          </w:p>
        </w:tc>
        <w:tc>
          <w:tcPr>
            <w:tcW w:w="4820" w:type="dxa"/>
            <w:noWrap/>
          </w:tcPr>
          <w:p w14:paraId="59B6A242"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 xml:space="preserve">Zhou et al., Front </w:t>
            </w:r>
            <w:proofErr w:type="spellStart"/>
            <w:r w:rsidRPr="008C2128">
              <w:rPr>
                <w:rFonts w:ascii="Calibri" w:eastAsia="Times New Roman" w:hAnsi="Calibri" w:cs="Calibri"/>
                <w:color w:val="000000"/>
                <w:sz w:val="20"/>
                <w:lang w:eastAsia="en-GB"/>
              </w:rPr>
              <w:t>Beh</w:t>
            </w:r>
            <w:proofErr w:type="spellEnd"/>
            <w:r w:rsidRPr="008C2128">
              <w:rPr>
                <w:rFonts w:ascii="Calibri" w:eastAsia="Times New Roman" w:hAnsi="Calibri" w:cs="Calibri"/>
                <w:color w:val="000000"/>
                <w:sz w:val="20"/>
                <w:lang w:eastAsia="en-GB"/>
              </w:rPr>
              <w:t xml:space="preserve"> </w:t>
            </w:r>
            <w:proofErr w:type="spellStart"/>
            <w:r w:rsidRPr="008C2128">
              <w:rPr>
                <w:rFonts w:ascii="Calibri" w:eastAsia="Times New Roman" w:hAnsi="Calibri" w:cs="Calibri"/>
                <w:color w:val="000000"/>
                <w:sz w:val="20"/>
                <w:lang w:eastAsia="en-GB"/>
              </w:rPr>
              <w:t>Neurosc</w:t>
            </w:r>
            <w:proofErr w:type="spellEnd"/>
            <w:r w:rsidRPr="008C2128">
              <w:rPr>
                <w:rFonts w:ascii="Calibri" w:eastAsia="Times New Roman" w:hAnsi="Calibri" w:cs="Calibri"/>
                <w:color w:val="000000"/>
                <w:sz w:val="20"/>
                <w:lang w:eastAsia="en-GB"/>
              </w:rPr>
              <w:t xml:space="preserve"> 2013</w:t>
            </w:r>
          </w:p>
        </w:tc>
        <w:tc>
          <w:tcPr>
            <w:tcW w:w="4932" w:type="dxa"/>
            <w:noWrap/>
          </w:tcPr>
          <w:p w14:paraId="4E7B95A4" w14:textId="77777777" w:rsidR="00562424" w:rsidRPr="008C2128" w:rsidRDefault="00562424" w:rsidP="002E1E52">
            <w:pPr>
              <w:spacing w:line="240" w:lineRule="auto"/>
              <w:jc w:val="left"/>
              <w:rPr>
                <w:rFonts w:ascii="Calibri" w:eastAsia="Times New Roman" w:hAnsi="Calibri" w:cs="Calibri"/>
                <w:color w:val="000000"/>
                <w:sz w:val="20"/>
                <w:lang w:eastAsia="en-GB"/>
              </w:rPr>
            </w:pPr>
            <w:r w:rsidRPr="008C2128">
              <w:rPr>
                <w:rFonts w:ascii="Calibri" w:eastAsia="Times New Roman" w:hAnsi="Calibri" w:cs="Calibri"/>
                <w:color w:val="000000"/>
                <w:sz w:val="20"/>
                <w:lang w:eastAsia="en-GB"/>
              </w:rPr>
              <w:t>Flanker Task</w:t>
            </w:r>
          </w:p>
        </w:tc>
      </w:tr>
    </w:tbl>
    <w:p w14:paraId="0FE90E25" w14:textId="29319329" w:rsidR="00562424" w:rsidRDefault="00562424" w:rsidP="00562424">
      <w:r w:rsidRPr="000F1D77">
        <w:rPr>
          <w:b/>
        </w:rPr>
        <w:t>Legend</w:t>
      </w:r>
      <w:r>
        <w:t xml:space="preserve">: Studies excluded from the meta-analysis due to 1) Less than 4 studies per cognitive domain assessed; 2) Data (i.e. mean and standard deviation) not provided in original publication, nor by direct contact with authors 3) Lack of control group; </w:t>
      </w:r>
      <w:r>
        <w:fldChar w:fldCharType="begin" w:fldLock="1"/>
      </w:r>
      <w:r w:rsidR="00E67458">
        <w:instrText>ADDIN CSL_CITATION {"citationItems":[{"id":"ITEM-1","itemData":{"DOI":"10.1016/j.psychres.2017.04.057","ISBN":"0165-1781","ISSN":"18727123","abstract":"Studies have examined social maladjustment among individuals with Internet addiction, but little is known about their deficits in specific social skills and the underlying psychological mechanisms. The present study filled these gaps by (a) establishing a relationship between deficits in facial expression recognition and Internet addiction, and (b) examining the mediating role of perceived stress that explains this hypothesized relationship. Ninety-seven participants completed validated questionnaires that assessed their levels of Internet addiction and perceived stress, and performed a computer-based task that measured their facial expression recognition. The results revealed a positive relationship between deficits in recognizing disgust facial expression and Internet addiction, and this relationship was mediated by perceived stress. However, the same findings did not apply to other facial expressions. Ad hoc analyses showed that recognizing disgust was more difficult than recognizing other facial expressions, reflecting that the former task assesses a social skill that requires cognitive astuteness. The present findings contribute to the literature by identifying a specific social skill deficit related to Internet addiction and by unveiling a psychological mechanism that explains this relationship, thus providing more concrete guidelines for practitioners to strengthen specific social skills that mitigate both perceived stress and Internet addiction.","author":[{"dropping-particle":"","family":"Chen","given":"Zhongting","non-dropping-particle":"","parse-names":false,"suffix":""},{"dropping-particle":"","family":"Poon","given":"Kai Tak","non-dropping-particle":"","parse-names":false,"suffix":""},{"dropping-particle":"","family":"Cheng","given":"Cecilia","non-dropping-particle":"","parse-names":false,"suffix":""}],"container-title":"Psychiatry Research","id":"ITEM-1","issued":{"date-parts":[["2017"]]},"page":"211-217","publisher":"Elsevier Ireland Ltd","title":"Deficits in recognizing disgust facial expressions and Internet addiction: Perceived stress as a mediator","type":"article-journal","volume":"254"},"uris":["http://www.mendeley.com/documents/?uuid=c26dbb59-e5ec-4e1d-8e23-18a678d60433"]},{"id":"ITEM-2","itemData":{"DOI":"10.1016/j.bbr.2017.01.046","ISBN":"0166-4328","ISSN":"18727549","abstract":"Background Addicts to specific internet applications involving communication features showed increased social anxiety, emotional competence deficits and impaired prefrontal-related inhibitory control. The dorsal Anterior Cingulate Cortex (dACC) likely plays an important role in cognitive control and negative affect (such as social exclusion, pain or anxiety). Aim To assess (social) anxiety-related inhibitory control in specific internet addiction (addicted use of games and social networks) and its relation to altered dACC activation. Methods N = 44 controls and n = 51 specific internet addicts completed an anxious words-based Affective Go/No-Go task (AGN). A subsample of n = 23 healthy controls and n = 25 specific internet addicts underwent functional Magnetic Resonance Imaging (fMRI) while completing an Emotional Stroop Task (EST) with socially anxious, positive, negative and neutral words. Subgroups of internet gaming and social network addicts were exploratively assessed. Psychometric measures of social anxiety, emotional competence and impulsivity were additionally explored. Results Specific internet addicts showed higher impulsivity, social anxiety and reduced emotional competence. Between-group differences in AGN and EST behavioral measures were not detected. No group differences were found in the dACC, but explorative analyses revealed decreased left middle and superior temporal gyrus activation during interference of socially anxious words in internet gaming and relative to social network addicts. Conclusion Given the function of the left middle temporal gyrus in the retrieval of words or expressions during communication, our findings give a first hint that social words might be less retrievable in the semantic storage of internet gaming addicts, possibly indicating deficiencies in handling speech in social situations.","author":[{"dropping-particle":"","family":"Dieter","given":"Julia","non-dropping-particle":"","parse-names":false,"suffix":""},{"dropping-particle":"","family":"Hoffmann","given":"Sabine","non-dropping-particle":"","parse-names":false,"suffix":""},{"dropping-particle":"","family":"Mier","given":"Daniela","non-dropping-particle":"","parse-names":false,"suffix":""},{"dropping-particle":"","family":"Reinhard","given":"Iris","non-dropping-particle":"","parse-names":false,"suffix":""},{"dropping-particle":"","family":"Beutel","given":"Martin","non-dropping-particle":"","parse-names":false,"suffix":""},{"dropping-particle":"","family":"Vollstädt-Klein","given":"Sabine","non-dropping-particle":"","parse-names":false,"suffix":""},{"dropping-particle":"","family":"Kiefer","given":"Falk","non-dropping-particle":"","parse-names":false,"suffix":""},{"dropping-particle":"","family":"Mann","given":"Karl","non-dropping-particle":"","parse-names":false,"suffix":""},{"dropping-particle":"","family":"Leménager","given":"Tagrid","non-dropping-particle":"","parse-names":false,"suffix":""}],"container-title":"Behavioural Brain Research","id":"ITEM-2","issued":{"date-parts":[["2017"]]},"page":"1-14","title":"The role of emotional inhibitory control in specific internet addiction – an fMRI study","type":"article-journal","volume":"324"},"uris":["http://www.mendeley.com/documents/?uuid=22ed0105-d068-41ba-b7d8-884656bd6179"]},{"id":"ITEM-3","itemData":{"DOI":"10.1016/j.jad.2016.01.013","ISBN":"0165-0327","ISSN":"15732517","PMID":"26802508","abstract":"Background Individuals who are chronic, compulsive video game players experience an elevated incidence of major depression. Excessive or problematic game play can interact with depression clinically, and may magnify impulsive behavior associated with video gaming. Methods Functional brain imaging was performed during a Wisconsin Card Sorting Test (WCST) task in 42 healthy control and 95 volunteers seeking treatment for compulsive video game playing, including 60 participants without major depression (pure internet gaming disorder, pure IGD) and 35 participants comorbid with major depression (IGD+MDD). Results In response to the WCST in contrast to fixation, activation was observed in canonical brain attentional networks including bilateral intraparietal sulcus, frontal eye fields, and middle temporal cortical regions as well as dorsolateral prefrontal, inferior parietal and anterior insula, anterior cingulate cortex in all participants. For WCST &gt; Fixation contrasts, the IGD+MDD group exhibited greater relative activation within the left hippocampus, compared to healthy control participants. For WCST &gt; Fixation contrasts, the IGD+MDD group exhibited greater relative activation within the left hippocampus and the right parahippocampal gyrus immediately posterior to the hippocampus, compared to the pure IGD group. Conclusions In cohorts of individuals with a history of compulsive internet game play, individuals with depression showed failure to suppress default mode network activity during an attentionally demanding task, compared to individuals without depression, including comparison groups with and without a history of compulsive video gaming. This reduced suppression of the brain regions within the default mode network may be a consequence of depressive neurophysiology or represent a predisposition for depression within compulsive game players.","author":[{"dropping-particle":"","family":"Han","given":"Doug Hyun","non-dropping-particle":"","parse-names":false,"suffix":""},{"dropping-particle":"","family":"Kim","given":"Sun Mi","non-dropping-particle":"","parse-names":false,"suffix":""},{"dropping-particle":"","family":"Bae","given":"Sujin","non-dropping-particle":"","parse-names":false,"suffix":""},{"dropping-particle":"","family":"Renshaw","given":"Perry F.","non-dropping-particle":"","parse-names":false,"suffix":""},{"dropping-particle":"","family":"Anderson","given":"Jeffrey S.","non-dropping-particle":"","parse-names":false,"suffix":""}],"container-title":"Journal of Affective Disorders","id":"ITEM-3","issued":{"date-parts":[["2016"]]},"page":"57-64","publisher":"Elsevier","title":"A failure of suppression within the default mode network in depressed adolescents with compulsive internet game play","type":"article-journal","volume":"194"},"uris":["http://www.mendeley.com/documents/?uuid=457b5be3-075a-4667-abc1-98491618152d"]},{"id":"ITEM-4","itemData":{"DOI":"10.1111/appy.12134","ISBN":"1758-5864","ISSN":"17585872","PMID":"24866532","abstract":"INTRODUCTION: Cognitive control plays a pivotal role in the mechanism of addictive behavior. The aim of the study was to evaluate the deficit in inhibition of proactive interference of Internet gaming disorder (IGD) using a directed forgetting task among young adults. METHODS: A total of 64 participants with IGD and 69 controls were recruited on a university campus. They completed the directed forgetting task for online gaming words and neutral words. RESULTS: The results demonstrated that the IGD group had a poorer performance on the directed forgetting task, and this represented a deficit in inhibition of proactive interference. They also had a higher tendency to remember online gaming words rather than neutral words in comparison with the control group. This demonstrated memory bias toward online gaming words. DISCUSSION: These results suggested that more attention should be paid to deficits in inhibition of proactive interference and memory bias toward gaming content when treating subjects with IGD. Furthermore, it is essential and practical to prevent exposure to online gaming-related cues when endeavoring to control online gaming behavior.","author":[{"dropping-particle":"","family":"Ko","given":"Chih Hung","non-dropping-particle":"","parse-names":false,"suffix":""},{"dropping-particle":"","family":"Wang","given":"Peng Wei","non-dropping-particle":"","parse-names":false,"suffix":""},{"dropping-particle":"","family":"Liu","given":"Tai Ling","non-dropping-particle":"","parse-names":false,"suffix":""},{"dropping-particle":"","family":"Yen","given":"Cheng Fang","non-dropping-particle":"","parse-names":false,"suffix":""},{"dropping-particle":"","family":"Chen","given":"Cheng Sheng","non-dropping-particle":"","parse-names":false,"suffix":""},{"dropping-particle":"","family":"Yen","given":"Ju Yu","non-dropping-particle":"","parse-names":false,"suffix":""}],"container-title":"Asia-Pacific Psychiatry","id":"ITEM-4","issue":"2","issued":{"date-parts":[["2015"]]},"page":"143-152","title":"The inhibition of proactive interference among adults with Internet gaming disorder","type":"article-journal","volume":"7"},"uris":["http://www.mendeley.com/documents/?uuid=67235d9e-7e13-438c-8b11-347bc9f9be21"]},{"id":"ITEM-5","itemData":{"DOI":"10.1089/cyber.2015.0231","ISBN":"2152-2715","ISSN":"2152-2715","PMID":"26430731","abstract":"Increased reports of impulsivity and aggression in male adolescents with Internet gaming might reflect their dysfunction in emotion regulation, particularly in suppression of negative emotions, which should affect the various stages of Internet gaming disorder. This study tested the hypothesis that adolescents with Internet gaming disorder would be more disturbed by the emotional interference and demonstrate compromised dorsal anterior cingulate cortex (dACC) activation during a Stroop Match-to-Sample task. In addition, functional connectivity analysis was conducted to examine the interplays between neural correlates involved in emotional processing and how they were altered in adolescents with Internet gaming disorder. The Internet gaming disorder group demonstrated weaker dACC activation and stronger insular activations to interfering angry facial stimuli compared with the healthy control group. Negative functional connectivity between stronger insular activation and weaker dorsolateral prefrontal activation correlated with higher cognitive impulsivity in adolescents with Internet gaming disorder. These findings provide evidence of the compromised prefrontal cognitive control over emotional interference in adolescents with Internet gaming disorder.","author":[{"dropping-particle":"","family":"Lee","given":"Junghan","non-dropping-particle":"","parse-names":false,"suffix":""},{"dropping-particle":"","family":"Lee","given":"Seojung","non-dropping-particle":"","parse-names":false,"suffix":""},{"dropping-particle":"","family":"Chun","given":"Ji Won","non-dropping-particle":"","parse-names":false,"suffix":""},{"dropping-particle":"","family":"Cho","given":"Hyun","non-dropping-particle":"","parse-names":false,"suffix":""},{"dropping-particle":"","family":"Kim","given":"Dai-jin","non-dropping-particle":"","parse-names":false,"suffix":""},{"dropping-particle":"","family":"Jung","given":"Young-Chul","non-dropping-particle":"","parse-names":false,"suffix":""}],"container-title":"Cyberpsychology, Behavior, and Social Networking","id":"ITEM-5","issue":"11","issued":{"date-parts":[["2015"]]},"page":"661-668","title":"Compromised Prefrontal Cognitive Control Over Emotional Interference in Adolescents with Internet Gaming Disorder","type":"article-journal","volume":"18"},"uris":["http://www.mendeley.com/documents/?uuid=71666f12-5757-41f6-94de-3c93c0cd1bcc"]},{"id":"ITEM-6","itemData":{"DOI":"10.1111/j.1369-1600.2012.00491.x","ISSN":"13556215","PMID":"22970898","abstract":"Despite a rising social relevance of pathological computer game playing, it remains unclear whether the neurobiological basis of this addiction-like behavioral disorder and substance-related addiction are comparable. In substance-related addiction, attentional bias and cue reactivity are often observed. We conducted a functional magnetic resonance study using a dot probe paradigm with short-presentation (attentional bias) and long-presentation (cue reactivity) trials in eight male pathological computer game players (PCGPs) and nine healthy controls (HCs). Computer game-related and neutral computer-generated pictures, as well as pictures from the International Affective Picture System with positive and neutral valence, served as stimuli. PCGPs showed an attentional bias toward both game-related and affective stimuli with positive valence. In contrast, HCs showed no attentional bias effect at all. PCGPs showed stronger brain responses in short-presentation trials compared with HCs in medial prefrontal cortex (MPFC) and anterior cingulate gyrus and in long-presentation trials in lingual gyrus. In an exploratory post hoc functional connectivity analyses, for long-presentation trials, connectivity strength was higher between right inferior frontal gyrus, which was associated with inhibition processing in previous studies, and cue reactivity-related regions (left orbitofrontal cortex and ventral striatum) in PCGPs. We observed behavioral and neural effects in PCGPs, which are comparable with those found in substance-related addiction. However, cue-related brain responses were depending on duration of cue presentation. Together with the connectivity result, these findings suggest that top-down inhibitory processes might suppress the cue reactivity-related neural activity in long-presentation trials.","author":[{"dropping-particle":"","family":"Lorenz","given":"Robert C.","non-dropping-particle":"","parse-names":false,"suffix":""},{"dropping-particle":"","family":"Krüger","given":"Jenny-Kathinka","non-dropping-particle":"","parse-names":false,"suffix":""},{"dropping-particle":"","family":"Neumann","given":"Britta","non-dropping-particle":"","parse-names":false,"suffix":""},{"dropping-particle":"","family":"Schott","given":"Björn H.","non-dropping-particle":"","parse-names":false,"suffix":""},{"dropping-particle":"","family":"Kaufmann","given":"Christian","non-dropping-particle":"","parse-names":false,"suffix":""},{"dropping-particle":"","family":"Heinz","given":"Andreas","non-dropping-particle":"","parse-names":false,"suffix":""},{"dropping-particle":"","family":"Wüstenberg","given":"Torsten","non-dropping-particle":"","parse-names":false,"suffix":""}],"container-title":"Addiction Biology","id":"ITEM-6","issue":"1","issued":{"date-parts":[["2013","1"]]},"page":"134-146","title":"Cue reactivity and its inhibition in pathological computer game players","type":"article-journal","volume":"18"},"uris":["http://www.mendeley.com/documents/?uuid=1a9d38c9-f371-3f07-a2ec-d54705c7518f"]},{"id":"ITEM-7","itemData":{"DOI":"10.1016/j.comppsych.2016.10.006","ISBN":"0010-440X","ISSN":"15328384","PMID":"27810547","abstract":"Background The aims of this study were to explore depression, self-esteem and verbal fluency functions among normal internet users, mild internet addictions and severe internet addictions. Methods The survey sample consisted of 316 college students, and their internet addiction symptoms, depression and self-esteem symptoms were assessed using the Revised Chen Internet Addiction Scale (CIAS-R), Zung Self-Rating Depression Scale (ZSDS), Rosenberg Self-Esteem Scale (RSES), respectively. From this sample, 16 students with non-addictions, 19 students with mild internet addiction (sub-MIA) and 15 students with severe internet addiction (sub-SIA) were recruited and subjected to the classical verbal fluency tests, including the semantic and phonemic fluency task. Results The results indicated that severe internet addiction in the survey sample showed the highest tendency towards depressive symptoms and lowest self-esteem scores, and sub-SIA showed poor performance on the semantic fluency task. Conclusion In conclusion, severe internet addiction was significantly associated with depression, low self-esteem and semantic verbal fluency problems.","author":[{"dropping-particle":"","family":"Nie","given":"Jia","non-dropping-particle":"","parse-names":false,"suffix":""},{"dropping-particle":"","family":"Zhang","given":"Wei","non-dropping-particle":"","parse-names":false,"suffix":""},{"dropping-particle":"","family":"Liu","given":"Ying","non-dropping-particle":"","parse-names":false,"suffix":""}],"container-title":"Comprehensive Psychiatry","id":"ITEM-7","issued":{"date-parts":[["2017"]]},"page":"114-120","publisher":"Elsevier B.V.","title":"Exploring depression, self-esteem and verbal fluency with different degrees of internet addiction among Chinese college students","type":"article-journal","volume":"72"},"uris":["http://www.mendeley.com/documents/?uuid=93514a8c-f0f2-4f5d-800d-8a4fb7e07bb3"]},{"id":"ITEM-8","itemData":{"DOI":"10.1038/srep41742","ISSN":"2045-2322","PMID":"28134318","abstract":"Although internet gaming disorder (IGD) and obsessive-compulsive disorder (OCD) represent opposite ends of the impulsivity and compulsivity dimensions, the two disorders share common neurocognitive deficits in response inhibition. However, the similarities and differences in neurophysiological features of altered response inhibition between IGD and OCD have not been investigated sufficiently. In total, 27 patients with IGD, 24 patients with OCD, and 26 healthy control (HC) subjects participated in a Go/NoGo task with electroencephalographic recordings. N2-P3 complexes elicited during Go and NoGo condition were analyzed separately and compared among conditions and groups. NoGo-N2 latency at the central electrode site was delayed in IGD group versus the HC group and correlated positively with the severity of internet game addiction and impulsivity. NoGo-N2 amplitude at the frontal electrode site was smaller in OCD patients than in IGD patients. These findings suggest that prolonged NoGo-N2 latency may serve as a marker of trait impulsivity in IGD and reduced NoGo-N2 amplitude may be a differential neurophysiological feature between OCD from IGD with regard to compulsivity. We report the first differential neurophysiological correlate of the altered response inhibition in IGD and OCD, which may be a candidate biomarker for impulsivity and compulsivity.","author":[{"dropping-particle":"","family":"Kim","given":"Minah","non-dropping-particle":"","parse-names":false,"suffix":""},{"dropping-particle":"","family":"Lee","given":"Tak Hyung","non-dropping-particle":"","parse-names":false,"suffix":""},{"dropping-particle":"","family":"Choi","given":"Jung-Seok","non-dropping-particle":"","parse-names":false,"suffix":""},{"dropping-particle":"Bin","family":"Kwak","given":"Yoo","non-dropping-particle":"","parse-names":false,"suffix":""},{"dropping-particle":"","family":"Hwang","given":"Wu Jeong","non-dropping-particle":"","parse-names":false,"suffix":""},{"dropping-particle":"","family":"Kim","given":"Taekwan","non-dropping-particle":"","parse-names":false,"suffix":""},{"dropping-particle":"","family":"Lee","given":"Ji Yoon","non-dropping-particle":"","parse-names":false,"suffix":""},{"dropping-particle":"","family":"Lim","given":"Jae-A","non-dropping-particle":"","parse-names":false,"suffix":""},{"dropping-particle":"","family":"Park","given":"Minkyung","non-dropping-particle":"","parse-names":false,"suffix":""},{"dropping-particle":"","family":"Kim","given":"Yeon Jin","non-dropping-particle":"","parse-names":false,"suffix":""},{"dropping-particle":"","family":"Kim","given":"Sung Nyun","non-dropping-particle":"","parse-names":false,"suffix":""},{"dropping-particle":"","family":"Kim","given":"Dai Jin","non-dropping-particle":"","parse-names":false,"suffix":""},{"dropping-particle":"","family":"Kwon","given":"Jun Soo","non-dropping-particle":"","parse-names":false,"suffix":""}],"container-title":"Scientific Reports","id":"ITEM-8","issue":"September 2016","issued":{"date-parts":[["2017"]]},"page":"41742","publisher":"Nature Publishing Group","title":"Neurophysiological correlates of altered response inhibition in internet gaming disorder and obsessive-compulsive disorder: Perspectives from impulsivity and compulsivity","type":"article-journal","volume":"7"},"uris":["http://www.mendeley.com/documents/?uuid=6ded5bf7-d1ab-4f5b-a287-4eaf7c445c8b"]},{"id":"ITEM-9","itemData":{"DOI":"10.20882/adicciones.844","ISSN":"0214-4840","PMID":"28749524","abstract":"Only few studies have examined the relationship between problematic Internet use (PIU) and cognitive and academic performance in adolescents. The aim of this study was to analyze the differences in academic and cognitive performance (perception, attention, memory, verbal fluency and abstract reasoning) between adolescents with and without PIU. A total of 575 students from different high schools of the region of Alicante participated. Students were divided into two groups: adolescents with and without PIU (PIU and NPIU, respectively). Several questionnaires were administered to assess problematic Internet use, as well as students' academic performance. Substance use (alcohol / cannabis) was also assessed as exclusion criteria. A battery of neuropsychological tests was used to assess cognitive abilities. On the one hand, PIU users group obtained poorer academic results than NPIU, in terms of lower marks and more failed subjects. On the other hand, PIU group had a better hit ratio in the perception test than NPIU group. However, PIU adolescents got higher error rates for the abstract reasoning test. This greater number of errors, plus a similar number of hits compared to the NPIU group, could indicated a higher response rate for the PIU group, which may might be associated with greater impulsivity. As occurs in other addictive and non-substance-related problems studies, these results could mean difficulties in impulse control and regulation of response inhibition circuits in PIU users group. Future research is needed to analyze in depth the results presented in this paper. Son escasos los estudios que hayan analizado la relación entre el uso problemático de Internet (UPI) y el rendimiento cognitivo y académico en adolescentes. El objetivo de este estudio fue analizar las diferencias en rendimiento académico y cognitivo (percepción, atención, memoria, fluidez verbal y razonamiento abstracto) en una muestra de estudiantes de Secundaria con y sin UPI. Participaron un total de 575 estudiantes de diferentes institutos de la provincia de Alicante, que fueron divididos en dos grupos: adolescentes con y sin uso problemático de Internet (UPI y NUPI, respectivamente). Se administraron varios cuestionarios para evaluar el uso problemático de Internet de los sujetos, su rendimiento académico, su consumo de sustancias (alcohol/cannabis) como criterios de exclusión, así como una batería de pruebas neuropsicológicas para evaluar sus habilidades cognitivas. Por un lado, l…","author":[{"dropping-particle":"","family":"Marín Vila","given":"María","non-dropping-particle":"","parse-names":false,"suffix":""},{"dropping-particle":"","family":"Carballo Crespo","given":"José Luis","non-dropping-particle":"","parse-names":false,"suffix":""},{"dropping-particle":"","family":"Coloma Carmona","given":"Ainhoa","non-dropping-particle":"","parse-names":false,"suffix":""}],"container-title":"Adicciones","id":"ITEM-9","issue":"0","issued":{"date-parts":[["2017"]]},"page":"844","title":"Academic outcomes and cognitive performance in problematic Internet users.","type":"article-journal","volume":"0"},"uris":["http://www.mendeley.com/documents/?uuid=28c4f184-0780-48da-9963-c28d93411ca5"]},{"id":"ITEM-10","itemData":{"DOI":"10.3389/fnbeh.2013.00131","ISBN":"1662-5153 (Electronic)\\r1662-5153 (Linking)","ISSN":"1662-5153","PMID":"24093009","abstract":"Internet addiction disorder (IAD) is an impulse disorder or at least related to impulse control disorder. Deficits in executive functioning, including response monitoring, have been proposed as a hallmark feature of impulse control disorders. The error-related negativity (ERN) reflects individual's ability to monitor behavior. Since IAD belongs to a compulsive-impulsive spectrum disorder, theoretically, it should present response monitoring functional deficit characteristics of some disorders, such as substance dependence, ADHD, or alcohol abuse, testing with an Erikson flanker task. Up to now, no studies on response monitoring functional deficit in IAD were reported. The purpose of the present study was to examine whether IAD displays response monitoring functional deficit characteristics in a modified Erikson flanker task. Twenty-three subjects were recruited as IAD group. Twenty-three matched age, gender, and education healthy persons were recruited as control group. All participants completed the modified Erikson flanker task while measured with event-related potentials. IAD group made more total error rates than did controls (p &lt; 0.01); Reactive times for total error responses in IAD group were shorter than did controls (p &lt; 0.01). The mean ERN amplitudes of total error response conditions at frontal electrode sites and at central electrode sites of IAD group were reduced compared with control group (all p &lt; 0.01). These results revealed that IAD displays response monitoring functional deficit characteristics and shares ERN characteristics of compulsive-impulsive spectrum disorder.","author":[{"dropping-particle":"","family":"Zhou","given":"Zhenhe","non-dropping-particle":"","parse-names":false,"suffix":""},{"dropping-particle":"","family":"Li","given":"Cui","non-dropping-particle":"","parse-names":false,"suffix":""},{"dropping-particle":"","family":"Zhu","given":"Hongmei","non-dropping-particle":"","parse-names":false,"suffix":""}],"container-title":"Frontiers in Behavioral Neuroscience","id":"ITEM-10","issue":"September","issued":{"date-parts":[["2013"]]},"page":"1-8","title":"An Error-Related Negativity Potential Investigation of Response Monitoring Function in Individuals with Internet Addiction Disorder","type":"article-journal","volume":"7"},"uris":["http://www.mendeley.com/documents/?uuid=0daa49f6-0536-4e15-bec5-51302d399903"]},{"id":"ITEM-11","itemData":{"DOI":"10.1017/neu.2015.54","ISBN":"1601-5215","ISSN":"0924-2708","PMID":"26400106","abstract":"OBJECTIVE: The purpose of the present study was to test whether individuals with Internet addiction disorder (IAD) presented analogous characteristics of working memory, executive function and impulsivity compared with pathological gambling (PG) patients., METHODS: The subjects included 23 individuals with IAD, 23 PG patients and 23 controls. All of the participants were measured with the digit span task, Wisconsin Card Sorting Test, go/no-go task and Barratt Impulsiveness Scale-11 (BIS-11) under the same experimental conditions., RESULTS: The results of this study showed that the false alarm rate, total response errors, perseverative errors, failure to maintain set and BIS-11 scores of both the IAD and PG groups were significantly higher than that of the control group. In addition, the forward scores and backwards scores, percentage of conceptual level responses, number of categories completed and hit rate of the IAD and PG groups were significantly lower than that of the control group. Furthermore, the false alarm rate and BIS-11 scores of the IAD group were significantly higher than those of PG patients, and the hit rate was significantly lower than that of the PG patients., CONCLUSIONS: Individuals with IAD and PG patients present deficiencies in working memory, executive dysfunction and impulsivity, and individuals with IAD are more impulsive than PG patients.","author":[{"dropping-particle":"","family":"Zhou","given":"Zhenhe","non-dropping-particle":"","parse-names":false,"suffix":""},{"dropping-particle":"","family":"Zhou","given":"Hongliang","non-dropping-particle":"","parse-names":false,"suffix":""},{"dropping-particle":"","family":"Zhu","given":"Hongmei","non-dropping-particle":"","parse-names":false,"suffix":""}],"container-title":"Acta Neuropsychiatrica","id":"ITEM-11","issue":"02","issued":{"date-parts":[["2016"]]},"page":"92-100","title":"Working memory, executive function and impulsivity in Internet-addictive disorders: a comparison with pathological gambling","type":"article-journal","volume":"28"},"uris":["http://www.mendeley.com/documents/?uuid=d6b02e16-96c1-492b-bdc8-aeed6f5eff5c"]},{"id":"ITEM-12","itemData":{"DOI":"10.1017/neu.2016.9","ISBN":"1601-5215","ISSN":"0924-2708","PMID":"26956807","abstract":"Objective The present research explored the cortical correlates of rewarding mechanisms and cortical 'unbalance' effect in internet addiction (IA) vulnerability. Methods Internet Addiction Inventory (IAT) and personality trait (Behavioural Inhibition System, BIS; Behavioural Activation System, BAS) were applied to 28 subjects. Electroencephalographic (EEG, alpha frequency band) and response times (RTs) were registered during a Go-NoGo task execution in response to different online stimuli: gambling videos, videogames or neutral stimuli. Higher-IAT (more than 50 score, with moderate or severe internet addiction) and lower-IAT (&lt;50 score, with no internet addiction). Results Alpha band and RTs were affected by IAT, with significant bias (reduced RTs) for high-IAT in response to gambling videos and videogames; and by BAS, BAS-Reward subscale (BAS-R), since not only higher-IAT, but also BAS and BAS-R values determined an increasing of left prefrontal cortex (PFC) activity (alpha reduction) in response to videogames and gambling stimuli for both Go and NoGo conditions, in addition to decreased RTs for these stimuli categories. Conclusion The increased PFC responsiveness and the lateralisation (left PFC hemisphere) effect in NoGo condition was explained on the basis of a 'rewarding bias' towards more rewarding cues and a deficit in inhibitory control in higher-IAT and higher-BAS subjects. In contrast lower-IAT and lower-BAS predicted a decreased PFC response and increased RTs for NoGo (inhibitory mechanism). These results may support the significance of personality (BAS) and IAT measures for explaining future internet addiction behaviour based on this observed 'vulnerability'.","author":[{"dropping-particle":"","family":"Balconi","given":"Michela","non-dropping-particle":"","parse-names":false,"suffix":""},{"dropping-particle":"","family":"Finocchiaro","given":"Roberta","non-dropping-particle":"","parse-names":false,"suffix":""}],"container-title":"Acta Neuropsychiatrica","id":"ITEM-12","issue":"05","issued":{"date-parts":[["2016"]]},"page":"272-285","title":"Deficit in rewarding mechanisms and prefrontal left/right cortical effect in vulnerability for internet addiction","type":"article-journal","volume":"28"},"uris":["http://www.mendeley.com/documents/?uuid=dd970c66-df41-49a0-b04a-528a800073b8"]},{"id":"ITEM-13","itemData":{"DOI":"10.1016/j.psychres.2013.12.001","ISBN":"0165-1781(Print)","ISSN":"01651781","PMID":"24370334","abstract":"The purpose of this study was to explore a psychological profile of Internet addiction (IA) considering impulsivity as a key personality trait and as a key component of neuropsychological functioning. Twenty three subjects with IA (Young's Internet Addiction Test scores=70 or more) and 24 sex-, age-, and intelligence-matched healthy controls were enrolled. Participants filled out a questionnaire about trait impulsivity, the Trait Characteristic Inventory, depression, and anxiety. Next, we administered traditional neuropsychological tests including the Stroop et al. and computerized neuropsychological tests using the Cambridge Neuropsychological Test Automated Battery. The IA group exhibited more trait impulsivity than the healthy control group. They also scored higher for novelty seeking and harm avoidance. The IA group performed more poorly than the healthy control group in a computerized stop signal test, a test for inhibitory function and impulsivity; no group differences appeared for other neuropsychological tests. The IA group also scored higher for depression and anxiety, and lower for self-directedness and cooperativeness. In conclusion, individuals with IA exhibited impulsivity as a core personality trait and in their neuropsychological functioning. ?? 2013 Elsevier Ireland Ltd.","author":[{"dropping-particle":"","family":"Choi","given":"Jung Seok","non-dropping-particle":"","parse-names":false,"suffix":""},{"dropping-particle":"","family":"Park","given":"Su Mi","non-dropping-particle":"","parse-names":false,"suffix":""},{"dropping-particle":"","family":"Roh","given":"Myoung Sun","non-dropping-particle":"","parse-names":false,"suffix":""},{"dropping-particle":"","family":"Lee","given":"Jun Young","non-dropping-particle":"","parse-names":false,"suffix":""},{"dropping-particle":"Bin","family":"Park","given":"Chan","non-dropping-particle":"","parse-names":false,"suffix":""},{"dropping-particle":"","family":"Hwang","given":"Jae Yeon","non-dropping-particle":"","parse-names":false,"suffix":""},{"dropping-particle":"","family":"Gwak","given":"Ah Reum","non-dropping-particle":"","parse-names":false,"suffix":""},{"dropping-particle":"","family":"Jung","given":"Hee Yeon","non-dropping-particle":"","parse-names":false,"suffix":""}],"container-title":"Psychiatry Research","id":"ITEM-13","issue":"2","issued":{"date-parts":[["2014"]]},"page":"424-428","publisher":"Elsevier","title":"Dysfunctional inhibitory control and impulsivity in Internet addiction","type":"article-journal","volume":"215"},"uris":["http://www.mendeley.com/documents/?uuid=92ad5037-29af-47d0-9f3e-615d56d25077"]},{"id":"ITEM-14","itemData":{"DOI":"10.1016/j.pnpbp.2014.08.016","ISBN":"0278-5846","ISSN":"18784216","PMID":"25218095","abstract":"This study examined how Internet gaming disorder (IGD) subjects modulating reward and risk at a neural level under a probability-discounting task with functional magnetic resonance imaging (fMRI). Behavioral and imaging data were collected from 19 IGD subjects (22.2. ±. 3.08. years) and 21 healthy controls (HC, 22.8. ±. 3.5. years). Behavior results showed that IGD subjects prefer the probabilistic options to fixed ones and were associated with shorter reaction time, when comparing to HC. The fMRI results revealed that IGD subjects show decreased activation in the inferior frontal gyrus and the precentral gyrus when choosing the probabilistic options than HC. Correlations were also calculated between behavioral performances and brain activities in relevant brain regions. Both of the behavioral performance and fMRI results indicate that people with IGD show impaired risk evaluation, which might be the reason why IGD subjects continue playing online games despite the risks of widely known negative consequence.","author":[{"dropping-particle":"","family":"Lin","given":"Xiao","non-dropping-particle":"","parse-names":false,"suffix":""},{"dropping-particle":"","family":"Zhou","given":"Hongli","non-dropping-particle":"","parse-names":false,"suffix":""},{"dropping-particle":"","family":"Dong","given":"Guangheng","non-dropping-particle":"","parse-names":false,"suffix":""},{"dropping-particle":"","family":"Du","given":"Xiaoxia","non-dropping-particle":"","parse-names":false,"suffix":""}],"container-title":"Progress in Neuro-Psychopharmacology and Biological Psychiatry","id":"ITEM-14","issued":{"date-parts":[["2015"]]},"page":"142-148","publisher":"Elsevier Inc.","title":"Impaired risk evaluation in people with internet gaming disorder: fMRI evidence from a probability discounting task","type":"article-journal","volume":"56"},"uris":["http://www.mendeley.com/documents/?uuid=308003be-5c04-4e83-99e9-c054142d4f0b"]},{"id":"ITEM-15","itemData":{"DOI":"10.1556/2006.5.2016.012","ISBN":"2062-5871","ISSN":"2062-5871","PMID":"28092198","abstract":"Background and aimsInternet Gaming Disorder is included in the Diagnostic and statistical manual of mental disorders (5th edition) as a disorder that merits further research. The diagnostic criteria are based on those for Substance Use Disorder and Gambling Disorder. Excessive gamblers and persons with Substance Use Disorder show attentional biases towards stimuli related to their addictions. We investigated whether excessive Internet gamers show a similar attentional bias, by using two established experimental paradigms.MethodsWe measured reaction times of excessive Internet gamers and non-gamers (N = 51, 23.7 ± 2.7 years) by using an addiction Stroop with computer-related and neutral words, as well as a visual probe with computer-related and neutral pictures. Mixed design analyses of variance with the between-subjects factor group (gamer/non-gamer) and the within-subjects factor stimulus type (computer-related/neutral) were calculated for the reaction times as well as for valence and familiarity ratings...","author":[{"dropping-particle":"","family":"Jeromin","given":"Franziska","non-dropping-particle":"","parse-names":false,"suffix":""},{"dropping-particle":"","family":"Nyenhuis","given":"Nele","non-dropping-particle":"","parse-names":false,"suffix":""},{"dropping-particle":"","family":"Barke","given":"Antonia","non-dropping-particle":"","parse-names":false,"suffix":""}],"container-title":"Journal of Behavioral Addictions","id":"ITEM-15","issue":"1","issued":{"date-parts":[["2016"]]},"page":"32-40","title":"Attentional bias in excessive Internet gamers: Experimental investigations using an addiction Stroop and a visual probe","type":"article-journal","volume":"5"},"uris":["http://www.mendeley.com/documents/?uuid=a2f64046-e9fc-4a8d-82a6-6b7784ae1f75"]},{"id":"ITEM-16","itemData":{"DOI":"10.1016/j.psychres.2016.01.004","ISBN":"0165-1781","ISSN":"18727123","PMID":"26778632","abstract":"Impairments in response inhibition and working memory functions have been found to be closely associated with internet addiction (IA) symptoms and attention-deficit/hyperactivity disorder (ADHD) symptoms. In this study, we examined response inhibition and working memory processes with two different materials (internet-related and internet-unrelated stimuli) among adolescents with IA, ADHD and co-morbid IA/ADHD. Twenty-four individuals with IA, 28 individuals with ADHD, 17 individuals with IA/ADHD, and 26 matched normal controls (NC) individuals were recruited. All participants were measured with a Stop-Signal Task and 2-Back Task under the same experimental conditions. In comparison to the NC group, subjects with IA, ADHD and IA/ADHD demonstrated impaired inhibition and working memory. In addition, in comparison to internet-unrelated conditions, IA and co-morbid subjects performed worse on the internet-related condition in the Stop trials during the stop-signal task, and they showed better working memory on the internet-related condition in the 2-Back Task. The findings of our study suggest individuals with IA and IA/ADHD may be impaired in inhibition and working memory functions that might be linked to poor inhibition specifically related to internet-related stimuli, which will advance our understanding of IA and contribute to prevention and intervention strategies.","author":[{"dropping-particle":"","family":"Nie","given":"Jia","non-dropping-particle":"","parse-names":false,"suffix":""},{"dropping-particle":"","family":"Zhang","given":"Wei","non-dropping-particle":"","parse-names":false,"suffix":""},{"dropping-particle":"","family":"Chen","given":"Jia","non-dropping-particle":"","parse-names":false,"suffix":""},{"dropping-particle":"","family":"Li","given":"Wendi","non-dropping-particle":"","parse-names":false,"suffix":""}],"container-title":"Psychiatry Research","id":"ITEM-16","issued":{"date-parts":[["2016"]]},"page":"28-34","publisher":"Elsevier","title":"Impaired inhibition and working memory in response to internet-related words among adolescents with internet addiction: A comparison with attention-deficit/hyperactivity disorder","type":"article-journal","volume":"236"},"uris":["http://www.mendeley.com/documents/?uuid=0dd0c59b-de89-4a83-bf75-5afc8a37cbd6"]},{"id":"ITEM-17","itemData":{"DOI":"10.1177/0004867415598009","ISSN":"0004-8674","author":[{"dropping-particle":"","family":"Seok","given":"Ji-Woo","non-dropping-particle":"","parse-names":false,"suffix":""},{"dropping-particle":"","family":"Lee","given":"Kyung Hwa","non-dropping-particle":"","parse-names":false,"suffix":""},{"dropping-particle":"","family":"Sohn","given":"Sunju","non-dropping-particle":"","parse-names":false,"suffix":""},{"dropping-particle":"","family":"Sohn","given":"Jin-Hun","non-dropping-particle":"","parse-names":false,"suffix":""}],"container-title":"Australian &amp; New Zealand Journal of Psychiatry","id":"ITEM-17","issue":"10","issued":{"date-parts":[["2015"]]},"page":"923-932","title":"Neural substrates of risky decision making in individuals with Internet addiction","type":"article-journal","volume":"49"},"uris":["http://www.mendeley.com/documents/?uuid=785984f3-9225-419f-9d11-0c1919240ebe"]},{"id":"ITEM-18","itemData":{"DOI":"10.1017/S1092852917000360","ISBN":"1092852917000","ISSN":"1092-8529","author":[{"dropping-particle":"","family":"Wang","given":"Lingxiao","non-dropping-particle":"","parse-names":false,"suffix":""},{"dropping-particle":"","family":"Zhang","given":"Yifen","non-dropping-particle":"","parse-names":false,"suffix":""},{"dropping-particle":"","family":"Lin","given":"Xiao","non-dropping-particle":"","parse-names":false,"suffix":""},{"dropping-particle":"","family":"Zhou","given":"Hongli","non-dropping-particle":"","parse-names":false,"suffix":""},{"dropping-particle":"","family":"Du","given":"Xiaoxia","non-dropping-particle":"","parse-names":false,"suffix":""},{"dropping-particle":"","family":"Dong","given":"Guangheng","non-dropping-particle":"","parse-names":false,"suffix":""}],"container-title":"CNS Spectrums","id":"ITEM-18","issued":{"date-parts":[["2017"]]},"page":"1-11","title":"Group independent component analysis reveals alternation of right executive control network in Internet gaming disorder","type":"article-journal"},"uris":["http://www.mendeley.com/documents/?uuid=65ec08c4-05f9-4520-9741-78da0de71069"]},{"id":"ITEM-19","itemData":{"DOI":"10.1111/adb.12458","ISSN":"13691600","PMID":"27687019","abstract":"Although Internet games have been proven to be addictive, only a few game players develop online gaming addiction. A large number of players play online games recreationally without being addicted to it. These individuals are defined as recreational Internet gaming users (RGU). So far, no research has investigated decision‐making and impulse control in RGU. In the current study, we used delay discounting (DD) task and probabilistic discounting (PD) task to examine decision‐making and impulse control in 20 healthy controls, 20 subjects with Internet gaming disorder (IGD) and 23 RGU during fMRI scanning. At the behavioral level, RGU showed lower DD rate and higher PD rate than subjects with IGD and there was no significant difference between RGU and healthy controls on the DD and PD rates. At the neural level, RGU showed increased neural response in the parahippocampal gyrus, the anterior cingulate cortex, the medial frontal gyrus and the inferior frontal gyrus as compared with subjects with IGD. These brain regions may play an important role in preventing RGU from developing addiction. The results suggest that the RGU are capable of inhibiting impulse due to additional cognitive endeavor and the subjects with IGD have deficit in decision‐making and impulsive control, which are associated with brain dysfunction. (PsycINFO Database Record (c) 2016 APA, all rights reserved)","author":[{"dropping-particle":"","family":"Wang","given":"Yifan","non-dropping-particle":"","parse-names":false,"suffix":""},{"dropping-particle":"","family":"Wu","given":"Lingdan","non-dropping-particle":"","parse-names":false,"suffix":""},{"dropping-particle":"","family":"Wang","given":"Lingxiao","non-dropping-particle":"","parse-names":false,"suffix":""},{"dropping-particle":"","family":"Zhang","given":"Yifen","non-dropping-particle":"","parse-names":false,"suffix":""},{"dropping-particle":"","family":"Du","given":"Xiaoxia","non-dropping-particle":"","parse-names":false,"suffix":""},{"dropping-particle":"","family":"Dong","given":"Guangheng","non-dropping-particle":"","parse-names":false,"suffix":""}],"container-title":"Addiction Biology","id":"ITEM-19","issued":{"date-parts":[["2016"]]},"title":"Impaired decision-making and impulse control in Internet gaming addicts: Evidence from the comparison with recreational Internet game users","type":"article-journal"},"uris":["http://www.mendeley.com/documents/?uuid=a684dbc3-4417-419e-83f6-b382df857718"]},{"id":"ITEM-20","itemData":{"DOI":"10.1016/j.addbeh.2015.01.008","ISBN":"1873-6327 (Electronic)\r0306-4603 (Linking)","ISSN":"18736327","PMID":"25679363","abstract":"While the conceptualization of problematic Internet use (PIU) as a \"behavioral addiction\" resembling substance-use disorders is debated, the neurobiological underpinnings of PIU remain understudied. This study examined whether adolescents displaying features of PIU (at-risk PIU; ARPIU) are more impulsive and exhibit blunted responding in the neural mechanisms underlying feedback processing and outcome evaluation during risk-taking. Event-related potentials (ERPs) elicited by positive (i.e. reward) and negative (i.e. loss) feedback were recorded during performance on a modified version of the Balloon Analogue Risk Task (BART) among ARPIU (n= 39) and non-ARPIU subjects (n= 27). Compared to non-ARPIU, ARPIU adolescents displayed higher levels of urgency and lack of perseverance on the UPPS Impulsive Behavior Scale. Although no between-group difference in BART performance was observed, ERPs demonstrated overall decreased sensitivity to feedback in ARPIU compared to non-ARPIU adolescents, as indexed by blunted feedback-related negativity (FRN) and P300 amplitudes to both negative and positive feedback. The present study provides evidence for feedback processing during risk-taking as a neural correlate of ARPIU. Given recent concerns regarding the growing prevalence of PIU as a health concern, future work should examine the extent to which feedback processing may represent a risk factor for PIU, a consequence of PIU, or possibly both.","author":[{"dropping-particle":"","family":"Yau","given":"Yvonne H.C.","non-dropping-particle":"","parse-names":false,"suffix":""},{"dropping-particle":"","family":"Potenza","given":"Marc N.","non-dropping-particle":"","parse-names":false,"suffix":""},{"dropping-particle":"","family":"Mayes","given":"Linda C.","non-dropping-particle":"","parse-names":false,"suffix":""},{"dropping-particle":"","family":"Crowley","given":"Michael J.","non-dropping-particle":"","parse-names":false,"suffix":""}],"container-title":"Addictive Behaviors","id":"ITEM-20","issued":{"date-parts":[["2015"]]},"page":"156-163","publisher":"Elsevier Ltd","title":"Blunted feedback processing during risk-taking in adolescents with features of problematic Internet use","type":"article-journal","volume":"45"},"uris":["http://www.mendeley.com/documents/?uuid=317d20b8-e621-47f4-93ba-7c3a798426c7"]},{"id":"ITEM-21","itemData":{"DOI":"10.3389/fpsyg.2016.00714","ISBN":"1664-1078","ISSN":"16641078","PMID":"27242623","abstract":"BACKGROUND AND AIMS: Attentional bias for drug-related stimuli is a key characteristic for drug addiction. Characterizing the relationship between attentional bias and brain reactivity to Internet gaming-related stimuli may help in identifying the neural substrates that critical to Internet gaming disorder (IGD). METHODS: 19 IGD and 21 healthy control (HC) subjects were scanned with functional magnetic resonance imaging while they were performing an addiction Stroop task. RESULTS: Compared with HC group, IGD subjects showed higher activations when facing Internet gaming-related stimuli in regions including the inferior parietal lobule, the middle occipital gyrus and the dorsolateral prefrontal cortex. These brain areas were thought to be involved in selective attention, visual processing, working memory and cognitive control. DISCUSSION AND CONCLUSIONS: The results demonstrated that compared with HC group, IGD subjects show impairment in both visual and cognitive control ability while dealing with gaming-related words. This finding might be helpful in understanding the underlying neural basis of IGD.","author":[{"dropping-particle":"","family":"Zhang","given":"Yifen","non-dropping-particle":"","parse-names":false,"suffix":""},{"dropping-particle":"","family":"Lin","given":"Xiao","non-dropping-particle":"","parse-names":false,"suffix":""},{"dropping-particle":"","family":"Zhou","given":"Hongli","non-dropping-particle":"","parse-names":false,"suffix":""},{"dropping-particle":"","family":"Xu","given":"Jiaojing","non-dropping-particle":"","parse-names":false,"suffix":""},{"dropping-particle":"","family":"Du","given":"Xiaoxia","non-dropping-particle":"","parse-names":false,"suffix":""},{"dropping-particle":"","family":"Dong","given":"Guangheng","non-dropping-particle":"","parse-names":false,"suffix":""}],"container-title":"Frontiers in Psychology","id":"ITEM-21","issue":"MAY","issued":{"date-parts":[["2016"]]},"page":"1-9","title":"Brain activity toward gaming-related cues in internet gaming disorder during an addiction Stroop task","type":"article-journal","volume":"7"},"uris":["http://www.mendeley.com/documents/?uuid=5b5f4fac-832b-47a1-8c12-f791d83223f8"]},{"id":"ITEM-22","itemData":{"DOI":"10.3389/fnbeh.2014.00288","ISBN":"1662-5153","ISSN":"1662-5153","PMID":"25202248","abstract":"Internet addiction disorder (IAD) should belong to a kind of behavioral addiction. Previous studies indicated that there are many similarities in the neurobiology of behavior and substance addictions. Up to date, although individuals with IAD have difficulty in suppressing their excessive online behaviors in real life, little is known about the patho-physiological and cognitive mechanisms responsible for IAD. Neuropsychological test studies have contributed significantly to our understanding of the effect of IAD on the cognitive function. The purpose of the present study was to examine whether Internet addictive individuals share impulsivity and executive dysfunction with alcohol-dependent individuals. Participants include 22 Internet addictive individuals, 22 patients with alcohol dependence (AD), and 22 normal controls (NC). All participants were measured with BIS-11, go/no-go task, Wisconsin Card Sorting Test, and Digit span task under the same experimental condition. Results showed that Barratt impulsiveness scale 11 scores, false alarm rate, the total response errors, perseverative errors, failure to maintain set of IAD and AD group were significantly higher than that of NC group, and hit rate, percentage of conceptual level responses, the number of categories completed, forwards scores, and backwards scores of IAD and AD group were significantly lower than that of NC group, however, no differences in above variables between IAD group and AD group were observed. These results revealed that the existence of impulsivity, deficiencies in executive function and working memory in an IAD and an AD sample, namely, Internet addictive individuals share impulsivity and executive dysfunction with alcohol-dependent patients.","author":[{"dropping-particle":"","family":"Zhou","given":"Zhenhe","non-dropping-particle":"","parse-names":false,"suffix":""},{"dropping-particle":"","family":"Zhu","given":"Hongmei","non-dropping-particle":"","parse-names":false,"suffix":""},{"dropping-particle":"","family":"Li","given":"Cui","non-dropping-particle":"","parse-names":false,"suffix":""},{"dropping-particle":"","family":"Wang","given":"Jun","non-dropping-particle":"","parse-names":false,"suffix":""}],"container-title":"Frontiers in behavioral neuroscience","id":"ITEM-22","issue":"August","issued":{"date-parts":[["2014"]]},"page":"288","title":"Internet addictive individuals share impulsivity and executive dysfunction with alcohol-dependent patients.","type":"article-journal","volume":"8"},"uris":["http://www.mendeley.com/documents/?uuid=4d005d3f-0003-409b-933a-3e2dbc92efba"]}],"mendeley":{"formattedCitation":"(Balconi &amp; Finocchiaro, 2016; Z. Chen, Poon, &amp; Cheng, 2017; J. S. Choi et al., 2014; Dieter et al., 2017; Han, Kim, Bae, Renshaw, &amp; Anderson, 2016; Jeromin, Nyenhuis, &amp; Barke, 2016; Kim et al., 2017; C. H. Ko et al., 2015; Lee et al., 2015; Lin et al., 2015; Lorenz et al., 2013; Marín Vila, Carballo Crespo, &amp; Coloma Carmona, 2017; Nie, Zhang, Chen, &amp; Li, 2016; Nie, Zhang, &amp; Liu, 2017; Seok, Lee, Sohn, &amp; Sohn, 2015; Lingxiao Wang et al., 2017; Y. Wang et al., 2016; Yau, Potenza, Mayes, &amp; Crowley, 2015; Zhang et al., 2016; Z. Zhou, Li, &amp; Zhu, 2013; Z. Zhou et al., 2016, 2014)","plainTextFormattedCitation":"(Balconi &amp; Finocchiaro, 2016; Z. Chen, Poon, &amp; Cheng, 2017; J. S. Choi et al., 2014; Dieter et al., 2017; Han, Kim, Bae, Renshaw, &amp; Anderson, 2016; Jeromin, Nyenhuis, &amp; Barke, 2016; Kim et al., 2017; C. H. Ko et al., 2015; Lee et al., 2015; Lin et al., 2015; Lorenz et al., 2013; Marín Vila, Carballo Crespo, &amp; Coloma Carmona, 2017; Nie, Zhang, Chen, &amp; Li, 2016; Nie, Zhang, &amp; Liu, 2017; Seok, Lee, Sohn, &amp; Sohn, 2015; Lingxiao Wang et al., 2017; Y. Wang et al., 2016; Yau, Potenza, Mayes, &amp; Crowley, 2015; Zhang et al., 2016; Z. Zhou, Li, &amp; Zhu, 2013; Z. Zhou et al., 2016, 2014)","previouslyFormattedCitation":"(Balconi and Finocchiaro 2016; Z. Chen, Poon, and Cheng 2017; J. S. Choi et al. 2014; Dieter et al. 2017; Han et al. 2016; Jeromin, Nyenhuis, and Barke 2016; Kim et al. 2017; C. H. Ko et al. 2015; Lee et al. 2015; Lin et al. 2015; Lorenz et al. 2013; Marín Vila, Carballo Crespo, and Coloma Carmona 2017; Nie et al. 2016; Nie, Zhang, and Liu 2017; Seok et al. 2015; Lingxiao Wang et al. 2017; Y. Wang et al. 2016; Yau et al. 2015; Zhang et al. 2016; Z. Zhou et al. 2014; Z. Zhou, Li, and Zhu 2013; Z. Zhou, Zhou, and Zhu 2016)"},"properties":{"noteIndex":0},"schema":"https://github.com/citation-style-language/schema/raw/master/csl-citation.json"}</w:instrText>
      </w:r>
      <w:r>
        <w:fldChar w:fldCharType="separate"/>
      </w:r>
      <w:r w:rsidR="00E67458" w:rsidRPr="00E67458">
        <w:rPr>
          <w:noProof/>
        </w:rPr>
        <w:t xml:space="preserve">(Balconi &amp; Finocchiaro, 2016; Z. Chen, Poon, &amp; Cheng, 2017; J. S. Choi et al., 2014; Dieter et al., 2017; </w:t>
      </w:r>
      <w:r w:rsidR="00E67458" w:rsidRPr="00E67458">
        <w:rPr>
          <w:noProof/>
        </w:rPr>
        <w:lastRenderedPageBreak/>
        <w:t>Han, Kim, Bae, Renshaw, &amp; Anderson, 2016; Jeromin, Nyenhuis, &amp; Barke, 2016; Kim et al., 2017; C. H. Ko et al., 2015; Lee et al., 2015; Lin et al., 2015; Lorenz et al., 2013; Marín Vila, Carballo Crespo, &amp; Coloma Carmona, 2017; Nie, Zhang, Chen, &amp; Li, 2016; Nie, Zhang, &amp; Liu, 2017; Seok, Lee, Sohn, &amp; Sohn, 2015; Lingxiao Wang et al., 2017; Y. Wang et al., 2016; Yau, Potenza, Mayes, &amp; Crowley, 2015; Zhang et al., 2016; Z. Zhou, Li, &amp; Zhu, 2013; Z. Zhou et al., 2016, 2014)</w:t>
      </w:r>
      <w:r>
        <w:fldChar w:fldCharType="end"/>
      </w:r>
    </w:p>
    <w:p w14:paraId="01BEA26F" w14:textId="77777777" w:rsidR="00A8341A" w:rsidRDefault="00A8341A" w:rsidP="00A8341A">
      <w:pPr>
        <w:pStyle w:val="Heading2"/>
      </w:pPr>
      <w:r>
        <w:t xml:space="preserve">R code </w:t>
      </w:r>
    </w:p>
    <w:p w14:paraId="096A2816" w14:textId="77777777" w:rsidR="00A8341A" w:rsidRDefault="00A8341A" w:rsidP="00A8341A">
      <w:pPr>
        <w:spacing w:line="240" w:lineRule="auto"/>
      </w:pPr>
      <w:r>
        <w:t># Use the following the command to load the data. Only sample of code is presented here, repeated sequences of code are omitted.</w:t>
      </w:r>
    </w:p>
    <w:p w14:paraId="48908A78" w14:textId="77777777" w:rsidR="00A8341A" w:rsidRDefault="00A8341A" w:rsidP="00A8341A">
      <w:pPr>
        <w:spacing w:line="240" w:lineRule="auto"/>
      </w:pPr>
      <w:proofErr w:type="spellStart"/>
      <w:proofErr w:type="gramStart"/>
      <w:r>
        <w:t>df</w:t>
      </w:r>
      <w:proofErr w:type="spellEnd"/>
      <w:proofErr w:type="gramEnd"/>
      <w:r>
        <w:t xml:space="preserve"> &lt;- read.csv("~/…/df_piu_cog_meta.csv", head = TRUE, </w:t>
      </w:r>
      <w:proofErr w:type="spellStart"/>
      <w:r>
        <w:t>stringsAsFactors</w:t>
      </w:r>
      <w:proofErr w:type="spellEnd"/>
      <w:r>
        <w:t xml:space="preserve"> = FALSE); </w:t>
      </w:r>
      <w:proofErr w:type="spellStart"/>
      <w:r>
        <w:t>df</w:t>
      </w:r>
      <w:proofErr w:type="spellEnd"/>
      <w:r>
        <w:t xml:space="preserve"> &lt;- </w:t>
      </w:r>
      <w:proofErr w:type="spellStart"/>
      <w:r>
        <w:t>data.table</w:t>
      </w:r>
      <w:proofErr w:type="spellEnd"/>
      <w:r>
        <w:t>(</w:t>
      </w:r>
      <w:proofErr w:type="spellStart"/>
      <w:r>
        <w:t>df</w:t>
      </w:r>
      <w:proofErr w:type="spellEnd"/>
      <w:r>
        <w:t>)</w:t>
      </w:r>
    </w:p>
    <w:p w14:paraId="6C1CEA15" w14:textId="77777777" w:rsidR="00A8341A" w:rsidRDefault="00A8341A" w:rsidP="00A8341A">
      <w:pPr>
        <w:spacing w:line="240" w:lineRule="auto"/>
      </w:pPr>
      <w:r>
        <w:t>#</w:t>
      </w:r>
      <w:proofErr w:type="spellStart"/>
      <w:r>
        <w:t>df</w:t>
      </w:r>
      <w:proofErr w:type="spellEnd"/>
      <w:r>
        <w:t xml:space="preserve"> &lt;- </w:t>
      </w:r>
      <w:proofErr w:type="gramStart"/>
      <w:r>
        <w:t>mutate(</w:t>
      </w:r>
      <w:proofErr w:type="spellStart"/>
      <w:proofErr w:type="gramEnd"/>
      <w:r>
        <w:t>df</w:t>
      </w:r>
      <w:proofErr w:type="spellEnd"/>
      <w:r>
        <w:t xml:space="preserve">, </w:t>
      </w:r>
      <w:proofErr w:type="spellStart"/>
      <w:r>
        <w:t>study_id</w:t>
      </w:r>
      <w:proofErr w:type="spellEnd"/>
      <w:r>
        <w:t xml:space="preserve"> = 1:92) # This adds a study id column </w:t>
      </w:r>
    </w:p>
    <w:p w14:paraId="2C4D2A01" w14:textId="77777777" w:rsidR="00A8341A" w:rsidRDefault="00A8341A" w:rsidP="00A8341A">
      <w:pPr>
        <w:spacing w:line="240" w:lineRule="auto"/>
      </w:pPr>
      <w:proofErr w:type="spellStart"/>
      <w:proofErr w:type="gramStart"/>
      <w:r>
        <w:t>df</w:t>
      </w:r>
      <w:proofErr w:type="spellEnd"/>
      <w:proofErr w:type="gramEnd"/>
      <w:r>
        <w:t xml:space="preserve"> &lt;- </w:t>
      </w:r>
      <w:proofErr w:type="spellStart"/>
      <w:r>
        <w:t>df</w:t>
      </w:r>
      <w:proofErr w:type="spellEnd"/>
      <w:r>
        <w:t xml:space="preserve"> %&gt;% select(ID, paper, </w:t>
      </w:r>
      <w:proofErr w:type="spellStart"/>
      <w:r>
        <w:t>Age:Geographical</w:t>
      </w:r>
      <w:proofErr w:type="spellEnd"/>
      <w:r>
        <w:t xml:space="preserve">, </w:t>
      </w:r>
      <w:proofErr w:type="spellStart"/>
      <w:r>
        <w:t>Co.morbidities:control.N</w:t>
      </w:r>
      <w:proofErr w:type="spellEnd"/>
      <w:r>
        <w:t>) # This brings the study id column to the front</w:t>
      </w:r>
    </w:p>
    <w:p w14:paraId="2751444D" w14:textId="77777777" w:rsidR="00A8341A" w:rsidRDefault="00A8341A" w:rsidP="00A8341A">
      <w:pPr>
        <w:spacing w:line="240" w:lineRule="auto"/>
      </w:pPr>
      <w:proofErr w:type="spellStart"/>
      <w:r>
        <w:t>df_Stroop</w:t>
      </w:r>
      <w:proofErr w:type="spellEnd"/>
      <w:r>
        <w:t xml:space="preserve"> &lt;- </w:t>
      </w:r>
      <w:proofErr w:type="spellStart"/>
      <w:r>
        <w:t>df</w:t>
      </w:r>
      <w:proofErr w:type="spellEnd"/>
      <w:r>
        <w:t xml:space="preserve"> %</w:t>
      </w:r>
      <w:proofErr w:type="gramStart"/>
      <w:r>
        <w:t>&gt;%</w:t>
      </w:r>
      <w:proofErr w:type="gramEnd"/>
      <w:r>
        <w:t xml:space="preserve"> filter(Task == "Stroop") %&gt;%</w:t>
      </w:r>
    </w:p>
    <w:p w14:paraId="73B612F0" w14:textId="77777777" w:rsidR="00A8341A" w:rsidRDefault="00A8341A" w:rsidP="00A8341A">
      <w:pPr>
        <w:spacing w:line="240" w:lineRule="auto"/>
      </w:pPr>
      <w:r>
        <w:t xml:space="preserve">                 </w:t>
      </w:r>
      <w:proofErr w:type="spellStart"/>
      <w:r>
        <w:t>dplyr</w:t>
      </w:r>
      <w:proofErr w:type="spellEnd"/>
      <w:r>
        <w:t>::</w:t>
      </w:r>
      <w:proofErr w:type="gramStart"/>
      <w:r>
        <w:t>select(</w:t>
      </w:r>
      <w:proofErr w:type="gramEnd"/>
      <w:r>
        <w:t xml:space="preserve">ID, paper, </w:t>
      </w:r>
      <w:proofErr w:type="spellStart"/>
      <w:r>
        <w:t>piu.mean:control.N</w:t>
      </w:r>
      <w:proofErr w:type="spellEnd"/>
      <w:r>
        <w:t>) %&gt;%</w:t>
      </w:r>
    </w:p>
    <w:p w14:paraId="2B0180A4" w14:textId="77777777" w:rsidR="00A8341A" w:rsidRDefault="00A8341A" w:rsidP="00A8341A">
      <w:pPr>
        <w:spacing w:line="240" w:lineRule="auto"/>
      </w:pPr>
      <w:r>
        <w:t xml:space="preserve">                </w:t>
      </w:r>
      <w:proofErr w:type="gramStart"/>
      <w:r>
        <w:t>filter(</w:t>
      </w:r>
      <w:proofErr w:type="spellStart"/>
      <w:proofErr w:type="gramEnd"/>
      <w:r>
        <w:t>complete.cases</w:t>
      </w:r>
      <w:proofErr w:type="spellEnd"/>
      <w:r>
        <w:t>(.))</w:t>
      </w:r>
    </w:p>
    <w:p w14:paraId="73B0EC5E" w14:textId="77777777" w:rsidR="00A8341A" w:rsidRDefault="00A8341A" w:rsidP="00A8341A">
      <w:pPr>
        <w:spacing w:line="240" w:lineRule="auto"/>
      </w:pPr>
      <w:proofErr w:type="spellStart"/>
      <w:r>
        <w:t>df_Stroop</w:t>
      </w:r>
      <w:proofErr w:type="spellEnd"/>
      <w:r>
        <w:t xml:space="preserve"> &lt;- </w:t>
      </w:r>
      <w:proofErr w:type="spellStart"/>
      <w:proofErr w:type="gramStart"/>
      <w:r>
        <w:t>escalc</w:t>
      </w:r>
      <w:proofErr w:type="spellEnd"/>
      <w:r>
        <w:t>(</w:t>
      </w:r>
      <w:proofErr w:type="gramEnd"/>
      <w:r>
        <w:t>measure="SMD", m1i=</w:t>
      </w:r>
      <w:proofErr w:type="spellStart"/>
      <w:r>
        <w:t>piu.mean</w:t>
      </w:r>
      <w:proofErr w:type="spellEnd"/>
      <w:r>
        <w:t>, m2i=</w:t>
      </w:r>
      <w:proofErr w:type="spellStart"/>
      <w:r>
        <w:t>control.mean</w:t>
      </w:r>
      <w:proofErr w:type="spellEnd"/>
      <w:r>
        <w:t>, sd1i=piu.SD, sd2i=control.SD, n1i=</w:t>
      </w:r>
      <w:proofErr w:type="spellStart"/>
      <w:r>
        <w:t>piu.N</w:t>
      </w:r>
      <w:proofErr w:type="spellEnd"/>
      <w:r>
        <w:t>, n2i=</w:t>
      </w:r>
      <w:proofErr w:type="spellStart"/>
      <w:r>
        <w:t>control.N</w:t>
      </w:r>
      <w:proofErr w:type="spellEnd"/>
      <w:r>
        <w:t>,  data=</w:t>
      </w:r>
      <w:proofErr w:type="spellStart"/>
      <w:r>
        <w:t>df_Stroop</w:t>
      </w:r>
      <w:proofErr w:type="spellEnd"/>
      <w:r>
        <w:t xml:space="preserve">, slab=paper) </w:t>
      </w:r>
    </w:p>
    <w:p w14:paraId="6568B55A" w14:textId="77777777" w:rsidR="00A8341A" w:rsidRDefault="00A8341A" w:rsidP="00A8341A">
      <w:pPr>
        <w:spacing w:line="240" w:lineRule="auto"/>
      </w:pPr>
      <w:r>
        <w:t xml:space="preserve"># </w:t>
      </w:r>
      <w:proofErr w:type="gramStart"/>
      <w:r>
        <w:t>Now</w:t>
      </w:r>
      <w:proofErr w:type="gramEnd"/>
      <w:r>
        <w:t xml:space="preserve"> you're ready to perform the meta-analysis using a random-effects model. The following commands will print out the data and also calculates and print the confidence interval for the amount of heterogeneity (I^2).</w:t>
      </w:r>
    </w:p>
    <w:p w14:paraId="7D022A6A" w14:textId="77777777" w:rsidR="00A8341A" w:rsidRDefault="00A8341A" w:rsidP="00A8341A">
      <w:pPr>
        <w:spacing w:line="240" w:lineRule="auto"/>
      </w:pPr>
      <w:proofErr w:type="spellStart"/>
      <w:r>
        <w:t>res_Stroop</w:t>
      </w:r>
      <w:proofErr w:type="spellEnd"/>
      <w:r>
        <w:t xml:space="preserve"> &lt;- </w:t>
      </w:r>
      <w:proofErr w:type="spellStart"/>
      <w:proofErr w:type="gramStart"/>
      <w:r>
        <w:t>rma</w:t>
      </w:r>
      <w:proofErr w:type="spellEnd"/>
      <w:r>
        <w:t>(</w:t>
      </w:r>
      <w:proofErr w:type="spellStart"/>
      <w:proofErr w:type="gramEnd"/>
      <w:r>
        <w:t>yi</w:t>
      </w:r>
      <w:proofErr w:type="spellEnd"/>
      <w:r>
        <w:t>, vi, data=</w:t>
      </w:r>
      <w:proofErr w:type="spellStart"/>
      <w:r>
        <w:t>df_Stroop</w:t>
      </w:r>
      <w:proofErr w:type="spellEnd"/>
      <w:r>
        <w:t xml:space="preserve">) ; </w:t>
      </w:r>
      <w:proofErr w:type="spellStart"/>
      <w:r>
        <w:t>res_Stroop</w:t>
      </w:r>
      <w:proofErr w:type="spellEnd"/>
      <w:r>
        <w:t xml:space="preserve"> #results</w:t>
      </w:r>
    </w:p>
    <w:p w14:paraId="572213DA" w14:textId="77777777" w:rsidR="00A8341A" w:rsidRDefault="00A8341A" w:rsidP="00A8341A">
      <w:pPr>
        <w:spacing w:line="240" w:lineRule="auto"/>
      </w:pPr>
      <w:proofErr w:type="gramStart"/>
      <w:r>
        <w:t>par(</w:t>
      </w:r>
      <w:proofErr w:type="gramEnd"/>
      <w:r>
        <w:t>font=1); #forest plot</w:t>
      </w:r>
    </w:p>
    <w:p w14:paraId="51606909" w14:textId="77777777" w:rsidR="00A8341A" w:rsidRDefault="00A8341A" w:rsidP="00A8341A">
      <w:pPr>
        <w:spacing w:line="240" w:lineRule="auto"/>
      </w:pPr>
      <w:proofErr w:type="gramStart"/>
      <w:r>
        <w:t>forest(</w:t>
      </w:r>
      <w:proofErr w:type="spellStart"/>
      <w:proofErr w:type="gramEnd"/>
      <w:r>
        <w:t>res_Stroop</w:t>
      </w:r>
      <w:proofErr w:type="spellEnd"/>
      <w:r>
        <w:t xml:space="preserve">, </w:t>
      </w:r>
      <w:proofErr w:type="spellStart"/>
      <w:r>
        <w:t>xlim</w:t>
      </w:r>
      <w:proofErr w:type="spellEnd"/>
      <w:r>
        <w:t xml:space="preserve">=c(-2.5,2.5), </w:t>
      </w:r>
    </w:p>
    <w:p w14:paraId="7AAA6C1C" w14:textId="77777777" w:rsidR="00A8341A" w:rsidRDefault="00A8341A" w:rsidP="00A8341A">
      <w:pPr>
        <w:spacing w:line="240" w:lineRule="auto"/>
      </w:pPr>
      <w:r>
        <w:t xml:space="preserve">       </w:t>
      </w:r>
      <w:proofErr w:type="gramStart"/>
      <w:r>
        <w:t>at=</w:t>
      </w:r>
      <w:proofErr w:type="spellStart"/>
      <w:proofErr w:type="gramEnd"/>
      <w:r>
        <w:t>transf.rtoz</w:t>
      </w:r>
      <w:proofErr w:type="spellEnd"/>
      <w:r>
        <w:t xml:space="preserve">(c(-0.6,-.4,-.2,0,.2,.4,.6, .8)), digits=c(2,1), </w:t>
      </w:r>
      <w:proofErr w:type="spellStart"/>
      <w:r>
        <w:t>cex</w:t>
      </w:r>
      <w:proofErr w:type="spellEnd"/>
      <w:r>
        <w:t>=.8)</w:t>
      </w:r>
    </w:p>
    <w:p w14:paraId="77027950" w14:textId="77777777" w:rsidR="00A8341A" w:rsidRDefault="00A8341A" w:rsidP="00A8341A">
      <w:pPr>
        <w:spacing w:line="240" w:lineRule="auto"/>
      </w:pPr>
      <w:proofErr w:type="gramStart"/>
      <w:r>
        <w:t>par(</w:t>
      </w:r>
      <w:proofErr w:type="gramEnd"/>
      <w:r>
        <w:t xml:space="preserve">font=2, </w:t>
      </w:r>
      <w:proofErr w:type="spellStart"/>
      <w:r>
        <w:t>cex</w:t>
      </w:r>
      <w:proofErr w:type="spellEnd"/>
      <w:r>
        <w:t>=1)</w:t>
      </w:r>
    </w:p>
    <w:p w14:paraId="34F4D7BE" w14:textId="77777777" w:rsidR="00A8341A" w:rsidRDefault="00A8341A" w:rsidP="00A8341A">
      <w:pPr>
        <w:spacing w:line="240" w:lineRule="auto"/>
      </w:pPr>
      <w:proofErr w:type="gramStart"/>
      <w:r>
        <w:t>text(</w:t>
      </w:r>
      <w:proofErr w:type="gramEnd"/>
      <w:r>
        <w:t xml:space="preserve">-2.5, 17.5, "Author(s), Year", </w:t>
      </w:r>
      <w:proofErr w:type="spellStart"/>
      <w:r>
        <w:t>pos</w:t>
      </w:r>
      <w:proofErr w:type="spellEnd"/>
      <w:r>
        <w:t xml:space="preserve">=4, </w:t>
      </w:r>
      <w:proofErr w:type="spellStart"/>
      <w:r>
        <w:t>cex</w:t>
      </w:r>
      <w:proofErr w:type="spellEnd"/>
      <w:r>
        <w:t>=.8)</w:t>
      </w:r>
    </w:p>
    <w:p w14:paraId="30055A3C" w14:textId="77777777" w:rsidR="00A8341A" w:rsidRDefault="00A8341A" w:rsidP="00A8341A">
      <w:pPr>
        <w:spacing w:line="240" w:lineRule="auto"/>
      </w:pPr>
      <w:proofErr w:type="gramStart"/>
      <w:r>
        <w:t>text(</w:t>
      </w:r>
      <w:proofErr w:type="gramEnd"/>
      <w:r>
        <w:t xml:space="preserve">-0.8, 17.5, "Attentional Inhibition (Stroop Task)", </w:t>
      </w:r>
      <w:proofErr w:type="spellStart"/>
      <w:r>
        <w:t>pos</w:t>
      </w:r>
      <w:proofErr w:type="spellEnd"/>
      <w:r>
        <w:t xml:space="preserve">=4, </w:t>
      </w:r>
      <w:proofErr w:type="spellStart"/>
      <w:r>
        <w:t>cex</w:t>
      </w:r>
      <w:proofErr w:type="spellEnd"/>
      <w:r>
        <w:t>=.8)</w:t>
      </w:r>
    </w:p>
    <w:p w14:paraId="58636AD7" w14:textId="77777777" w:rsidR="00A8341A" w:rsidRDefault="00A8341A" w:rsidP="00A8341A">
      <w:pPr>
        <w:spacing w:line="240" w:lineRule="auto"/>
      </w:pPr>
      <w:proofErr w:type="gramStart"/>
      <w:r>
        <w:t>text(</w:t>
      </w:r>
      <w:proofErr w:type="gramEnd"/>
      <w:r>
        <w:t xml:space="preserve"> 2.5, 17.5, "Effect size [95% CI]", </w:t>
      </w:r>
      <w:proofErr w:type="spellStart"/>
      <w:r>
        <w:t>pos</w:t>
      </w:r>
      <w:proofErr w:type="spellEnd"/>
      <w:r>
        <w:t xml:space="preserve">=2, </w:t>
      </w:r>
      <w:proofErr w:type="spellStart"/>
      <w:r>
        <w:t>cex</w:t>
      </w:r>
      <w:proofErr w:type="spellEnd"/>
      <w:r>
        <w:t>=.8)</w:t>
      </w:r>
    </w:p>
    <w:p w14:paraId="79069909" w14:textId="77777777" w:rsidR="00A8341A" w:rsidRDefault="00A8341A" w:rsidP="00A8341A">
      <w:pPr>
        <w:spacing w:line="240" w:lineRule="auto"/>
      </w:pPr>
      <w:r>
        <w:t>### funnel plot</w:t>
      </w:r>
    </w:p>
    <w:p w14:paraId="0D29F3CC" w14:textId="77777777" w:rsidR="00A8341A" w:rsidRDefault="00A8341A" w:rsidP="00A8341A">
      <w:pPr>
        <w:spacing w:line="240" w:lineRule="auto"/>
      </w:pPr>
      <w:proofErr w:type="gramStart"/>
      <w:r>
        <w:t>par(</w:t>
      </w:r>
      <w:proofErr w:type="gramEnd"/>
      <w:r>
        <w:t xml:space="preserve">font=1, </w:t>
      </w:r>
      <w:proofErr w:type="spellStart"/>
      <w:r>
        <w:t>cex</w:t>
      </w:r>
      <w:proofErr w:type="spellEnd"/>
      <w:r>
        <w:t>=1)</w:t>
      </w:r>
    </w:p>
    <w:p w14:paraId="1D7A8099" w14:textId="77777777" w:rsidR="00A8341A" w:rsidRDefault="00A8341A" w:rsidP="00A8341A">
      <w:pPr>
        <w:spacing w:line="240" w:lineRule="auto"/>
      </w:pPr>
      <w:proofErr w:type="gramStart"/>
      <w:r>
        <w:t>funnel(</w:t>
      </w:r>
      <w:proofErr w:type="spellStart"/>
      <w:proofErr w:type="gramEnd"/>
      <w:r>
        <w:t>res_Stroop</w:t>
      </w:r>
      <w:proofErr w:type="spellEnd"/>
      <w:r>
        <w:t xml:space="preserve">, </w:t>
      </w:r>
      <w:proofErr w:type="spellStart"/>
      <w:r>
        <w:t>xlab</w:t>
      </w:r>
      <w:proofErr w:type="spellEnd"/>
      <w:r>
        <w:t xml:space="preserve"> = "Effect size Hedge's g", at= c(-0.5, 0, </w:t>
      </w:r>
      <w:proofErr w:type="spellStart"/>
      <w:r>
        <w:t>as.numeric</w:t>
      </w:r>
      <w:proofErr w:type="spellEnd"/>
      <w:r>
        <w:t>(</w:t>
      </w:r>
      <w:proofErr w:type="spellStart"/>
      <w:r>
        <w:t>res_Stroop$beta</w:t>
      </w:r>
      <w:proofErr w:type="spellEnd"/>
      <w:r>
        <w:t>), 1, 1.5),</w:t>
      </w:r>
    </w:p>
    <w:p w14:paraId="7FA43CDA" w14:textId="77777777" w:rsidR="00A8341A" w:rsidRDefault="00A8341A" w:rsidP="00A8341A">
      <w:pPr>
        <w:spacing w:line="240" w:lineRule="auto"/>
      </w:pPr>
      <w:r>
        <w:t xml:space="preserve">       </w:t>
      </w:r>
      <w:proofErr w:type="gramStart"/>
      <w:r>
        <w:t>main</w:t>
      </w:r>
      <w:proofErr w:type="gramEnd"/>
      <w:r>
        <w:t>= "Attentional Inhibition (Stroop Task) \n test for plot asymmetry: z = 1.77, p = 0.078")</w:t>
      </w:r>
    </w:p>
    <w:p w14:paraId="5ABF7E24" w14:textId="77777777" w:rsidR="00A8341A" w:rsidRDefault="00A8341A" w:rsidP="00A8341A">
      <w:pPr>
        <w:spacing w:line="240" w:lineRule="auto"/>
      </w:pPr>
      <w:r>
        <w:t xml:space="preserve">res.tf &lt;- </w:t>
      </w:r>
      <w:proofErr w:type="spellStart"/>
      <w:proofErr w:type="gramStart"/>
      <w:r>
        <w:t>trimfill</w:t>
      </w:r>
      <w:proofErr w:type="spellEnd"/>
      <w:r>
        <w:t>(</w:t>
      </w:r>
      <w:proofErr w:type="spellStart"/>
      <w:proofErr w:type="gramEnd"/>
      <w:r>
        <w:t>res_Stroop</w:t>
      </w:r>
      <w:proofErr w:type="spellEnd"/>
      <w:r>
        <w:t>)</w:t>
      </w:r>
    </w:p>
    <w:p w14:paraId="7F570A29" w14:textId="77777777" w:rsidR="00A8341A" w:rsidRDefault="00A8341A" w:rsidP="00A8341A">
      <w:pPr>
        <w:spacing w:line="240" w:lineRule="auto"/>
      </w:pPr>
      <w:r>
        <w:t>res.tf</w:t>
      </w:r>
    </w:p>
    <w:p w14:paraId="492DB3FD" w14:textId="77777777" w:rsidR="00A8341A" w:rsidRDefault="00A8341A" w:rsidP="00A8341A">
      <w:pPr>
        <w:spacing w:line="240" w:lineRule="auto"/>
      </w:pPr>
      <w:proofErr w:type="spellStart"/>
      <w:proofErr w:type="gramStart"/>
      <w:r>
        <w:t>regtest</w:t>
      </w:r>
      <w:proofErr w:type="spellEnd"/>
      <w:r>
        <w:t>(</w:t>
      </w:r>
      <w:proofErr w:type="spellStart"/>
      <w:proofErr w:type="gramEnd"/>
      <w:r>
        <w:t>res_Stroop</w:t>
      </w:r>
      <w:proofErr w:type="spellEnd"/>
      <w:r>
        <w:t>)</w:t>
      </w:r>
    </w:p>
    <w:p w14:paraId="795EDCBB" w14:textId="77777777" w:rsidR="00A8341A" w:rsidRDefault="00A8341A" w:rsidP="00A8341A">
      <w:pPr>
        <w:spacing w:line="240" w:lineRule="auto"/>
      </w:pPr>
      <w:proofErr w:type="spellStart"/>
      <w:proofErr w:type="gramStart"/>
      <w:r>
        <w:lastRenderedPageBreak/>
        <w:t>ranktest</w:t>
      </w:r>
      <w:proofErr w:type="spellEnd"/>
      <w:r>
        <w:t>(</w:t>
      </w:r>
      <w:proofErr w:type="spellStart"/>
      <w:proofErr w:type="gramEnd"/>
      <w:r>
        <w:t>res_Stroop</w:t>
      </w:r>
      <w:proofErr w:type="spellEnd"/>
      <w:r>
        <w:t>)</w:t>
      </w:r>
    </w:p>
    <w:p w14:paraId="4746DA62" w14:textId="77777777" w:rsidR="00A8341A" w:rsidRDefault="00A8341A" w:rsidP="00A8341A">
      <w:pPr>
        <w:spacing w:line="240" w:lineRule="auto"/>
      </w:pPr>
      <w:r>
        <w:t>#repeat code for different domains</w:t>
      </w:r>
    </w:p>
    <w:p w14:paraId="0434C389" w14:textId="77777777" w:rsidR="00A8341A" w:rsidRDefault="00A8341A" w:rsidP="00A8341A">
      <w:r>
        <w:t>#moderator analysis</w:t>
      </w:r>
    </w:p>
    <w:p w14:paraId="773E21C1" w14:textId="77777777" w:rsidR="00A8341A" w:rsidRDefault="00A8341A" w:rsidP="00A8341A">
      <w:pPr>
        <w:spacing w:line="240" w:lineRule="auto"/>
      </w:pPr>
      <w:proofErr w:type="spellStart"/>
      <w:proofErr w:type="gramStart"/>
      <w:r>
        <w:t>df</w:t>
      </w:r>
      <w:proofErr w:type="spellEnd"/>
      <w:proofErr w:type="gramEnd"/>
      <w:r>
        <w:t xml:space="preserve"> &lt;- </w:t>
      </w:r>
      <w:proofErr w:type="spellStart"/>
      <w:r>
        <w:t>df</w:t>
      </w:r>
      <w:proofErr w:type="spellEnd"/>
      <w:r>
        <w:t xml:space="preserve"> %&gt;% select(ID, paper, </w:t>
      </w:r>
      <w:proofErr w:type="spellStart"/>
      <w:r>
        <w:t>Age:Geographical</w:t>
      </w:r>
      <w:proofErr w:type="spellEnd"/>
      <w:r>
        <w:t xml:space="preserve">, </w:t>
      </w:r>
      <w:proofErr w:type="spellStart"/>
      <w:r>
        <w:t>Co.morbidities:control.N</w:t>
      </w:r>
      <w:proofErr w:type="spellEnd"/>
      <w:r>
        <w:t>) # This brings the study id column to the front</w:t>
      </w:r>
    </w:p>
    <w:p w14:paraId="25A1D1CA" w14:textId="77777777" w:rsidR="00A8341A" w:rsidRDefault="00A8341A" w:rsidP="00A8341A">
      <w:pPr>
        <w:spacing w:line="240" w:lineRule="auto"/>
      </w:pPr>
      <w:proofErr w:type="spellStart"/>
      <w:proofErr w:type="gramStart"/>
      <w:r>
        <w:t>df$</w:t>
      </w:r>
      <w:proofErr w:type="gramEnd"/>
      <w:r>
        <w:t>Age</w:t>
      </w:r>
      <w:proofErr w:type="spellEnd"/>
      <w:r>
        <w:t xml:space="preserve"> &lt;- </w:t>
      </w:r>
      <w:proofErr w:type="spellStart"/>
      <w:r>
        <w:t>as.factor</w:t>
      </w:r>
      <w:proofErr w:type="spellEnd"/>
      <w:r>
        <w:t>(</w:t>
      </w:r>
      <w:proofErr w:type="spellStart"/>
      <w:r>
        <w:t>df$Age</w:t>
      </w:r>
      <w:proofErr w:type="spellEnd"/>
      <w:r>
        <w:t xml:space="preserve">); </w:t>
      </w:r>
      <w:proofErr w:type="spellStart"/>
      <w:r>
        <w:t>df$Co.morbidities</w:t>
      </w:r>
      <w:proofErr w:type="spellEnd"/>
      <w:r>
        <w:t xml:space="preserve"> &lt;- </w:t>
      </w:r>
      <w:proofErr w:type="spellStart"/>
      <w:r>
        <w:t>as.factor</w:t>
      </w:r>
      <w:proofErr w:type="spellEnd"/>
      <w:r>
        <w:t>(</w:t>
      </w:r>
      <w:proofErr w:type="spellStart"/>
      <w:r>
        <w:t>df$Co.morbidities</w:t>
      </w:r>
      <w:proofErr w:type="spellEnd"/>
      <w:r>
        <w:t>)</w:t>
      </w:r>
    </w:p>
    <w:p w14:paraId="4BFA02C8" w14:textId="77777777" w:rsidR="00A8341A" w:rsidRDefault="00A8341A" w:rsidP="00A8341A">
      <w:pPr>
        <w:spacing w:line="240" w:lineRule="auto"/>
      </w:pPr>
    </w:p>
    <w:p w14:paraId="514988AC" w14:textId="77777777" w:rsidR="00A8341A" w:rsidRDefault="00A8341A" w:rsidP="00A8341A">
      <w:pPr>
        <w:spacing w:line="240" w:lineRule="auto"/>
      </w:pPr>
      <w:proofErr w:type="spellStart"/>
      <w:r>
        <w:t>dfm_Stroop</w:t>
      </w:r>
      <w:proofErr w:type="spellEnd"/>
      <w:r>
        <w:t xml:space="preserve"> &lt;- </w:t>
      </w:r>
      <w:proofErr w:type="spellStart"/>
      <w:r>
        <w:t>df</w:t>
      </w:r>
      <w:proofErr w:type="spellEnd"/>
      <w:r>
        <w:t xml:space="preserve"> %</w:t>
      </w:r>
      <w:proofErr w:type="gramStart"/>
      <w:r>
        <w:t>&gt;%</w:t>
      </w:r>
      <w:proofErr w:type="gramEnd"/>
      <w:r>
        <w:t xml:space="preserve"> filter(Task == "Stroop") %&gt;%</w:t>
      </w:r>
    </w:p>
    <w:p w14:paraId="0D0D1C68" w14:textId="77777777" w:rsidR="00A8341A" w:rsidRDefault="00A8341A" w:rsidP="00A8341A">
      <w:pPr>
        <w:spacing w:line="240" w:lineRule="auto"/>
      </w:pPr>
      <w:r>
        <w:t xml:space="preserve">  </w:t>
      </w:r>
      <w:proofErr w:type="spellStart"/>
      <w:r>
        <w:t>dplyr</w:t>
      </w:r>
      <w:proofErr w:type="spellEnd"/>
      <w:r>
        <w:t>::</w:t>
      </w:r>
      <w:proofErr w:type="gramStart"/>
      <w:r>
        <w:t>select(</w:t>
      </w:r>
      <w:proofErr w:type="spellStart"/>
      <w:proofErr w:type="gramEnd"/>
      <w:r>
        <w:t>ID:control.N</w:t>
      </w:r>
      <w:proofErr w:type="spellEnd"/>
      <w:r>
        <w:t>) %&gt;%</w:t>
      </w:r>
    </w:p>
    <w:p w14:paraId="4B07872A" w14:textId="77777777" w:rsidR="00A8341A" w:rsidRDefault="00A8341A" w:rsidP="00A8341A">
      <w:pPr>
        <w:spacing w:line="240" w:lineRule="auto"/>
      </w:pPr>
      <w:r>
        <w:t xml:space="preserve">  </w:t>
      </w:r>
      <w:proofErr w:type="gramStart"/>
      <w:r>
        <w:t>filter(</w:t>
      </w:r>
      <w:proofErr w:type="spellStart"/>
      <w:proofErr w:type="gramEnd"/>
      <w:r>
        <w:t>complete.cases</w:t>
      </w:r>
      <w:proofErr w:type="spellEnd"/>
      <w:r>
        <w:t>(.))</w:t>
      </w:r>
    </w:p>
    <w:p w14:paraId="7AD937BC" w14:textId="77777777" w:rsidR="00A8341A" w:rsidRDefault="00A8341A" w:rsidP="00A8341A">
      <w:pPr>
        <w:spacing w:line="240" w:lineRule="auto"/>
      </w:pPr>
      <w:proofErr w:type="spellStart"/>
      <w:r>
        <w:t>res.modage</w:t>
      </w:r>
      <w:proofErr w:type="spellEnd"/>
      <w:r>
        <w:t xml:space="preserve"> &lt;- </w:t>
      </w:r>
      <w:proofErr w:type="spellStart"/>
      <w:proofErr w:type="gramStart"/>
      <w:r>
        <w:t>rma</w:t>
      </w:r>
      <w:proofErr w:type="spellEnd"/>
      <w:r>
        <w:t>(</w:t>
      </w:r>
      <w:proofErr w:type="spellStart"/>
      <w:proofErr w:type="gramEnd"/>
      <w:r>
        <w:t>yi</w:t>
      </w:r>
      <w:proofErr w:type="spellEnd"/>
      <w:r>
        <w:t>, vi, mods = ~ Age, data=</w:t>
      </w:r>
      <w:proofErr w:type="spellStart"/>
      <w:r>
        <w:t>dfm_Stroop</w:t>
      </w:r>
      <w:proofErr w:type="spellEnd"/>
      <w:r>
        <w:t>) ;</w:t>
      </w:r>
      <w:proofErr w:type="spellStart"/>
      <w:r>
        <w:t>res.modage</w:t>
      </w:r>
      <w:proofErr w:type="spellEnd"/>
      <w:r>
        <w:t xml:space="preserve"> </w:t>
      </w:r>
    </w:p>
    <w:p w14:paraId="7A3C338F" w14:textId="77777777" w:rsidR="00A8341A" w:rsidRDefault="00A8341A" w:rsidP="00A8341A">
      <w:pPr>
        <w:spacing w:line="240" w:lineRule="auto"/>
      </w:pPr>
      <w:proofErr w:type="spellStart"/>
      <w:r>
        <w:t>res.modgender</w:t>
      </w:r>
      <w:proofErr w:type="spellEnd"/>
      <w:r>
        <w:t xml:space="preserve"> &lt;- </w:t>
      </w:r>
      <w:proofErr w:type="spellStart"/>
      <w:proofErr w:type="gramStart"/>
      <w:r>
        <w:t>rma</w:t>
      </w:r>
      <w:proofErr w:type="spellEnd"/>
      <w:r>
        <w:t>(</w:t>
      </w:r>
      <w:proofErr w:type="spellStart"/>
      <w:proofErr w:type="gramEnd"/>
      <w:r>
        <w:t>yi</w:t>
      </w:r>
      <w:proofErr w:type="spellEnd"/>
      <w:r>
        <w:t>, vi, mods = ~ Gender, data=</w:t>
      </w:r>
      <w:proofErr w:type="spellStart"/>
      <w:r>
        <w:t>dfm_Stroop</w:t>
      </w:r>
      <w:proofErr w:type="spellEnd"/>
      <w:r>
        <w:t>) ;</w:t>
      </w:r>
      <w:proofErr w:type="spellStart"/>
      <w:r>
        <w:t>res.modgender</w:t>
      </w:r>
      <w:proofErr w:type="spellEnd"/>
      <w:r>
        <w:t xml:space="preserve"> </w:t>
      </w:r>
    </w:p>
    <w:p w14:paraId="7292F659" w14:textId="77777777" w:rsidR="00A8341A" w:rsidRDefault="00A8341A" w:rsidP="00A8341A">
      <w:pPr>
        <w:spacing w:line="240" w:lineRule="auto"/>
      </w:pPr>
      <w:proofErr w:type="spellStart"/>
      <w:r>
        <w:t>res.modgeo</w:t>
      </w:r>
      <w:proofErr w:type="spellEnd"/>
      <w:r>
        <w:t xml:space="preserve"> &lt;- </w:t>
      </w:r>
      <w:proofErr w:type="spellStart"/>
      <w:proofErr w:type="gramStart"/>
      <w:r>
        <w:t>rma</w:t>
      </w:r>
      <w:proofErr w:type="spellEnd"/>
      <w:r>
        <w:t>(</w:t>
      </w:r>
      <w:proofErr w:type="spellStart"/>
      <w:proofErr w:type="gramEnd"/>
      <w:r>
        <w:t>yi</w:t>
      </w:r>
      <w:proofErr w:type="spellEnd"/>
      <w:r>
        <w:t>, vi, mods = ~ Geographical, data=</w:t>
      </w:r>
      <w:proofErr w:type="spellStart"/>
      <w:r>
        <w:t>dfm_Stroop</w:t>
      </w:r>
      <w:proofErr w:type="spellEnd"/>
      <w:r>
        <w:t>) ;</w:t>
      </w:r>
      <w:proofErr w:type="spellStart"/>
      <w:r>
        <w:t>res.modgeo</w:t>
      </w:r>
      <w:proofErr w:type="spellEnd"/>
      <w:r>
        <w:t xml:space="preserve"> </w:t>
      </w:r>
    </w:p>
    <w:p w14:paraId="0B01A8D9" w14:textId="77777777" w:rsidR="00A8341A" w:rsidRDefault="00A8341A" w:rsidP="00A8341A">
      <w:pPr>
        <w:spacing w:line="240" w:lineRule="auto"/>
      </w:pPr>
      <w:proofErr w:type="spellStart"/>
      <w:r>
        <w:t>res.modmorb</w:t>
      </w:r>
      <w:proofErr w:type="spellEnd"/>
      <w:r>
        <w:t xml:space="preserve"> &lt;- </w:t>
      </w:r>
      <w:proofErr w:type="spellStart"/>
      <w:proofErr w:type="gramStart"/>
      <w:r>
        <w:t>rma</w:t>
      </w:r>
      <w:proofErr w:type="spellEnd"/>
      <w:r>
        <w:t>(</w:t>
      </w:r>
      <w:proofErr w:type="spellStart"/>
      <w:proofErr w:type="gramEnd"/>
      <w:r>
        <w:t>yi</w:t>
      </w:r>
      <w:proofErr w:type="spellEnd"/>
      <w:r>
        <w:t xml:space="preserve">, vi, mods = ~ </w:t>
      </w:r>
      <w:proofErr w:type="spellStart"/>
      <w:r>
        <w:t>Co.morbidities</w:t>
      </w:r>
      <w:proofErr w:type="spellEnd"/>
      <w:r>
        <w:t>, data=</w:t>
      </w:r>
      <w:proofErr w:type="spellStart"/>
      <w:r>
        <w:t>dfm_Stroop</w:t>
      </w:r>
      <w:proofErr w:type="spellEnd"/>
      <w:r>
        <w:t>) ;</w:t>
      </w:r>
      <w:proofErr w:type="spellStart"/>
      <w:r>
        <w:t>res.modmorb</w:t>
      </w:r>
      <w:proofErr w:type="spellEnd"/>
    </w:p>
    <w:p w14:paraId="59B751B1" w14:textId="77777777" w:rsidR="00A8341A" w:rsidRDefault="00A8341A" w:rsidP="00A8341A">
      <w:pPr>
        <w:spacing w:line="240" w:lineRule="auto"/>
      </w:pPr>
    </w:p>
    <w:p w14:paraId="68C5CA5E" w14:textId="77777777" w:rsidR="00A8341A" w:rsidRDefault="00A8341A" w:rsidP="00A8341A">
      <w:pPr>
        <w:spacing w:line="259" w:lineRule="auto"/>
        <w:jc w:val="left"/>
      </w:pPr>
    </w:p>
    <w:p w14:paraId="06F1548A" w14:textId="77777777" w:rsidR="00A8341A" w:rsidRDefault="00A8341A" w:rsidP="00A8341A">
      <w:pPr>
        <w:spacing w:line="259" w:lineRule="auto"/>
        <w:jc w:val="left"/>
      </w:pPr>
    </w:p>
    <w:p w14:paraId="7344E42F" w14:textId="77777777" w:rsidR="00A8341A" w:rsidRDefault="00A8341A" w:rsidP="00A8341A">
      <w:pPr>
        <w:pStyle w:val="Heading2"/>
      </w:pPr>
      <w:r>
        <w:t>References</w:t>
      </w:r>
    </w:p>
    <w:p w14:paraId="67CA59E1" w14:textId="3290F513" w:rsidR="00E67458" w:rsidRPr="00E67458" w:rsidRDefault="00A8341A" w:rsidP="00E67458">
      <w:pPr>
        <w:widowControl w:val="0"/>
        <w:autoSpaceDE w:val="0"/>
        <w:autoSpaceDN w:val="0"/>
        <w:adjustRightInd w:val="0"/>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00E67458" w:rsidRPr="00E67458">
        <w:rPr>
          <w:rFonts w:ascii="Calibri" w:hAnsi="Calibri" w:cs="Times New Roman"/>
          <w:noProof/>
          <w:szCs w:val="24"/>
        </w:rPr>
        <w:t xml:space="preserve">Balconi, M., &amp; Finocchiaro, R. (2016). Deficit in rewarding mechanisms and prefrontal left/right cortical effect in vulnerability for internet addiction. </w:t>
      </w:r>
      <w:r w:rsidR="00E67458" w:rsidRPr="00E67458">
        <w:rPr>
          <w:rFonts w:ascii="Calibri" w:hAnsi="Calibri" w:cs="Times New Roman"/>
          <w:i/>
          <w:iCs/>
          <w:noProof/>
          <w:szCs w:val="24"/>
        </w:rPr>
        <w:t>Acta Neuropsychiatrica</w:t>
      </w:r>
      <w:r w:rsidR="00E67458" w:rsidRPr="00E67458">
        <w:rPr>
          <w:rFonts w:ascii="Calibri" w:hAnsi="Calibri" w:cs="Times New Roman"/>
          <w:noProof/>
          <w:szCs w:val="24"/>
        </w:rPr>
        <w:t xml:space="preserve">, </w:t>
      </w:r>
      <w:r w:rsidR="00E67458" w:rsidRPr="00E67458">
        <w:rPr>
          <w:rFonts w:ascii="Calibri" w:hAnsi="Calibri" w:cs="Times New Roman"/>
          <w:i/>
          <w:iCs/>
          <w:noProof/>
          <w:szCs w:val="24"/>
        </w:rPr>
        <w:t>28</w:t>
      </w:r>
      <w:r w:rsidR="00E67458" w:rsidRPr="00E67458">
        <w:rPr>
          <w:rFonts w:ascii="Calibri" w:hAnsi="Calibri" w:cs="Times New Roman"/>
          <w:noProof/>
          <w:szCs w:val="24"/>
        </w:rPr>
        <w:t>(05), 272–285. http://doi.org/10.1017/neu.2016.9</w:t>
      </w:r>
    </w:p>
    <w:p w14:paraId="58E70D9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Barch, D. M., Carter, C. S., &amp; Cohen, J. D. (2004). Factors Influencing Stroop Performance in Schizophrenia. </w:t>
      </w:r>
      <w:r w:rsidRPr="00E67458">
        <w:rPr>
          <w:rFonts w:ascii="Calibri" w:hAnsi="Calibri" w:cs="Times New Roman"/>
          <w:i/>
          <w:iCs/>
          <w:noProof/>
          <w:szCs w:val="24"/>
        </w:rPr>
        <w:t>Neuropsychology</w:t>
      </w:r>
      <w:r w:rsidRPr="00E67458">
        <w:rPr>
          <w:rFonts w:ascii="Calibri" w:hAnsi="Calibri" w:cs="Times New Roman"/>
          <w:noProof/>
          <w:szCs w:val="24"/>
        </w:rPr>
        <w:t xml:space="preserve">, </w:t>
      </w:r>
      <w:r w:rsidRPr="00E67458">
        <w:rPr>
          <w:rFonts w:ascii="Calibri" w:hAnsi="Calibri" w:cs="Times New Roman"/>
          <w:i/>
          <w:iCs/>
          <w:noProof/>
          <w:szCs w:val="24"/>
        </w:rPr>
        <w:t>18</w:t>
      </w:r>
      <w:r w:rsidRPr="00E67458">
        <w:rPr>
          <w:rFonts w:ascii="Calibri" w:hAnsi="Calibri" w:cs="Times New Roman"/>
          <w:noProof/>
          <w:szCs w:val="24"/>
        </w:rPr>
        <w:t>(3), 477–484. http://doi.org/10.1037/0894-4105.18.3.477</w:t>
      </w:r>
    </w:p>
    <w:p w14:paraId="33022A0F"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Bechara, A., Damasio, A. R., Damasio, H., &amp; Anderson, S. W. (1994). Insensitivity to future consequences following damage to human prefrontal cortex. </w:t>
      </w:r>
      <w:r w:rsidRPr="00E67458">
        <w:rPr>
          <w:rFonts w:ascii="Calibri" w:hAnsi="Calibri" w:cs="Times New Roman"/>
          <w:i/>
          <w:iCs/>
          <w:noProof/>
          <w:szCs w:val="24"/>
        </w:rPr>
        <w:t>Cognition</w:t>
      </w:r>
      <w:r w:rsidRPr="00E67458">
        <w:rPr>
          <w:rFonts w:ascii="Calibri" w:hAnsi="Calibri" w:cs="Times New Roman"/>
          <w:noProof/>
          <w:szCs w:val="24"/>
        </w:rPr>
        <w:t xml:space="preserve">, </w:t>
      </w:r>
      <w:r w:rsidRPr="00E67458">
        <w:rPr>
          <w:rFonts w:ascii="Calibri" w:hAnsi="Calibri" w:cs="Times New Roman"/>
          <w:i/>
          <w:iCs/>
          <w:noProof/>
          <w:szCs w:val="24"/>
        </w:rPr>
        <w:t>50</w:t>
      </w:r>
      <w:r w:rsidRPr="00E67458">
        <w:rPr>
          <w:rFonts w:ascii="Calibri" w:hAnsi="Calibri" w:cs="Times New Roman"/>
          <w:noProof/>
          <w:szCs w:val="24"/>
        </w:rPr>
        <w:t>(1–3), 7–15. Retrieved from http://www.ncbi.nlm.nih.gov/pubmed/8039375</w:t>
      </w:r>
    </w:p>
    <w:p w14:paraId="75145C1C"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Brand, M., Recknor, E. C., Grabenhorst, F., &amp; Bechara, A. (2007). Decisions under ambiguity and decisions under risk: Correlations with executive functions and comparisons of two different gambling tasks with implicit and explicit rules. </w:t>
      </w:r>
      <w:r w:rsidRPr="00E67458">
        <w:rPr>
          <w:rFonts w:ascii="Calibri" w:hAnsi="Calibri" w:cs="Times New Roman"/>
          <w:i/>
          <w:iCs/>
          <w:noProof/>
          <w:szCs w:val="24"/>
        </w:rPr>
        <w:t>Journal of Clinical and Experimental Neuropsychology</w:t>
      </w:r>
      <w:r w:rsidRPr="00E67458">
        <w:rPr>
          <w:rFonts w:ascii="Calibri" w:hAnsi="Calibri" w:cs="Times New Roman"/>
          <w:noProof/>
          <w:szCs w:val="24"/>
        </w:rPr>
        <w:t xml:space="preserve">, </w:t>
      </w:r>
      <w:r w:rsidRPr="00E67458">
        <w:rPr>
          <w:rFonts w:ascii="Calibri" w:hAnsi="Calibri" w:cs="Times New Roman"/>
          <w:i/>
          <w:iCs/>
          <w:noProof/>
          <w:szCs w:val="24"/>
        </w:rPr>
        <w:t>29</w:t>
      </w:r>
      <w:r w:rsidRPr="00E67458">
        <w:rPr>
          <w:rFonts w:ascii="Calibri" w:hAnsi="Calibri" w:cs="Times New Roman"/>
          <w:noProof/>
          <w:szCs w:val="24"/>
        </w:rPr>
        <w:t>(1), 86–99. http://doi.org/10.1080/13803390500507196</w:t>
      </w:r>
    </w:p>
    <w:p w14:paraId="291E962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lastRenderedPageBreak/>
        <w:t xml:space="preserve">Cai, C., Yuan, K., Yin, J., Feng, D., Bi, Y., Li, Y., … Tian, J. (2016). Striatum morphometry is associated with cognitive control deficits and symptom severity in internet gaming disorder. </w:t>
      </w:r>
      <w:r w:rsidRPr="00E67458">
        <w:rPr>
          <w:rFonts w:ascii="Calibri" w:hAnsi="Calibri" w:cs="Times New Roman"/>
          <w:i/>
          <w:iCs/>
          <w:noProof/>
          <w:szCs w:val="24"/>
        </w:rPr>
        <w:t>Brain Imaging and Behavior</w:t>
      </w:r>
      <w:r w:rsidRPr="00E67458">
        <w:rPr>
          <w:rFonts w:ascii="Calibri" w:hAnsi="Calibri" w:cs="Times New Roman"/>
          <w:noProof/>
          <w:szCs w:val="24"/>
        </w:rPr>
        <w:t xml:space="preserve">, </w:t>
      </w:r>
      <w:r w:rsidRPr="00E67458">
        <w:rPr>
          <w:rFonts w:ascii="Calibri" w:hAnsi="Calibri" w:cs="Times New Roman"/>
          <w:i/>
          <w:iCs/>
          <w:noProof/>
          <w:szCs w:val="24"/>
        </w:rPr>
        <w:t>10</w:t>
      </w:r>
      <w:r w:rsidRPr="00E67458">
        <w:rPr>
          <w:rFonts w:ascii="Calibri" w:hAnsi="Calibri" w:cs="Times New Roman"/>
          <w:noProof/>
          <w:szCs w:val="24"/>
        </w:rPr>
        <w:t>(1), 12–20. http://doi.org/10.1007/s11682-015-9358-8</w:t>
      </w:r>
    </w:p>
    <w:p w14:paraId="157268D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Chamberlain, S. R., Redden, S. A., Leppink, E., &amp; Grant, J. E. (2017). Problematic internet use in gamblers: impact on clinical and cognitive measures. </w:t>
      </w:r>
      <w:r w:rsidRPr="00E67458">
        <w:rPr>
          <w:rFonts w:ascii="Calibri" w:hAnsi="Calibri" w:cs="Times New Roman"/>
          <w:i/>
          <w:iCs/>
          <w:noProof/>
          <w:szCs w:val="24"/>
        </w:rPr>
        <w:t>CNS Spectrums</w:t>
      </w:r>
      <w:r w:rsidRPr="00E67458">
        <w:rPr>
          <w:rFonts w:ascii="Calibri" w:hAnsi="Calibri" w:cs="Times New Roman"/>
          <w:noProof/>
          <w:szCs w:val="24"/>
        </w:rPr>
        <w:t>, 1–9. http://doi.org/10.1017/S1092852917000037</w:t>
      </w:r>
    </w:p>
    <w:p w14:paraId="612D262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Chamberlain, S. R., &amp; Sahakian, B. J. (2007). The neuropsychiatry of impulsivity. </w:t>
      </w:r>
      <w:r w:rsidRPr="00E67458">
        <w:rPr>
          <w:rFonts w:ascii="Calibri" w:hAnsi="Calibri" w:cs="Times New Roman"/>
          <w:i/>
          <w:iCs/>
          <w:noProof/>
          <w:szCs w:val="24"/>
        </w:rPr>
        <w:t>Current Opinion in Psychiatry</w:t>
      </w:r>
      <w:r w:rsidRPr="00E67458">
        <w:rPr>
          <w:rFonts w:ascii="Calibri" w:hAnsi="Calibri" w:cs="Times New Roman"/>
          <w:noProof/>
          <w:szCs w:val="24"/>
        </w:rPr>
        <w:t xml:space="preserve">, </w:t>
      </w:r>
      <w:r w:rsidRPr="00E67458">
        <w:rPr>
          <w:rFonts w:ascii="Calibri" w:hAnsi="Calibri" w:cs="Times New Roman"/>
          <w:i/>
          <w:iCs/>
          <w:noProof/>
          <w:szCs w:val="24"/>
        </w:rPr>
        <w:t>20</w:t>
      </w:r>
      <w:r w:rsidRPr="00E67458">
        <w:rPr>
          <w:rFonts w:ascii="Calibri" w:hAnsi="Calibri" w:cs="Times New Roman"/>
          <w:noProof/>
          <w:szCs w:val="24"/>
        </w:rPr>
        <w:t>(3), 255–261. http://doi.org/10.1097/YCO.0b013e3280ba4989</w:t>
      </w:r>
    </w:p>
    <w:p w14:paraId="1C1D4710"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Chen, C. Y., Huang, M. F., Yen, J. Y., Chen, C. S., Liu, G. C., Yen, C. F., &amp; Ko, C. H. (2015). Brain correlates of response inhibition in Internet gaming disorder. </w:t>
      </w:r>
      <w:r w:rsidRPr="00E67458">
        <w:rPr>
          <w:rFonts w:ascii="Calibri" w:hAnsi="Calibri" w:cs="Times New Roman"/>
          <w:i/>
          <w:iCs/>
          <w:noProof/>
          <w:szCs w:val="24"/>
        </w:rPr>
        <w:t>Psychiatry and Clinical Neurosciences</w:t>
      </w:r>
      <w:r w:rsidRPr="00E67458">
        <w:rPr>
          <w:rFonts w:ascii="Calibri" w:hAnsi="Calibri" w:cs="Times New Roman"/>
          <w:noProof/>
          <w:szCs w:val="24"/>
        </w:rPr>
        <w:t xml:space="preserve">, </w:t>
      </w:r>
      <w:r w:rsidRPr="00E67458">
        <w:rPr>
          <w:rFonts w:ascii="Calibri" w:hAnsi="Calibri" w:cs="Times New Roman"/>
          <w:i/>
          <w:iCs/>
          <w:noProof/>
          <w:szCs w:val="24"/>
        </w:rPr>
        <w:t>69</w:t>
      </w:r>
      <w:r w:rsidRPr="00E67458">
        <w:rPr>
          <w:rFonts w:ascii="Calibri" w:hAnsi="Calibri" w:cs="Times New Roman"/>
          <w:noProof/>
          <w:szCs w:val="24"/>
        </w:rPr>
        <w:t>(4), 201–209. http://doi.org/10.1111/pcn.12224</w:t>
      </w:r>
    </w:p>
    <w:p w14:paraId="2A3C00B0"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Chen, Z., Poon, K. T., &amp; Cheng, C. (2017). Deficits in recognizing disgust facial expressions and Internet addiction: Perceived stress as a mediator. </w:t>
      </w:r>
      <w:r w:rsidRPr="00E67458">
        <w:rPr>
          <w:rFonts w:ascii="Calibri" w:hAnsi="Calibri" w:cs="Times New Roman"/>
          <w:i/>
          <w:iCs/>
          <w:noProof/>
          <w:szCs w:val="24"/>
        </w:rPr>
        <w:t>Psychiatry Research</w:t>
      </w:r>
      <w:r w:rsidRPr="00E67458">
        <w:rPr>
          <w:rFonts w:ascii="Calibri" w:hAnsi="Calibri" w:cs="Times New Roman"/>
          <w:noProof/>
          <w:szCs w:val="24"/>
        </w:rPr>
        <w:t xml:space="preserve">, </w:t>
      </w:r>
      <w:r w:rsidRPr="00E67458">
        <w:rPr>
          <w:rFonts w:ascii="Calibri" w:hAnsi="Calibri" w:cs="Times New Roman"/>
          <w:i/>
          <w:iCs/>
          <w:noProof/>
          <w:szCs w:val="24"/>
        </w:rPr>
        <w:t>254</w:t>
      </w:r>
      <w:r w:rsidRPr="00E67458">
        <w:rPr>
          <w:rFonts w:ascii="Calibri" w:hAnsi="Calibri" w:cs="Times New Roman"/>
          <w:noProof/>
          <w:szCs w:val="24"/>
        </w:rPr>
        <w:t>, 211–217. http://doi.org/10.1016/j.psychres.2017.04.057</w:t>
      </w:r>
    </w:p>
    <w:p w14:paraId="5AF32B8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Choi, J. S., Park, S. M., Lee, J., Hwang, J. Y., Jung, H. Y., Choi, S. W., … Lee, J. Y. (2013). Resting-state beta and gamma activity in internet addiction. </w:t>
      </w:r>
      <w:r w:rsidRPr="00E67458">
        <w:rPr>
          <w:rFonts w:ascii="Calibri" w:hAnsi="Calibri" w:cs="Times New Roman"/>
          <w:i/>
          <w:iCs/>
          <w:noProof/>
          <w:szCs w:val="24"/>
        </w:rPr>
        <w:t>International Journal of Psychophysiology</w:t>
      </w:r>
      <w:r w:rsidRPr="00E67458">
        <w:rPr>
          <w:rFonts w:ascii="Calibri" w:hAnsi="Calibri" w:cs="Times New Roman"/>
          <w:noProof/>
          <w:szCs w:val="24"/>
        </w:rPr>
        <w:t xml:space="preserve">, </w:t>
      </w:r>
      <w:r w:rsidRPr="00E67458">
        <w:rPr>
          <w:rFonts w:ascii="Calibri" w:hAnsi="Calibri" w:cs="Times New Roman"/>
          <w:i/>
          <w:iCs/>
          <w:noProof/>
          <w:szCs w:val="24"/>
        </w:rPr>
        <w:t>89</w:t>
      </w:r>
      <w:r w:rsidRPr="00E67458">
        <w:rPr>
          <w:rFonts w:ascii="Calibri" w:hAnsi="Calibri" w:cs="Times New Roman"/>
          <w:noProof/>
          <w:szCs w:val="24"/>
        </w:rPr>
        <w:t>(3), 328–333. http://doi.org/10.1016/j.ijpsycho.2013.06.007</w:t>
      </w:r>
    </w:p>
    <w:p w14:paraId="3DDA318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Choi, J. S., Park, S. M., Roh, M. S., Lee, J. Y., Park, C. Bin, Hwang, J. Y., … Jung, H. Y. (2014). Dysfunctional inhibitory control and impulsivity in Internet addiction. </w:t>
      </w:r>
      <w:r w:rsidRPr="00E67458">
        <w:rPr>
          <w:rFonts w:ascii="Calibri" w:hAnsi="Calibri" w:cs="Times New Roman"/>
          <w:i/>
          <w:iCs/>
          <w:noProof/>
          <w:szCs w:val="24"/>
        </w:rPr>
        <w:t>Psychiatry Research</w:t>
      </w:r>
      <w:r w:rsidRPr="00E67458">
        <w:rPr>
          <w:rFonts w:ascii="Calibri" w:hAnsi="Calibri" w:cs="Times New Roman"/>
          <w:noProof/>
          <w:szCs w:val="24"/>
        </w:rPr>
        <w:t xml:space="preserve">, </w:t>
      </w:r>
      <w:r w:rsidRPr="00E67458">
        <w:rPr>
          <w:rFonts w:ascii="Calibri" w:hAnsi="Calibri" w:cs="Times New Roman"/>
          <w:i/>
          <w:iCs/>
          <w:noProof/>
          <w:szCs w:val="24"/>
        </w:rPr>
        <w:t>215</w:t>
      </w:r>
      <w:r w:rsidRPr="00E67458">
        <w:rPr>
          <w:rFonts w:ascii="Calibri" w:hAnsi="Calibri" w:cs="Times New Roman"/>
          <w:noProof/>
          <w:szCs w:val="24"/>
        </w:rPr>
        <w:t>(2), 424–428. http://doi.org/10.1016/j.psychres.2013.12.001</w:t>
      </w:r>
    </w:p>
    <w:p w14:paraId="76AB3DE4"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Choi, S.-W., Kim, H., Kim, G.-Y., Jeon, Y., Park, S., Lee, J.-Y., … Kim, D.-J. (2014). Similarities and differences among Internet gaming disorder, gambling disorder and alcohol use disorder: A focus on impulsivity and compulsivity. </w:t>
      </w:r>
      <w:r w:rsidRPr="00E67458">
        <w:rPr>
          <w:rFonts w:ascii="Calibri" w:hAnsi="Calibri" w:cs="Times New Roman"/>
          <w:i/>
          <w:iCs/>
          <w:noProof/>
          <w:szCs w:val="24"/>
        </w:rPr>
        <w:t>Journal of Behavioral Addictions</w:t>
      </w:r>
      <w:r w:rsidRPr="00E67458">
        <w:rPr>
          <w:rFonts w:ascii="Calibri" w:hAnsi="Calibri" w:cs="Times New Roman"/>
          <w:noProof/>
          <w:szCs w:val="24"/>
        </w:rPr>
        <w:t xml:space="preserve">, </w:t>
      </w:r>
      <w:r w:rsidRPr="00E67458">
        <w:rPr>
          <w:rFonts w:ascii="Calibri" w:hAnsi="Calibri" w:cs="Times New Roman"/>
          <w:i/>
          <w:iCs/>
          <w:noProof/>
          <w:szCs w:val="24"/>
        </w:rPr>
        <w:t>3</w:t>
      </w:r>
      <w:r w:rsidRPr="00E67458">
        <w:rPr>
          <w:rFonts w:ascii="Calibri" w:hAnsi="Calibri" w:cs="Times New Roman"/>
          <w:noProof/>
          <w:szCs w:val="24"/>
        </w:rPr>
        <w:t>(4), 246–253. http://doi.org/10.1556/JBA.3.2014.4.6</w:t>
      </w:r>
    </w:p>
    <w:p w14:paraId="22724DF7"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Dieter, J., Hoffmann, S., Mier, D., Reinhard, I., Beutel, M., Vollstädt-Klein, S., … Leménager, T. (2017). The role of emotional inhibitory control in specific internet addiction – an fMRI study. </w:t>
      </w:r>
      <w:r w:rsidRPr="00E67458">
        <w:rPr>
          <w:rFonts w:ascii="Calibri" w:hAnsi="Calibri" w:cs="Times New Roman"/>
          <w:i/>
          <w:iCs/>
          <w:noProof/>
          <w:szCs w:val="24"/>
        </w:rPr>
        <w:t>Behavioural Brain Research</w:t>
      </w:r>
      <w:r w:rsidRPr="00E67458">
        <w:rPr>
          <w:rFonts w:ascii="Calibri" w:hAnsi="Calibri" w:cs="Times New Roman"/>
          <w:noProof/>
          <w:szCs w:val="24"/>
        </w:rPr>
        <w:t xml:space="preserve">, </w:t>
      </w:r>
      <w:r w:rsidRPr="00E67458">
        <w:rPr>
          <w:rFonts w:ascii="Calibri" w:hAnsi="Calibri" w:cs="Times New Roman"/>
          <w:i/>
          <w:iCs/>
          <w:noProof/>
          <w:szCs w:val="24"/>
        </w:rPr>
        <w:t>324</w:t>
      </w:r>
      <w:r w:rsidRPr="00E67458">
        <w:rPr>
          <w:rFonts w:ascii="Calibri" w:hAnsi="Calibri" w:cs="Times New Roman"/>
          <w:noProof/>
          <w:szCs w:val="24"/>
        </w:rPr>
        <w:t>, 1–</w:t>
      </w:r>
      <w:r w:rsidRPr="00E67458">
        <w:rPr>
          <w:rFonts w:ascii="Calibri" w:hAnsi="Calibri" w:cs="Times New Roman"/>
          <w:noProof/>
          <w:szCs w:val="24"/>
        </w:rPr>
        <w:lastRenderedPageBreak/>
        <w:t>14. http://doi.org/10.1016/j.bbr.2017.01.046</w:t>
      </w:r>
    </w:p>
    <w:p w14:paraId="1625B33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Ding, W., Sun, J., Sun, Y., Chen, X., Zhou, Y., Zhuang, Z., … Du, Y. (2014). Trait impulsivity and impaired prefrontal impulse inhibition function in adolescents with internet gaming addiction revealed by a Go/No-Go fMRI study. </w:t>
      </w:r>
      <w:r w:rsidRPr="00E67458">
        <w:rPr>
          <w:rFonts w:ascii="Calibri" w:hAnsi="Calibri" w:cs="Times New Roman"/>
          <w:i/>
          <w:iCs/>
          <w:noProof/>
          <w:szCs w:val="24"/>
        </w:rPr>
        <w:t>Behavioral and Brain Functions</w:t>
      </w:r>
      <w:r w:rsidRPr="00E67458">
        <w:rPr>
          <w:rFonts w:ascii="Calibri" w:hAnsi="Calibri" w:cs="Times New Roman"/>
          <w:noProof/>
          <w:szCs w:val="24"/>
        </w:rPr>
        <w:t xml:space="preserve">, </w:t>
      </w:r>
      <w:r w:rsidRPr="00E67458">
        <w:rPr>
          <w:rFonts w:ascii="Calibri" w:hAnsi="Calibri" w:cs="Times New Roman"/>
          <w:i/>
          <w:iCs/>
          <w:noProof/>
          <w:szCs w:val="24"/>
        </w:rPr>
        <w:t>10</w:t>
      </w:r>
      <w:r w:rsidRPr="00E67458">
        <w:rPr>
          <w:rFonts w:ascii="Calibri" w:hAnsi="Calibri" w:cs="Times New Roman"/>
          <w:noProof/>
          <w:szCs w:val="24"/>
        </w:rPr>
        <w:t>(1), 20. http://doi.org/10.1186/1744-9081-10-20</w:t>
      </w:r>
    </w:p>
    <w:p w14:paraId="3F58ADC1"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Hu, Y., &amp; Lin, X. (2013). Reward/punishment sensitivities among internet addicts: Implications for their addictive behaviors. </w:t>
      </w:r>
      <w:r w:rsidRPr="00E67458">
        <w:rPr>
          <w:rFonts w:ascii="Calibri" w:hAnsi="Calibri" w:cs="Times New Roman"/>
          <w:i/>
          <w:iCs/>
          <w:noProof/>
          <w:szCs w:val="24"/>
        </w:rPr>
        <w:t>Progress in Neuro-Psychopharmacology and Biological Psychiatry</w:t>
      </w:r>
      <w:r w:rsidRPr="00E67458">
        <w:rPr>
          <w:rFonts w:ascii="Calibri" w:hAnsi="Calibri" w:cs="Times New Roman"/>
          <w:noProof/>
          <w:szCs w:val="24"/>
        </w:rPr>
        <w:t xml:space="preserve">, </w:t>
      </w:r>
      <w:r w:rsidRPr="00E67458">
        <w:rPr>
          <w:rFonts w:ascii="Calibri" w:hAnsi="Calibri" w:cs="Times New Roman"/>
          <w:i/>
          <w:iCs/>
          <w:noProof/>
          <w:szCs w:val="24"/>
        </w:rPr>
        <w:t>46</w:t>
      </w:r>
      <w:r w:rsidRPr="00E67458">
        <w:rPr>
          <w:rFonts w:ascii="Calibri" w:hAnsi="Calibri" w:cs="Times New Roman"/>
          <w:noProof/>
          <w:szCs w:val="24"/>
        </w:rPr>
        <w:t>, 139–145. http://doi.org/10.1016/j.pnpbp.2013.07.007</w:t>
      </w:r>
    </w:p>
    <w:p w14:paraId="480E931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Hu, Y., Lin, X., &amp; Lu, Q. (2013). What makes Internet addicts continue playing online even when faced by severe negative consequences? Possible explanations from an fMRI study. </w:t>
      </w:r>
      <w:r w:rsidRPr="00E67458">
        <w:rPr>
          <w:rFonts w:ascii="Calibri" w:hAnsi="Calibri" w:cs="Times New Roman"/>
          <w:i/>
          <w:iCs/>
          <w:noProof/>
          <w:szCs w:val="24"/>
        </w:rPr>
        <w:t>Biological Psychology</w:t>
      </w:r>
      <w:r w:rsidRPr="00E67458">
        <w:rPr>
          <w:rFonts w:ascii="Calibri" w:hAnsi="Calibri" w:cs="Times New Roman"/>
          <w:noProof/>
          <w:szCs w:val="24"/>
        </w:rPr>
        <w:t xml:space="preserve">, </w:t>
      </w:r>
      <w:r w:rsidRPr="00E67458">
        <w:rPr>
          <w:rFonts w:ascii="Calibri" w:hAnsi="Calibri" w:cs="Times New Roman"/>
          <w:i/>
          <w:iCs/>
          <w:noProof/>
          <w:szCs w:val="24"/>
        </w:rPr>
        <w:t>94</w:t>
      </w:r>
      <w:r w:rsidRPr="00E67458">
        <w:rPr>
          <w:rFonts w:ascii="Calibri" w:hAnsi="Calibri" w:cs="Times New Roman"/>
          <w:noProof/>
          <w:szCs w:val="24"/>
        </w:rPr>
        <w:t>(2), 282–289. http://doi.org/10.1016/j.biopsycho.2013.07.009</w:t>
      </w:r>
    </w:p>
    <w:p w14:paraId="722E9CB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Huang, J., &amp; Du, X. (2011). Enhanced reward sensitivity and decreased loss sensitivity in Internet addicts: An fMRI study during a guessing task. </w:t>
      </w:r>
      <w:r w:rsidRPr="00E67458">
        <w:rPr>
          <w:rFonts w:ascii="Calibri" w:hAnsi="Calibri" w:cs="Times New Roman"/>
          <w:i/>
          <w:iCs/>
          <w:noProof/>
          <w:szCs w:val="24"/>
        </w:rPr>
        <w:t>Journal of Psychiatric Research</w:t>
      </w:r>
      <w:r w:rsidRPr="00E67458">
        <w:rPr>
          <w:rFonts w:ascii="Calibri" w:hAnsi="Calibri" w:cs="Times New Roman"/>
          <w:noProof/>
          <w:szCs w:val="24"/>
        </w:rPr>
        <w:t xml:space="preserve">, </w:t>
      </w:r>
      <w:r w:rsidRPr="00E67458">
        <w:rPr>
          <w:rFonts w:ascii="Calibri" w:hAnsi="Calibri" w:cs="Times New Roman"/>
          <w:i/>
          <w:iCs/>
          <w:noProof/>
          <w:szCs w:val="24"/>
        </w:rPr>
        <w:t>45</w:t>
      </w:r>
      <w:r w:rsidRPr="00E67458">
        <w:rPr>
          <w:rFonts w:ascii="Calibri" w:hAnsi="Calibri" w:cs="Times New Roman"/>
          <w:noProof/>
          <w:szCs w:val="24"/>
        </w:rPr>
        <w:t>(11), 1525–1529. http://doi.org/10.1016/j.jpsychires.2011.06.017</w:t>
      </w:r>
    </w:p>
    <w:p w14:paraId="014023BB"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Li, H., Wang, L., &amp; Potenza, M. N. (2017). Cognitive control and reward/loss processing in Internet gaming disorder: Results from a comparison with recreational Internet game-users. </w:t>
      </w:r>
      <w:r w:rsidRPr="00E67458">
        <w:rPr>
          <w:rFonts w:ascii="Calibri" w:hAnsi="Calibri" w:cs="Times New Roman"/>
          <w:i/>
          <w:iCs/>
          <w:noProof/>
          <w:szCs w:val="24"/>
        </w:rPr>
        <w:t>European Psychiatry</w:t>
      </w:r>
      <w:r w:rsidRPr="00E67458">
        <w:rPr>
          <w:rFonts w:ascii="Calibri" w:hAnsi="Calibri" w:cs="Times New Roman"/>
          <w:noProof/>
          <w:szCs w:val="24"/>
        </w:rPr>
        <w:t xml:space="preserve">, </w:t>
      </w:r>
      <w:r w:rsidRPr="00E67458">
        <w:rPr>
          <w:rFonts w:ascii="Calibri" w:hAnsi="Calibri" w:cs="Times New Roman"/>
          <w:i/>
          <w:iCs/>
          <w:noProof/>
          <w:szCs w:val="24"/>
        </w:rPr>
        <w:t>44</w:t>
      </w:r>
      <w:r w:rsidRPr="00E67458">
        <w:rPr>
          <w:rFonts w:ascii="Calibri" w:hAnsi="Calibri" w:cs="Times New Roman"/>
          <w:noProof/>
          <w:szCs w:val="24"/>
        </w:rPr>
        <w:t>, 30–38. http://doi.org/10.1016/j.eurpsy.2017.03.004</w:t>
      </w:r>
    </w:p>
    <w:p w14:paraId="14A77668"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Lin, X., Zhou, H., &amp; Lu, Q. (2014). Cognitive flexibility in internet addicts: FMRI evidence from difficult-to-easy and easy-to-difficult switching situations. </w:t>
      </w:r>
      <w:r w:rsidRPr="00E67458">
        <w:rPr>
          <w:rFonts w:ascii="Calibri" w:hAnsi="Calibri" w:cs="Times New Roman"/>
          <w:i/>
          <w:iCs/>
          <w:noProof/>
          <w:szCs w:val="24"/>
        </w:rPr>
        <w:t>Addictive Behaviors</w:t>
      </w:r>
      <w:r w:rsidRPr="00E67458">
        <w:rPr>
          <w:rFonts w:ascii="Calibri" w:hAnsi="Calibri" w:cs="Times New Roman"/>
          <w:noProof/>
          <w:szCs w:val="24"/>
        </w:rPr>
        <w:t xml:space="preserve">, </w:t>
      </w:r>
      <w:r w:rsidRPr="00E67458">
        <w:rPr>
          <w:rFonts w:ascii="Calibri" w:hAnsi="Calibri" w:cs="Times New Roman"/>
          <w:i/>
          <w:iCs/>
          <w:noProof/>
          <w:szCs w:val="24"/>
        </w:rPr>
        <w:t>39</w:t>
      </w:r>
      <w:r w:rsidRPr="00E67458">
        <w:rPr>
          <w:rFonts w:ascii="Calibri" w:hAnsi="Calibri" w:cs="Times New Roman"/>
          <w:noProof/>
          <w:szCs w:val="24"/>
        </w:rPr>
        <w:t>(3), 677–683. http://doi.org/10.1016/j.addbeh.2013.11.028</w:t>
      </w:r>
    </w:p>
    <w:p w14:paraId="77763378"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Lu, Q., Zhou, H., &amp; Zhao, X. (2010). Impulse inhibition in people with Internet addiction disorder: Electrophysiological evidence from a Go/NoGo study. </w:t>
      </w:r>
      <w:r w:rsidRPr="00E67458">
        <w:rPr>
          <w:rFonts w:ascii="Calibri" w:hAnsi="Calibri" w:cs="Times New Roman"/>
          <w:i/>
          <w:iCs/>
          <w:noProof/>
          <w:szCs w:val="24"/>
        </w:rPr>
        <w:t>Neuroscience Letters</w:t>
      </w:r>
      <w:r w:rsidRPr="00E67458">
        <w:rPr>
          <w:rFonts w:ascii="Calibri" w:hAnsi="Calibri" w:cs="Times New Roman"/>
          <w:noProof/>
          <w:szCs w:val="24"/>
        </w:rPr>
        <w:t xml:space="preserve">, </w:t>
      </w:r>
      <w:r w:rsidRPr="00E67458">
        <w:rPr>
          <w:rFonts w:ascii="Calibri" w:hAnsi="Calibri" w:cs="Times New Roman"/>
          <w:i/>
          <w:iCs/>
          <w:noProof/>
          <w:szCs w:val="24"/>
        </w:rPr>
        <w:t>485</w:t>
      </w:r>
      <w:r w:rsidRPr="00E67458">
        <w:rPr>
          <w:rFonts w:ascii="Calibri" w:hAnsi="Calibri" w:cs="Times New Roman"/>
          <w:noProof/>
          <w:szCs w:val="24"/>
        </w:rPr>
        <w:t>(2), 138–142. http://doi.org/10.1016/j.neulet.2010.09.002</w:t>
      </w:r>
    </w:p>
    <w:p w14:paraId="0CA17713"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Shen, Y., Huang, J., &amp; Du, X. (2013). Impaired error-monitoring function in people with internet addiction disorder: An event-related fMRI study. </w:t>
      </w:r>
      <w:r w:rsidRPr="00E67458">
        <w:rPr>
          <w:rFonts w:ascii="Calibri" w:hAnsi="Calibri" w:cs="Times New Roman"/>
          <w:i/>
          <w:iCs/>
          <w:noProof/>
          <w:szCs w:val="24"/>
        </w:rPr>
        <w:t>European Addiction Research</w:t>
      </w:r>
      <w:r w:rsidRPr="00E67458">
        <w:rPr>
          <w:rFonts w:ascii="Calibri" w:hAnsi="Calibri" w:cs="Times New Roman"/>
          <w:noProof/>
          <w:szCs w:val="24"/>
        </w:rPr>
        <w:t xml:space="preserve">, </w:t>
      </w:r>
      <w:r w:rsidRPr="00E67458">
        <w:rPr>
          <w:rFonts w:ascii="Calibri" w:hAnsi="Calibri" w:cs="Times New Roman"/>
          <w:i/>
          <w:iCs/>
          <w:noProof/>
          <w:szCs w:val="24"/>
        </w:rPr>
        <w:t>19</w:t>
      </w:r>
      <w:r w:rsidRPr="00E67458">
        <w:rPr>
          <w:rFonts w:ascii="Calibri" w:hAnsi="Calibri" w:cs="Times New Roman"/>
          <w:noProof/>
          <w:szCs w:val="24"/>
        </w:rPr>
        <w:t xml:space="preserve">(5), 269–275. </w:t>
      </w:r>
      <w:r w:rsidRPr="00E67458">
        <w:rPr>
          <w:rFonts w:ascii="Calibri" w:hAnsi="Calibri" w:cs="Times New Roman"/>
          <w:noProof/>
          <w:szCs w:val="24"/>
        </w:rPr>
        <w:lastRenderedPageBreak/>
        <w:t>http://doi.org/10.1159/000346783</w:t>
      </w:r>
    </w:p>
    <w:p w14:paraId="2961C223"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Dong, G., Zhou, H., &amp; Zhao, X. (2011). Male Internet addicts show impaired executive control ability: Evidence from a color-word Stroop task. </w:t>
      </w:r>
      <w:r w:rsidRPr="00E67458">
        <w:rPr>
          <w:rFonts w:ascii="Calibri" w:hAnsi="Calibri" w:cs="Times New Roman"/>
          <w:i/>
          <w:iCs/>
          <w:noProof/>
          <w:szCs w:val="24"/>
        </w:rPr>
        <w:t>Neuroscience Letters</w:t>
      </w:r>
      <w:r w:rsidRPr="00E67458">
        <w:rPr>
          <w:rFonts w:ascii="Calibri" w:hAnsi="Calibri" w:cs="Times New Roman"/>
          <w:noProof/>
          <w:szCs w:val="24"/>
        </w:rPr>
        <w:t xml:space="preserve">, </w:t>
      </w:r>
      <w:r w:rsidRPr="00E67458">
        <w:rPr>
          <w:rFonts w:ascii="Calibri" w:hAnsi="Calibri" w:cs="Times New Roman"/>
          <w:i/>
          <w:iCs/>
          <w:noProof/>
          <w:szCs w:val="24"/>
        </w:rPr>
        <w:t>499</w:t>
      </w:r>
      <w:r w:rsidRPr="00E67458">
        <w:rPr>
          <w:rFonts w:ascii="Calibri" w:hAnsi="Calibri" w:cs="Times New Roman"/>
          <w:noProof/>
          <w:szCs w:val="24"/>
        </w:rPr>
        <w:t>(2), 114–118. http://doi.org/10.1016/j.neulet.2011.05.047</w:t>
      </w:r>
    </w:p>
    <w:p w14:paraId="26616EF7"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Fillmore, M. T. (2003). Drug Abuse as a Problem of Impaired Control: Current Approaches and Findings. </w:t>
      </w:r>
      <w:r w:rsidRPr="00E67458">
        <w:rPr>
          <w:rFonts w:ascii="Calibri" w:hAnsi="Calibri" w:cs="Times New Roman"/>
          <w:i/>
          <w:iCs/>
          <w:noProof/>
          <w:szCs w:val="24"/>
        </w:rPr>
        <w:t>Behavioral and Cognitive Neuroscience Reviews</w:t>
      </w:r>
      <w:r w:rsidRPr="00E67458">
        <w:rPr>
          <w:rFonts w:ascii="Calibri" w:hAnsi="Calibri" w:cs="Times New Roman"/>
          <w:noProof/>
          <w:szCs w:val="24"/>
        </w:rPr>
        <w:t xml:space="preserve">, </w:t>
      </w:r>
      <w:r w:rsidRPr="00E67458">
        <w:rPr>
          <w:rFonts w:ascii="Calibri" w:hAnsi="Calibri" w:cs="Times New Roman"/>
          <w:i/>
          <w:iCs/>
          <w:noProof/>
          <w:szCs w:val="24"/>
        </w:rPr>
        <w:t>2</w:t>
      </w:r>
      <w:r w:rsidRPr="00E67458">
        <w:rPr>
          <w:rFonts w:ascii="Calibri" w:hAnsi="Calibri" w:cs="Times New Roman"/>
          <w:noProof/>
          <w:szCs w:val="24"/>
        </w:rPr>
        <w:t>(3), 179–197. http://doi.org/10.1177/1534582303257007</w:t>
      </w:r>
    </w:p>
    <w:p w14:paraId="02EAC0B1"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Han, D. H., Kim, S. M., Bae, S., Renshaw, P. F., &amp; Anderson, J. S. (2016). A failure of suppression within the default mode network in depressed adolescents with compulsive internet game play. </w:t>
      </w:r>
      <w:r w:rsidRPr="00E67458">
        <w:rPr>
          <w:rFonts w:ascii="Calibri" w:hAnsi="Calibri" w:cs="Times New Roman"/>
          <w:i/>
          <w:iCs/>
          <w:noProof/>
          <w:szCs w:val="24"/>
        </w:rPr>
        <w:t>Journal of Affective Disorders</w:t>
      </w:r>
      <w:r w:rsidRPr="00E67458">
        <w:rPr>
          <w:rFonts w:ascii="Calibri" w:hAnsi="Calibri" w:cs="Times New Roman"/>
          <w:noProof/>
          <w:szCs w:val="24"/>
        </w:rPr>
        <w:t xml:space="preserve">, </w:t>
      </w:r>
      <w:r w:rsidRPr="00E67458">
        <w:rPr>
          <w:rFonts w:ascii="Calibri" w:hAnsi="Calibri" w:cs="Times New Roman"/>
          <w:i/>
          <w:iCs/>
          <w:noProof/>
          <w:szCs w:val="24"/>
        </w:rPr>
        <w:t>194</w:t>
      </w:r>
      <w:r w:rsidRPr="00E67458">
        <w:rPr>
          <w:rFonts w:ascii="Calibri" w:hAnsi="Calibri" w:cs="Times New Roman"/>
          <w:noProof/>
          <w:szCs w:val="24"/>
        </w:rPr>
        <w:t>, 57–64. http://doi.org/10.1016/j.jad.2016.01.013</w:t>
      </w:r>
    </w:p>
    <w:p w14:paraId="02EEFA4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Jeromin, F., Nyenhuis, N., &amp; Barke, A. (2016). Attentional bias in excessive Internet gamers: Experimental investigations using an addiction Stroop and a visual probe. </w:t>
      </w:r>
      <w:r w:rsidRPr="00E67458">
        <w:rPr>
          <w:rFonts w:ascii="Calibri" w:hAnsi="Calibri" w:cs="Times New Roman"/>
          <w:i/>
          <w:iCs/>
          <w:noProof/>
          <w:szCs w:val="24"/>
        </w:rPr>
        <w:t>Journal of Behavioral Addictions</w:t>
      </w:r>
      <w:r w:rsidRPr="00E67458">
        <w:rPr>
          <w:rFonts w:ascii="Calibri" w:hAnsi="Calibri" w:cs="Times New Roman"/>
          <w:noProof/>
          <w:szCs w:val="24"/>
        </w:rPr>
        <w:t xml:space="preserve">, </w:t>
      </w:r>
      <w:r w:rsidRPr="00E67458">
        <w:rPr>
          <w:rFonts w:ascii="Calibri" w:hAnsi="Calibri" w:cs="Times New Roman"/>
          <w:i/>
          <w:iCs/>
          <w:noProof/>
          <w:szCs w:val="24"/>
        </w:rPr>
        <w:t>5</w:t>
      </w:r>
      <w:r w:rsidRPr="00E67458">
        <w:rPr>
          <w:rFonts w:ascii="Calibri" w:hAnsi="Calibri" w:cs="Times New Roman"/>
          <w:noProof/>
          <w:szCs w:val="24"/>
        </w:rPr>
        <w:t>(1), 32–40. http://doi.org/10.1556/2006.5.2016.012</w:t>
      </w:r>
    </w:p>
    <w:p w14:paraId="25053810"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Kim, M., Lee, T. H., Choi, J.-S., Kwak, Y. Bin, Hwang, W. J., Kim, T., … Kwon, J. S. (2017). Neurophysiological correlates of altered response inhibition in internet gaming disorder and obsessive-compulsive disorder: Perspectives from impulsivity and compulsivity. </w:t>
      </w:r>
      <w:r w:rsidRPr="00E67458">
        <w:rPr>
          <w:rFonts w:ascii="Calibri" w:hAnsi="Calibri" w:cs="Times New Roman"/>
          <w:i/>
          <w:iCs/>
          <w:noProof/>
          <w:szCs w:val="24"/>
        </w:rPr>
        <w:t>Scientific Reports</w:t>
      </w:r>
      <w:r w:rsidRPr="00E67458">
        <w:rPr>
          <w:rFonts w:ascii="Calibri" w:hAnsi="Calibri" w:cs="Times New Roman"/>
          <w:noProof/>
          <w:szCs w:val="24"/>
        </w:rPr>
        <w:t xml:space="preserve">, </w:t>
      </w:r>
      <w:r w:rsidRPr="00E67458">
        <w:rPr>
          <w:rFonts w:ascii="Calibri" w:hAnsi="Calibri" w:cs="Times New Roman"/>
          <w:i/>
          <w:iCs/>
          <w:noProof/>
          <w:szCs w:val="24"/>
        </w:rPr>
        <w:t>7</w:t>
      </w:r>
      <w:r w:rsidRPr="00E67458">
        <w:rPr>
          <w:rFonts w:ascii="Calibri" w:hAnsi="Calibri" w:cs="Times New Roman"/>
          <w:noProof/>
          <w:szCs w:val="24"/>
        </w:rPr>
        <w:t>(September 2016), 41742. http://doi.org/10.1038/srep41742</w:t>
      </w:r>
    </w:p>
    <w:p w14:paraId="5444915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Kirby, K. N., &amp; Finch, J. C. (2010). The hierarchical structure of self-reported impulsivity. </w:t>
      </w:r>
      <w:r w:rsidRPr="00E67458">
        <w:rPr>
          <w:rFonts w:ascii="Calibri" w:hAnsi="Calibri" w:cs="Times New Roman"/>
          <w:i/>
          <w:iCs/>
          <w:noProof/>
          <w:szCs w:val="24"/>
        </w:rPr>
        <w:t>Personality and Individual Differences</w:t>
      </w:r>
      <w:r w:rsidRPr="00E67458">
        <w:rPr>
          <w:rFonts w:ascii="Calibri" w:hAnsi="Calibri" w:cs="Times New Roman"/>
          <w:noProof/>
          <w:szCs w:val="24"/>
        </w:rPr>
        <w:t xml:space="preserve">, </w:t>
      </w:r>
      <w:r w:rsidRPr="00E67458">
        <w:rPr>
          <w:rFonts w:ascii="Calibri" w:hAnsi="Calibri" w:cs="Times New Roman"/>
          <w:i/>
          <w:iCs/>
          <w:noProof/>
          <w:szCs w:val="24"/>
        </w:rPr>
        <w:t>48</w:t>
      </w:r>
      <w:r w:rsidRPr="00E67458">
        <w:rPr>
          <w:rFonts w:ascii="Calibri" w:hAnsi="Calibri" w:cs="Times New Roman"/>
          <w:noProof/>
          <w:szCs w:val="24"/>
        </w:rPr>
        <w:t>(6), 704–713. http://doi.org/10.1016/j.paid.2010.01.019</w:t>
      </w:r>
    </w:p>
    <w:p w14:paraId="6589103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Ko, C.-H., Hsieh, T.-J., Chen, C.-Y., Yen, C.-F., Chen, C.-S., Yen, J.-Y., … Liu, G.-C. (2014). Altered brain activation during response inhibition and error processing in subjects with Internet gaming disorder: a functional magnetic imaging study. </w:t>
      </w:r>
      <w:r w:rsidRPr="00E67458">
        <w:rPr>
          <w:rFonts w:ascii="Calibri" w:hAnsi="Calibri" w:cs="Times New Roman"/>
          <w:i/>
          <w:iCs/>
          <w:noProof/>
          <w:szCs w:val="24"/>
        </w:rPr>
        <w:t>European Archives of Psychiatry and Clinical Neuroscience</w:t>
      </w:r>
      <w:r w:rsidRPr="00E67458">
        <w:rPr>
          <w:rFonts w:ascii="Calibri" w:hAnsi="Calibri" w:cs="Times New Roman"/>
          <w:noProof/>
          <w:szCs w:val="24"/>
        </w:rPr>
        <w:t xml:space="preserve">, </w:t>
      </w:r>
      <w:r w:rsidRPr="00E67458">
        <w:rPr>
          <w:rFonts w:ascii="Calibri" w:hAnsi="Calibri" w:cs="Times New Roman"/>
          <w:i/>
          <w:iCs/>
          <w:noProof/>
          <w:szCs w:val="24"/>
        </w:rPr>
        <w:t>264</w:t>
      </w:r>
      <w:r w:rsidRPr="00E67458">
        <w:rPr>
          <w:rFonts w:ascii="Calibri" w:hAnsi="Calibri" w:cs="Times New Roman"/>
          <w:noProof/>
          <w:szCs w:val="24"/>
        </w:rPr>
        <w:t>(8), 661–672. http://doi.org/10.1007/s00406-013-0483-3</w:t>
      </w:r>
    </w:p>
    <w:p w14:paraId="563F3A96"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Ko, C. H., Wang, P. W., Liu, T. L., Yen, C. F., Chen, C. S., &amp; Yen, J. Y. (2015). The inhibition of proactive interference among adults with Internet gaming disorder. </w:t>
      </w:r>
      <w:r w:rsidRPr="00E67458">
        <w:rPr>
          <w:rFonts w:ascii="Calibri" w:hAnsi="Calibri" w:cs="Times New Roman"/>
          <w:i/>
          <w:iCs/>
          <w:noProof/>
          <w:szCs w:val="24"/>
        </w:rPr>
        <w:t>Asia-Pacific Psychiatry</w:t>
      </w:r>
      <w:r w:rsidRPr="00E67458">
        <w:rPr>
          <w:rFonts w:ascii="Calibri" w:hAnsi="Calibri" w:cs="Times New Roman"/>
          <w:noProof/>
          <w:szCs w:val="24"/>
        </w:rPr>
        <w:t xml:space="preserve">, </w:t>
      </w:r>
      <w:r w:rsidRPr="00E67458">
        <w:rPr>
          <w:rFonts w:ascii="Calibri" w:hAnsi="Calibri" w:cs="Times New Roman"/>
          <w:i/>
          <w:iCs/>
          <w:noProof/>
          <w:szCs w:val="24"/>
        </w:rPr>
        <w:t>7</w:t>
      </w:r>
      <w:r w:rsidRPr="00E67458">
        <w:rPr>
          <w:rFonts w:ascii="Calibri" w:hAnsi="Calibri" w:cs="Times New Roman"/>
          <w:noProof/>
          <w:szCs w:val="24"/>
        </w:rPr>
        <w:t>(2), 143–152. http://doi.org/10.1111/appy.12134</w:t>
      </w:r>
    </w:p>
    <w:p w14:paraId="52B75FF6"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Lee, J., Lee, S., Chun, J. W., Cho, H., Kim, D., &amp; Jung, Y.-C. (2015). Compromised Prefrontal Cognitive Control Over </w:t>
      </w:r>
      <w:r w:rsidRPr="00E67458">
        <w:rPr>
          <w:rFonts w:ascii="Calibri" w:hAnsi="Calibri" w:cs="Times New Roman"/>
          <w:noProof/>
          <w:szCs w:val="24"/>
        </w:rPr>
        <w:lastRenderedPageBreak/>
        <w:t xml:space="preserve">Emotional Interference in Adolescents with Internet Gaming Disorder. </w:t>
      </w:r>
      <w:r w:rsidRPr="00E67458">
        <w:rPr>
          <w:rFonts w:ascii="Calibri" w:hAnsi="Calibri" w:cs="Times New Roman"/>
          <w:i/>
          <w:iCs/>
          <w:noProof/>
          <w:szCs w:val="24"/>
        </w:rPr>
        <w:t>Cyberpsychology, Behavior, and Social Networking</w:t>
      </w:r>
      <w:r w:rsidRPr="00E67458">
        <w:rPr>
          <w:rFonts w:ascii="Calibri" w:hAnsi="Calibri" w:cs="Times New Roman"/>
          <w:noProof/>
          <w:szCs w:val="24"/>
        </w:rPr>
        <w:t xml:space="preserve">, </w:t>
      </w:r>
      <w:r w:rsidRPr="00E67458">
        <w:rPr>
          <w:rFonts w:ascii="Calibri" w:hAnsi="Calibri" w:cs="Times New Roman"/>
          <w:i/>
          <w:iCs/>
          <w:noProof/>
          <w:szCs w:val="24"/>
        </w:rPr>
        <w:t>18</w:t>
      </w:r>
      <w:r w:rsidRPr="00E67458">
        <w:rPr>
          <w:rFonts w:ascii="Calibri" w:hAnsi="Calibri" w:cs="Times New Roman"/>
          <w:noProof/>
          <w:szCs w:val="24"/>
        </w:rPr>
        <w:t>(11), 661–668. http://doi.org/10.1089/cyber.2015.0231</w:t>
      </w:r>
    </w:p>
    <w:p w14:paraId="5FE9478B"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Lejuez, C. W., Read, J. P., Kahler, C. W., Richards, J. B., Ramsey, S. E., Stuart, G. L., … Brown, R. A. (2002). Evaluation of a behavioral measure of risk taking: The Balloon Analogue Risk Task (BART). </w:t>
      </w:r>
      <w:r w:rsidRPr="00E67458">
        <w:rPr>
          <w:rFonts w:ascii="Calibri" w:hAnsi="Calibri" w:cs="Times New Roman"/>
          <w:i/>
          <w:iCs/>
          <w:noProof/>
          <w:szCs w:val="24"/>
        </w:rPr>
        <w:t>Journal of Experimental Psychology: Applied</w:t>
      </w:r>
      <w:r w:rsidRPr="00E67458">
        <w:rPr>
          <w:rFonts w:ascii="Calibri" w:hAnsi="Calibri" w:cs="Times New Roman"/>
          <w:noProof/>
          <w:szCs w:val="24"/>
        </w:rPr>
        <w:t xml:space="preserve">, </w:t>
      </w:r>
      <w:r w:rsidRPr="00E67458">
        <w:rPr>
          <w:rFonts w:ascii="Calibri" w:hAnsi="Calibri" w:cs="Times New Roman"/>
          <w:i/>
          <w:iCs/>
          <w:noProof/>
          <w:szCs w:val="24"/>
        </w:rPr>
        <w:t>8</w:t>
      </w:r>
      <w:r w:rsidRPr="00E67458">
        <w:rPr>
          <w:rFonts w:ascii="Calibri" w:hAnsi="Calibri" w:cs="Times New Roman"/>
          <w:noProof/>
          <w:szCs w:val="24"/>
        </w:rPr>
        <w:t>(2), 75–84. http://doi.org/10.1037/1076-898X.8.2.75</w:t>
      </w:r>
    </w:p>
    <w:p w14:paraId="136A7DE9"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 Q., Nan, W., Taxer, J., Dai, W., Zheng, Y., &amp; Liu, X. (2016). Problematic Internet users show impaired inhibitory control and risk taking with losses: Evidence from stop signal and mixed gambles tasks. </w:t>
      </w:r>
      <w:r w:rsidRPr="00E67458">
        <w:rPr>
          <w:rFonts w:ascii="Calibri" w:hAnsi="Calibri" w:cs="Times New Roman"/>
          <w:i/>
          <w:iCs/>
          <w:noProof/>
          <w:szCs w:val="24"/>
        </w:rPr>
        <w:t>Frontiers in Psychology</w:t>
      </w:r>
      <w:r w:rsidRPr="00E67458">
        <w:rPr>
          <w:rFonts w:ascii="Calibri" w:hAnsi="Calibri" w:cs="Times New Roman"/>
          <w:noProof/>
          <w:szCs w:val="24"/>
        </w:rPr>
        <w:t xml:space="preserve">, </w:t>
      </w:r>
      <w:r w:rsidRPr="00E67458">
        <w:rPr>
          <w:rFonts w:ascii="Calibri" w:hAnsi="Calibri" w:cs="Times New Roman"/>
          <w:i/>
          <w:iCs/>
          <w:noProof/>
          <w:szCs w:val="24"/>
        </w:rPr>
        <w:t>7</w:t>
      </w:r>
      <w:r w:rsidRPr="00E67458">
        <w:rPr>
          <w:rFonts w:ascii="Calibri" w:hAnsi="Calibri" w:cs="Times New Roman"/>
          <w:noProof/>
          <w:szCs w:val="24"/>
        </w:rPr>
        <w:t>(MAR), 1–9. http://doi.org/10.3389/fpsyg.2016.00370</w:t>
      </w:r>
    </w:p>
    <w:p w14:paraId="776D0206"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 Q., Tian, M., Taxer, J., Zheng, Y., Wu, H., Sun, S., &amp; Liu, X. (2016). Problematic Internet Users’ Discounting Behaviors Reflect an Inability to Delay Gratification, Not Risk Taking. </w:t>
      </w:r>
      <w:r w:rsidRPr="00E67458">
        <w:rPr>
          <w:rFonts w:ascii="Calibri" w:hAnsi="Calibri" w:cs="Times New Roman"/>
          <w:i/>
          <w:iCs/>
          <w:noProof/>
          <w:szCs w:val="24"/>
        </w:rPr>
        <w:t>Cyberpsychology, Behavior, and Social Networking</w:t>
      </w:r>
      <w:r w:rsidRPr="00E67458">
        <w:rPr>
          <w:rFonts w:ascii="Calibri" w:hAnsi="Calibri" w:cs="Times New Roman"/>
          <w:noProof/>
          <w:szCs w:val="24"/>
        </w:rPr>
        <w:t xml:space="preserve">, </w:t>
      </w:r>
      <w:r w:rsidRPr="00E67458">
        <w:rPr>
          <w:rFonts w:ascii="Calibri" w:hAnsi="Calibri" w:cs="Times New Roman"/>
          <w:i/>
          <w:iCs/>
          <w:noProof/>
          <w:szCs w:val="24"/>
        </w:rPr>
        <w:t>19</w:t>
      </w:r>
      <w:r w:rsidRPr="00E67458">
        <w:rPr>
          <w:rFonts w:ascii="Calibri" w:hAnsi="Calibri" w:cs="Times New Roman"/>
          <w:noProof/>
          <w:szCs w:val="24"/>
        </w:rPr>
        <w:t>(3), 172–178. http://doi.org/10.1089/cyber.2015.0295</w:t>
      </w:r>
    </w:p>
    <w:p w14:paraId="2BF38ABB"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Lim, J.-A., Lee, J.-Y., Jung, H. Y., Sohn, B. K., Choi, S.-W., Kim, Y. J., … Choi, J.-S. (2016). Changes of quality of life and cognitive function in individuals with Internet gaming disorder. </w:t>
      </w:r>
      <w:r w:rsidRPr="00E67458">
        <w:rPr>
          <w:rFonts w:ascii="Calibri" w:hAnsi="Calibri" w:cs="Times New Roman"/>
          <w:i/>
          <w:iCs/>
          <w:noProof/>
          <w:szCs w:val="24"/>
        </w:rPr>
        <w:t>Medicine</w:t>
      </w:r>
      <w:r w:rsidRPr="00E67458">
        <w:rPr>
          <w:rFonts w:ascii="Calibri" w:hAnsi="Calibri" w:cs="Times New Roman"/>
          <w:noProof/>
          <w:szCs w:val="24"/>
        </w:rPr>
        <w:t xml:space="preserve">, </w:t>
      </w:r>
      <w:r w:rsidRPr="00E67458">
        <w:rPr>
          <w:rFonts w:ascii="Calibri" w:hAnsi="Calibri" w:cs="Times New Roman"/>
          <w:i/>
          <w:iCs/>
          <w:noProof/>
          <w:szCs w:val="24"/>
        </w:rPr>
        <w:t>95</w:t>
      </w:r>
      <w:r w:rsidRPr="00E67458">
        <w:rPr>
          <w:rFonts w:ascii="Calibri" w:hAnsi="Calibri" w:cs="Times New Roman"/>
          <w:noProof/>
          <w:szCs w:val="24"/>
        </w:rPr>
        <w:t>(50), e5695. http://doi.org/10.1097/MD.0000000000005695</w:t>
      </w:r>
    </w:p>
    <w:p w14:paraId="391DE6C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Lin, X., Zhou, H., Dong, G., &amp; Du, X. (2015). Impaired risk evaluation in people with internet gaming disorder: fMRI evidence from a probability discounting task. </w:t>
      </w:r>
      <w:r w:rsidRPr="00E67458">
        <w:rPr>
          <w:rFonts w:ascii="Calibri" w:hAnsi="Calibri" w:cs="Times New Roman"/>
          <w:i/>
          <w:iCs/>
          <w:noProof/>
          <w:szCs w:val="24"/>
        </w:rPr>
        <w:t>Progress in Neuro-Psychopharmacology and Biological Psychiatry</w:t>
      </w:r>
      <w:r w:rsidRPr="00E67458">
        <w:rPr>
          <w:rFonts w:ascii="Calibri" w:hAnsi="Calibri" w:cs="Times New Roman"/>
          <w:noProof/>
          <w:szCs w:val="24"/>
        </w:rPr>
        <w:t xml:space="preserve">, </w:t>
      </w:r>
      <w:r w:rsidRPr="00E67458">
        <w:rPr>
          <w:rFonts w:ascii="Calibri" w:hAnsi="Calibri" w:cs="Times New Roman"/>
          <w:i/>
          <w:iCs/>
          <w:noProof/>
          <w:szCs w:val="24"/>
        </w:rPr>
        <w:t>56</w:t>
      </w:r>
      <w:r w:rsidRPr="00E67458">
        <w:rPr>
          <w:rFonts w:ascii="Calibri" w:hAnsi="Calibri" w:cs="Times New Roman"/>
          <w:noProof/>
          <w:szCs w:val="24"/>
        </w:rPr>
        <w:t>, 142–148. http://doi.org/10.1016/j.pnpbp.2014.08.016</w:t>
      </w:r>
    </w:p>
    <w:p w14:paraId="4B2C0929"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Littel, M., Van Den Berg, I., Luijten, M., Van Rooij, A. J., Keemink, L., &amp; Franken, I. H. A. (2012). Error processing and response inhibition in excessive computer game players: An event-related potential study. </w:t>
      </w:r>
      <w:r w:rsidRPr="00E67458">
        <w:rPr>
          <w:rFonts w:ascii="Calibri" w:hAnsi="Calibri" w:cs="Times New Roman"/>
          <w:i/>
          <w:iCs/>
          <w:noProof/>
          <w:szCs w:val="24"/>
        </w:rPr>
        <w:t>Addiction Biology</w:t>
      </w:r>
      <w:r w:rsidRPr="00E67458">
        <w:rPr>
          <w:rFonts w:ascii="Calibri" w:hAnsi="Calibri" w:cs="Times New Roman"/>
          <w:noProof/>
          <w:szCs w:val="24"/>
        </w:rPr>
        <w:t xml:space="preserve">, </w:t>
      </w:r>
      <w:r w:rsidRPr="00E67458">
        <w:rPr>
          <w:rFonts w:ascii="Calibri" w:hAnsi="Calibri" w:cs="Times New Roman"/>
          <w:i/>
          <w:iCs/>
          <w:noProof/>
          <w:szCs w:val="24"/>
        </w:rPr>
        <w:t>17</w:t>
      </w:r>
      <w:r w:rsidRPr="00E67458">
        <w:rPr>
          <w:rFonts w:ascii="Calibri" w:hAnsi="Calibri" w:cs="Times New Roman"/>
          <w:noProof/>
          <w:szCs w:val="24"/>
        </w:rPr>
        <w:t>(5), 934–947. http://doi.org/10.1111/j.1369-1600.2012.00467.x</w:t>
      </w:r>
    </w:p>
    <w:p w14:paraId="736836B1"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Liu, G. C., Yen, J. Y., Chen, C. Y., Yen, C. F., Chen, C. S., Lin, W. C., &amp; Ko, C. H. (2014). Brain activation for response inhibition under gaming cue distraction in internet gaming disorder. </w:t>
      </w:r>
      <w:r w:rsidRPr="00E67458">
        <w:rPr>
          <w:rFonts w:ascii="Calibri" w:hAnsi="Calibri" w:cs="Times New Roman"/>
          <w:i/>
          <w:iCs/>
          <w:noProof/>
          <w:szCs w:val="24"/>
        </w:rPr>
        <w:t>Kaohsiung Journal of Medical Sciences</w:t>
      </w:r>
      <w:r w:rsidRPr="00E67458">
        <w:rPr>
          <w:rFonts w:ascii="Calibri" w:hAnsi="Calibri" w:cs="Times New Roman"/>
          <w:noProof/>
          <w:szCs w:val="24"/>
        </w:rPr>
        <w:t xml:space="preserve">, </w:t>
      </w:r>
      <w:r w:rsidRPr="00E67458">
        <w:rPr>
          <w:rFonts w:ascii="Calibri" w:hAnsi="Calibri" w:cs="Times New Roman"/>
          <w:i/>
          <w:iCs/>
          <w:noProof/>
          <w:szCs w:val="24"/>
        </w:rPr>
        <w:t>30</w:t>
      </w:r>
      <w:r w:rsidRPr="00E67458">
        <w:rPr>
          <w:rFonts w:ascii="Calibri" w:hAnsi="Calibri" w:cs="Times New Roman"/>
          <w:noProof/>
          <w:szCs w:val="24"/>
        </w:rPr>
        <w:t>(1), 43–51. http://doi.org/10.1016/j.kjms.2013.08.005</w:t>
      </w:r>
    </w:p>
    <w:p w14:paraId="00072B7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Lorenz, R. C., Krüger, J.-K., Neumann, B., Schott, B. H., Kaufmann, C., Heinz, A., &amp; Wüstenberg, T. (2013). Cue reactivity </w:t>
      </w:r>
      <w:r w:rsidRPr="00E67458">
        <w:rPr>
          <w:rFonts w:ascii="Calibri" w:hAnsi="Calibri" w:cs="Times New Roman"/>
          <w:noProof/>
          <w:szCs w:val="24"/>
        </w:rPr>
        <w:lastRenderedPageBreak/>
        <w:t xml:space="preserve">and its inhibition in pathological computer game players. </w:t>
      </w:r>
      <w:r w:rsidRPr="00E67458">
        <w:rPr>
          <w:rFonts w:ascii="Calibri" w:hAnsi="Calibri" w:cs="Times New Roman"/>
          <w:i/>
          <w:iCs/>
          <w:noProof/>
          <w:szCs w:val="24"/>
        </w:rPr>
        <w:t>Addiction Biology</w:t>
      </w:r>
      <w:r w:rsidRPr="00E67458">
        <w:rPr>
          <w:rFonts w:ascii="Calibri" w:hAnsi="Calibri" w:cs="Times New Roman"/>
          <w:noProof/>
          <w:szCs w:val="24"/>
        </w:rPr>
        <w:t xml:space="preserve">, </w:t>
      </w:r>
      <w:r w:rsidRPr="00E67458">
        <w:rPr>
          <w:rFonts w:ascii="Calibri" w:hAnsi="Calibri" w:cs="Times New Roman"/>
          <w:i/>
          <w:iCs/>
          <w:noProof/>
          <w:szCs w:val="24"/>
        </w:rPr>
        <w:t>18</w:t>
      </w:r>
      <w:r w:rsidRPr="00E67458">
        <w:rPr>
          <w:rFonts w:ascii="Calibri" w:hAnsi="Calibri" w:cs="Times New Roman"/>
          <w:noProof/>
          <w:szCs w:val="24"/>
        </w:rPr>
        <w:t>(1), 134–146. http://doi.org/10.1111/j.1369-1600.2012.00491.x</w:t>
      </w:r>
    </w:p>
    <w:p w14:paraId="2E1B8E8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Luijten, M., Meerkerk, G.-J., Franken, I. H. A., van de Wetering, B. J. M., &amp; Schoenmakers, T. M. (2015). An fMRI study of cognitive control in problem gamers. </w:t>
      </w:r>
      <w:r w:rsidRPr="00E67458">
        <w:rPr>
          <w:rFonts w:ascii="Calibri" w:hAnsi="Calibri" w:cs="Times New Roman"/>
          <w:i/>
          <w:iCs/>
          <w:noProof/>
          <w:szCs w:val="24"/>
        </w:rPr>
        <w:t>Psychiatry Research: Neuroimaging</w:t>
      </w:r>
      <w:r w:rsidRPr="00E67458">
        <w:rPr>
          <w:rFonts w:ascii="Calibri" w:hAnsi="Calibri" w:cs="Times New Roman"/>
          <w:noProof/>
          <w:szCs w:val="24"/>
        </w:rPr>
        <w:t xml:space="preserve">, </w:t>
      </w:r>
      <w:r w:rsidRPr="00E67458">
        <w:rPr>
          <w:rFonts w:ascii="Calibri" w:hAnsi="Calibri" w:cs="Times New Roman"/>
          <w:i/>
          <w:iCs/>
          <w:noProof/>
          <w:szCs w:val="24"/>
        </w:rPr>
        <w:t>231</w:t>
      </w:r>
      <w:r w:rsidRPr="00E67458">
        <w:rPr>
          <w:rFonts w:ascii="Calibri" w:hAnsi="Calibri" w:cs="Times New Roman"/>
          <w:noProof/>
          <w:szCs w:val="24"/>
        </w:rPr>
        <w:t>(3), 262–268. http://doi.org/10.1016/j.pscychresns.2015.01.004</w:t>
      </w:r>
    </w:p>
    <w:p w14:paraId="7236EAF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MacLeod, C. M. (2015). The Stroop Effect. </w:t>
      </w:r>
      <w:r w:rsidRPr="00E67458">
        <w:rPr>
          <w:rFonts w:ascii="Calibri" w:hAnsi="Calibri" w:cs="Times New Roman"/>
          <w:i/>
          <w:iCs/>
          <w:noProof/>
          <w:szCs w:val="24"/>
        </w:rPr>
        <w:t>Encyclopedia of Color Science and Technology</w:t>
      </w:r>
      <w:r w:rsidRPr="00E67458">
        <w:rPr>
          <w:rFonts w:ascii="Calibri" w:hAnsi="Calibri" w:cs="Times New Roman"/>
          <w:noProof/>
          <w:szCs w:val="24"/>
        </w:rPr>
        <w:t>, 1–6. http://doi.org/10.1007/978-3-642-27851-8_67-1</w:t>
      </w:r>
    </w:p>
    <w:p w14:paraId="3FE1EA9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Madden, G. J., Petry, N. M., &amp; Johnson, P. S. (2009). Pathological gamblers discount probabilistic rewards less steeply than matched controls. </w:t>
      </w:r>
      <w:r w:rsidRPr="00E67458">
        <w:rPr>
          <w:rFonts w:ascii="Calibri" w:hAnsi="Calibri" w:cs="Times New Roman"/>
          <w:i/>
          <w:iCs/>
          <w:noProof/>
          <w:szCs w:val="24"/>
        </w:rPr>
        <w:t>Experimental and Clinical Psychopharmacology</w:t>
      </w:r>
      <w:r w:rsidRPr="00E67458">
        <w:rPr>
          <w:rFonts w:ascii="Calibri" w:hAnsi="Calibri" w:cs="Times New Roman"/>
          <w:noProof/>
          <w:szCs w:val="24"/>
        </w:rPr>
        <w:t xml:space="preserve">, </w:t>
      </w:r>
      <w:r w:rsidRPr="00E67458">
        <w:rPr>
          <w:rFonts w:ascii="Calibri" w:hAnsi="Calibri" w:cs="Times New Roman"/>
          <w:i/>
          <w:iCs/>
          <w:noProof/>
          <w:szCs w:val="24"/>
        </w:rPr>
        <w:t>17</w:t>
      </w:r>
      <w:r w:rsidRPr="00E67458">
        <w:rPr>
          <w:rFonts w:ascii="Calibri" w:hAnsi="Calibri" w:cs="Times New Roman"/>
          <w:noProof/>
          <w:szCs w:val="24"/>
        </w:rPr>
        <w:t>(5), 283–290. http://doi.org/10.1037/a0016806</w:t>
      </w:r>
    </w:p>
    <w:p w14:paraId="58F268D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Marín Vila, M., Carballo Crespo, J. L., &amp; Coloma Carmona, A. (2017). Academic outcomes and cognitive performance in problematic Internet users. </w:t>
      </w:r>
      <w:r w:rsidRPr="00E67458">
        <w:rPr>
          <w:rFonts w:ascii="Calibri" w:hAnsi="Calibri" w:cs="Times New Roman"/>
          <w:i/>
          <w:iCs/>
          <w:noProof/>
          <w:szCs w:val="24"/>
        </w:rPr>
        <w:t>Adicciones</w:t>
      </w:r>
      <w:r w:rsidRPr="00E67458">
        <w:rPr>
          <w:rFonts w:ascii="Calibri" w:hAnsi="Calibri" w:cs="Times New Roman"/>
          <w:noProof/>
          <w:szCs w:val="24"/>
        </w:rPr>
        <w:t xml:space="preserve">, </w:t>
      </w:r>
      <w:r w:rsidRPr="00E67458">
        <w:rPr>
          <w:rFonts w:ascii="Calibri" w:hAnsi="Calibri" w:cs="Times New Roman"/>
          <w:i/>
          <w:iCs/>
          <w:noProof/>
          <w:szCs w:val="24"/>
        </w:rPr>
        <w:t>0</w:t>
      </w:r>
      <w:r w:rsidRPr="00E67458">
        <w:rPr>
          <w:rFonts w:ascii="Calibri" w:hAnsi="Calibri" w:cs="Times New Roman"/>
          <w:noProof/>
          <w:szCs w:val="24"/>
        </w:rPr>
        <w:t>(0), 844. http://doi.org/10.20882/adicciones.844</w:t>
      </w:r>
    </w:p>
    <w:p w14:paraId="66ADF2B3"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Metcalf, O., &amp; Pammer, K. (2014). Impulsivity and related neuropsychological features in regular and addictive first person shooter gaming. </w:t>
      </w:r>
      <w:r w:rsidRPr="00E67458">
        <w:rPr>
          <w:rFonts w:ascii="Calibri" w:hAnsi="Calibri" w:cs="Times New Roman"/>
          <w:i/>
          <w:iCs/>
          <w:noProof/>
          <w:szCs w:val="24"/>
        </w:rPr>
        <w:t>Cyberpsychology, Behavior and Social Networking</w:t>
      </w:r>
      <w:r w:rsidRPr="00E67458">
        <w:rPr>
          <w:rFonts w:ascii="Calibri" w:hAnsi="Calibri" w:cs="Times New Roman"/>
          <w:noProof/>
          <w:szCs w:val="24"/>
        </w:rPr>
        <w:t xml:space="preserve">, </w:t>
      </w:r>
      <w:r w:rsidRPr="00E67458">
        <w:rPr>
          <w:rFonts w:ascii="Calibri" w:hAnsi="Calibri" w:cs="Times New Roman"/>
          <w:i/>
          <w:iCs/>
          <w:noProof/>
          <w:szCs w:val="24"/>
        </w:rPr>
        <w:t>17</w:t>
      </w:r>
      <w:r w:rsidRPr="00E67458">
        <w:rPr>
          <w:rFonts w:ascii="Calibri" w:hAnsi="Calibri" w:cs="Times New Roman"/>
          <w:noProof/>
          <w:szCs w:val="24"/>
        </w:rPr>
        <w:t>(3), 147–152. http://doi.org/10.1089/cyber.2013.0024</w:t>
      </w:r>
    </w:p>
    <w:p w14:paraId="3A44A601"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Nie, J., Zhang, W., Chen, J., &amp; Li, W. (2016). Impaired inhibition and working memory in response to internet-related words among adolescents with internet addiction: A comparison with attention-deficit/hyperactivity disorder. </w:t>
      </w:r>
      <w:r w:rsidRPr="00E67458">
        <w:rPr>
          <w:rFonts w:ascii="Calibri" w:hAnsi="Calibri" w:cs="Times New Roman"/>
          <w:i/>
          <w:iCs/>
          <w:noProof/>
          <w:szCs w:val="24"/>
        </w:rPr>
        <w:t>Psychiatry Research</w:t>
      </w:r>
      <w:r w:rsidRPr="00E67458">
        <w:rPr>
          <w:rFonts w:ascii="Calibri" w:hAnsi="Calibri" w:cs="Times New Roman"/>
          <w:noProof/>
          <w:szCs w:val="24"/>
        </w:rPr>
        <w:t xml:space="preserve">, </w:t>
      </w:r>
      <w:r w:rsidRPr="00E67458">
        <w:rPr>
          <w:rFonts w:ascii="Calibri" w:hAnsi="Calibri" w:cs="Times New Roman"/>
          <w:i/>
          <w:iCs/>
          <w:noProof/>
          <w:szCs w:val="24"/>
        </w:rPr>
        <w:t>236</w:t>
      </w:r>
      <w:r w:rsidRPr="00E67458">
        <w:rPr>
          <w:rFonts w:ascii="Calibri" w:hAnsi="Calibri" w:cs="Times New Roman"/>
          <w:noProof/>
          <w:szCs w:val="24"/>
        </w:rPr>
        <w:t>, 28–34. http://doi.org/10.1016/j.psychres.2016.01.004</w:t>
      </w:r>
    </w:p>
    <w:p w14:paraId="76A13A3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Nie, J., Zhang, W., &amp; Liu, Y. (2017). Exploring depression, self-esteem and verbal fluency with different degrees of internet addiction among Chinese college students. </w:t>
      </w:r>
      <w:r w:rsidRPr="00E67458">
        <w:rPr>
          <w:rFonts w:ascii="Calibri" w:hAnsi="Calibri" w:cs="Times New Roman"/>
          <w:i/>
          <w:iCs/>
          <w:noProof/>
          <w:szCs w:val="24"/>
        </w:rPr>
        <w:t>Comprehensive Psychiatry</w:t>
      </w:r>
      <w:r w:rsidRPr="00E67458">
        <w:rPr>
          <w:rFonts w:ascii="Calibri" w:hAnsi="Calibri" w:cs="Times New Roman"/>
          <w:noProof/>
          <w:szCs w:val="24"/>
        </w:rPr>
        <w:t xml:space="preserve">, </w:t>
      </w:r>
      <w:r w:rsidRPr="00E67458">
        <w:rPr>
          <w:rFonts w:ascii="Calibri" w:hAnsi="Calibri" w:cs="Times New Roman"/>
          <w:i/>
          <w:iCs/>
          <w:noProof/>
          <w:szCs w:val="24"/>
        </w:rPr>
        <w:t>72</w:t>
      </w:r>
      <w:r w:rsidRPr="00E67458">
        <w:rPr>
          <w:rFonts w:ascii="Calibri" w:hAnsi="Calibri" w:cs="Times New Roman"/>
          <w:noProof/>
          <w:szCs w:val="24"/>
        </w:rPr>
        <w:t>, 114–120. http://doi.org/10.1016/j.comppsych.2016.10.006</w:t>
      </w:r>
    </w:p>
    <w:p w14:paraId="22427518"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Nikolaidou, M., Fraser, D. S., &amp; Hinvest, N. (2016). Physiological markers of biased decision-making in problematic Internet users. </w:t>
      </w:r>
      <w:r w:rsidRPr="00E67458">
        <w:rPr>
          <w:rFonts w:ascii="Calibri" w:hAnsi="Calibri" w:cs="Times New Roman"/>
          <w:i/>
          <w:iCs/>
          <w:noProof/>
          <w:szCs w:val="24"/>
        </w:rPr>
        <w:t>Journal of Behavioral Addictions</w:t>
      </w:r>
      <w:r w:rsidRPr="00E67458">
        <w:rPr>
          <w:rFonts w:ascii="Calibri" w:hAnsi="Calibri" w:cs="Times New Roman"/>
          <w:noProof/>
          <w:szCs w:val="24"/>
        </w:rPr>
        <w:t xml:space="preserve">, </w:t>
      </w:r>
      <w:r w:rsidRPr="00E67458">
        <w:rPr>
          <w:rFonts w:ascii="Calibri" w:hAnsi="Calibri" w:cs="Times New Roman"/>
          <w:i/>
          <w:iCs/>
          <w:noProof/>
          <w:szCs w:val="24"/>
        </w:rPr>
        <w:t>5</w:t>
      </w:r>
      <w:r w:rsidRPr="00E67458">
        <w:rPr>
          <w:rFonts w:ascii="Calibri" w:hAnsi="Calibri" w:cs="Times New Roman"/>
          <w:noProof/>
          <w:szCs w:val="24"/>
        </w:rPr>
        <w:t>(3), 510–517. http://doi.org/10.1556/2006.5.2016.052</w:t>
      </w:r>
    </w:p>
    <w:p w14:paraId="6A92E6F8"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Owen, A. M., Herrod, N. J., Menon, D. K., Clark, J. C., Downey, S. P., Carpenter, T. A., … Pickard, J. D. (1999). Redefining </w:t>
      </w:r>
      <w:r w:rsidRPr="00E67458">
        <w:rPr>
          <w:rFonts w:ascii="Calibri" w:hAnsi="Calibri" w:cs="Times New Roman"/>
          <w:noProof/>
          <w:szCs w:val="24"/>
        </w:rPr>
        <w:lastRenderedPageBreak/>
        <w:t xml:space="preserve">the functional organization of working memory processes within human lateral prefrontal cortex. </w:t>
      </w:r>
      <w:r w:rsidRPr="00E67458">
        <w:rPr>
          <w:rFonts w:ascii="Calibri" w:hAnsi="Calibri" w:cs="Times New Roman"/>
          <w:i/>
          <w:iCs/>
          <w:noProof/>
          <w:szCs w:val="24"/>
        </w:rPr>
        <w:t>The European Journal of Neuroscience</w:t>
      </w:r>
      <w:r w:rsidRPr="00E67458">
        <w:rPr>
          <w:rFonts w:ascii="Calibri" w:hAnsi="Calibri" w:cs="Times New Roman"/>
          <w:noProof/>
          <w:szCs w:val="24"/>
        </w:rPr>
        <w:t xml:space="preserve">, </w:t>
      </w:r>
      <w:r w:rsidRPr="00E67458">
        <w:rPr>
          <w:rFonts w:ascii="Calibri" w:hAnsi="Calibri" w:cs="Times New Roman"/>
          <w:i/>
          <w:iCs/>
          <w:noProof/>
          <w:szCs w:val="24"/>
        </w:rPr>
        <w:t>11</w:t>
      </w:r>
      <w:r w:rsidRPr="00E67458">
        <w:rPr>
          <w:rFonts w:ascii="Calibri" w:hAnsi="Calibri" w:cs="Times New Roman"/>
          <w:noProof/>
          <w:szCs w:val="24"/>
        </w:rPr>
        <w:t>(2), 567–74. Retrieved from http://www.ncbi.nlm.nih.gov/pubmed/10051756</w:t>
      </w:r>
    </w:p>
    <w:p w14:paraId="20B39C5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Pawlikowski, M., &amp; Brand, M. (2011). Excessive Internet gaming and decision making: Do excessive World of Warcraft players have problems in decision making under risky conditions? </w:t>
      </w:r>
      <w:r w:rsidRPr="00E67458">
        <w:rPr>
          <w:rFonts w:ascii="Calibri" w:hAnsi="Calibri" w:cs="Times New Roman"/>
          <w:i/>
          <w:iCs/>
          <w:noProof/>
          <w:szCs w:val="24"/>
        </w:rPr>
        <w:t>Psychiatry Research</w:t>
      </w:r>
      <w:r w:rsidRPr="00E67458">
        <w:rPr>
          <w:rFonts w:ascii="Calibri" w:hAnsi="Calibri" w:cs="Times New Roman"/>
          <w:noProof/>
          <w:szCs w:val="24"/>
        </w:rPr>
        <w:t xml:space="preserve">, </w:t>
      </w:r>
      <w:r w:rsidRPr="00E67458">
        <w:rPr>
          <w:rFonts w:ascii="Calibri" w:hAnsi="Calibri" w:cs="Times New Roman"/>
          <w:i/>
          <w:iCs/>
          <w:noProof/>
          <w:szCs w:val="24"/>
        </w:rPr>
        <w:t>188</w:t>
      </w:r>
      <w:r w:rsidRPr="00E67458">
        <w:rPr>
          <w:rFonts w:ascii="Calibri" w:hAnsi="Calibri" w:cs="Times New Roman"/>
          <w:noProof/>
          <w:szCs w:val="24"/>
        </w:rPr>
        <w:t>(3), 428–433. http://doi.org/10.1016/j.psychres.2011.05.017</w:t>
      </w:r>
    </w:p>
    <w:p w14:paraId="2581DD86"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Petry, N. M. (2012). Discounting of probabilistic rewards is associated with gambling abstinence in treatment-seeking pathological gamblers. </w:t>
      </w:r>
      <w:r w:rsidRPr="00E67458">
        <w:rPr>
          <w:rFonts w:ascii="Calibri" w:hAnsi="Calibri" w:cs="Times New Roman"/>
          <w:i/>
          <w:iCs/>
          <w:noProof/>
          <w:szCs w:val="24"/>
        </w:rPr>
        <w:t>Journal of Abnormal Psychology</w:t>
      </w:r>
      <w:r w:rsidRPr="00E67458">
        <w:rPr>
          <w:rFonts w:ascii="Calibri" w:hAnsi="Calibri" w:cs="Times New Roman"/>
          <w:noProof/>
          <w:szCs w:val="24"/>
        </w:rPr>
        <w:t xml:space="preserve">, </w:t>
      </w:r>
      <w:r w:rsidRPr="00E67458">
        <w:rPr>
          <w:rFonts w:ascii="Calibri" w:hAnsi="Calibri" w:cs="Times New Roman"/>
          <w:i/>
          <w:iCs/>
          <w:noProof/>
          <w:szCs w:val="24"/>
        </w:rPr>
        <w:t>121</w:t>
      </w:r>
      <w:r w:rsidRPr="00E67458">
        <w:rPr>
          <w:rFonts w:ascii="Calibri" w:hAnsi="Calibri" w:cs="Times New Roman"/>
          <w:noProof/>
          <w:szCs w:val="24"/>
        </w:rPr>
        <w:t>(1), 151–159. http://doi.org/10.1037/a0024782</w:t>
      </w:r>
    </w:p>
    <w:p w14:paraId="021C135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Qi, X., Du, X., Yang, Y., Du, G., Gao, P., Zhang, Y., … Zhang, Q. (2015). Decreased modulation by the risk level on the brain activation during decision making in adolescents with internet gaming disorder. </w:t>
      </w:r>
      <w:r w:rsidRPr="00E67458">
        <w:rPr>
          <w:rFonts w:ascii="Calibri" w:hAnsi="Calibri" w:cs="Times New Roman"/>
          <w:i/>
          <w:iCs/>
          <w:noProof/>
          <w:szCs w:val="24"/>
        </w:rPr>
        <w:t>Frontiers in Behavioral Neuroscience</w:t>
      </w:r>
      <w:r w:rsidRPr="00E67458">
        <w:rPr>
          <w:rFonts w:ascii="Calibri" w:hAnsi="Calibri" w:cs="Times New Roman"/>
          <w:noProof/>
          <w:szCs w:val="24"/>
        </w:rPr>
        <w:t xml:space="preserve">, </w:t>
      </w:r>
      <w:r w:rsidRPr="00E67458">
        <w:rPr>
          <w:rFonts w:ascii="Calibri" w:hAnsi="Calibri" w:cs="Times New Roman"/>
          <w:i/>
          <w:iCs/>
          <w:noProof/>
          <w:szCs w:val="24"/>
        </w:rPr>
        <w:t>9</w:t>
      </w:r>
      <w:r w:rsidRPr="00E67458">
        <w:rPr>
          <w:rFonts w:ascii="Calibri" w:hAnsi="Calibri" w:cs="Times New Roman"/>
          <w:noProof/>
          <w:szCs w:val="24"/>
        </w:rPr>
        <w:t>(November), 1–8. http://doi.org/10.3389/fnbeh.2015.00296</w:t>
      </w:r>
    </w:p>
    <w:p w14:paraId="0A1E597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Seok, J.-W., Lee, K. H., Sohn, S., &amp; Sohn, J.-H. (2015). Neural substrates of risky decision making in individuals with Internet addiction. </w:t>
      </w:r>
      <w:r w:rsidRPr="00E67458">
        <w:rPr>
          <w:rFonts w:ascii="Calibri" w:hAnsi="Calibri" w:cs="Times New Roman"/>
          <w:i/>
          <w:iCs/>
          <w:noProof/>
          <w:szCs w:val="24"/>
        </w:rPr>
        <w:t>Australian &amp; New Zealand Journal of Psychiatry</w:t>
      </w:r>
      <w:r w:rsidRPr="00E67458">
        <w:rPr>
          <w:rFonts w:ascii="Calibri" w:hAnsi="Calibri" w:cs="Times New Roman"/>
          <w:noProof/>
          <w:szCs w:val="24"/>
        </w:rPr>
        <w:t xml:space="preserve">, </w:t>
      </w:r>
      <w:r w:rsidRPr="00E67458">
        <w:rPr>
          <w:rFonts w:ascii="Calibri" w:hAnsi="Calibri" w:cs="Times New Roman"/>
          <w:i/>
          <w:iCs/>
          <w:noProof/>
          <w:szCs w:val="24"/>
        </w:rPr>
        <w:t>49</w:t>
      </w:r>
      <w:r w:rsidRPr="00E67458">
        <w:rPr>
          <w:rFonts w:ascii="Calibri" w:hAnsi="Calibri" w:cs="Times New Roman"/>
          <w:noProof/>
          <w:szCs w:val="24"/>
        </w:rPr>
        <w:t>(10), 923–932. http://doi.org/10.1177/0004867415598009</w:t>
      </w:r>
    </w:p>
    <w:p w14:paraId="495A8C1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Simon, S. L., Domier, C. P., Sim, T., Richardson, K., Rawson, R. A., &amp; Ling, W. (2002). Cognitive performance of current methamphetamine and cocaine abusers. </w:t>
      </w:r>
      <w:r w:rsidRPr="00E67458">
        <w:rPr>
          <w:rFonts w:ascii="Calibri" w:hAnsi="Calibri" w:cs="Times New Roman"/>
          <w:i/>
          <w:iCs/>
          <w:noProof/>
          <w:szCs w:val="24"/>
        </w:rPr>
        <w:t>Journal of Addictive Diseases</w:t>
      </w:r>
      <w:r w:rsidRPr="00E67458">
        <w:rPr>
          <w:rFonts w:ascii="Calibri" w:hAnsi="Calibri" w:cs="Times New Roman"/>
          <w:noProof/>
          <w:szCs w:val="24"/>
        </w:rPr>
        <w:t xml:space="preserve">, </w:t>
      </w:r>
      <w:r w:rsidRPr="00E67458">
        <w:rPr>
          <w:rFonts w:ascii="Calibri" w:hAnsi="Calibri" w:cs="Times New Roman"/>
          <w:i/>
          <w:iCs/>
          <w:noProof/>
          <w:szCs w:val="24"/>
        </w:rPr>
        <w:t>21</w:t>
      </w:r>
      <w:r w:rsidRPr="00E67458">
        <w:rPr>
          <w:rFonts w:ascii="Calibri" w:hAnsi="Calibri" w:cs="Times New Roman"/>
          <w:noProof/>
          <w:szCs w:val="24"/>
        </w:rPr>
        <w:t>(1), 61–74. Retrieved from http://www.ncbi.nlm.nih.gov/pubmed/11831501</w:t>
      </w:r>
    </w:p>
    <w:p w14:paraId="31BDFE4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Sun, D.-L., Chen, Z.-J., Ma, N., Zhang, X.-C., Fu, X.-M., &amp; Zhang, D.-R. (2009). Decision-making and prepotent response inhibition functions in excessive internet users. </w:t>
      </w:r>
      <w:r w:rsidRPr="00E67458">
        <w:rPr>
          <w:rFonts w:ascii="Calibri" w:hAnsi="Calibri" w:cs="Times New Roman"/>
          <w:i/>
          <w:iCs/>
          <w:noProof/>
          <w:szCs w:val="24"/>
        </w:rPr>
        <w:t>CNS Spectrums</w:t>
      </w:r>
      <w:r w:rsidRPr="00E67458">
        <w:rPr>
          <w:rFonts w:ascii="Calibri" w:hAnsi="Calibri" w:cs="Times New Roman"/>
          <w:noProof/>
          <w:szCs w:val="24"/>
        </w:rPr>
        <w:t xml:space="preserve">, </w:t>
      </w:r>
      <w:r w:rsidRPr="00E67458">
        <w:rPr>
          <w:rFonts w:ascii="Calibri" w:hAnsi="Calibri" w:cs="Times New Roman"/>
          <w:i/>
          <w:iCs/>
          <w:noProof/>
          <w:szCs w:val="24"/>
        </w:rPr>
        <w:t>14</w:t>
      </w:r>
      <w:r w:rsidRPr="00E67458">
        <w:rPr>
          <w:rFonts w:ascii="Calibri" w:hAnsi="Calibri" w:cs="Times New Roman"/>
          <w:noProof/>
          <w:szCs w:val="24"/>
        </w:rPr>
        <w:t>(2), 75–81. http://doi.org/10.1017/s1092852900000225</w:t>
      </w:r>
    </w:p>
    <w:p w14:paraId="60CFEA57"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Sweeney, J. A., Kmiec, J. A., &amp; Kupfer, D. J. (2000). Neuropsychologic impairments in bipolar and unipolar mood disorders on the CANTAB neurocognitive battery. </w:t>
      </w:r>
      <w:r w:rsidRPr="00E67458">
        <w:rPr>
          <w:rFonts w:ascii="Calibri" w:hAnsi="Calibri" w:cs="Times New Roman"/>
          <w:i/>
          <w:iCs/>
          <w:noProof/>
          <w:szCs w:val="24"/>
        </w:rPr>
        <w:t>Biological Psychiatry</w:t>
      </w:r>
      <w:r w:rsidRPr="00E67458">
        <w:rPr>
          <w:rFonts w:ascii="Calibri" w:hAnsi="Calibri" w:cs="Times New Roman"/>
          <w:noProof/>
          <w:szCs w:val="24"/>
        </w:rPr>
        <w:t xml:space="preserve">, </w:t>
      </w:r>
      <w:r w:rsidRPr="00E67458">
        <w:rPr>
          <w:rFonts w:ascii="Calibri" w:hAnsi="Calibri" w:cs="Times New Roman"/>
          <w:i/>
          <w:iCs/>
          <w:noProof/>
          <w:szCs w:val="24"/>
        </w:rPr>
        <w:t>48</w:t>
      </w:r>
      <w:r w:rsidRPr="00E67458">
        <w:rPr>
          <w:rFonts w:ascii="Calibri" w:hAnsi="Calibri" w:cs="Times New Roman"/>
          <w:noProof/>
          <w:szCs w:val="24"/>
        </w:rPr>
        <w:t>(7), 674–84. Retrieved from http://www.ncbi.nlm.nih.gov/pubmed/11032979</w:t>
      </w:r>
    </w:p>
    <w:p w14:paraId="235DE69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Torregrossa, M. M., Quinn, J. J., &amp; Taylor, J. R. (2008). Impulsivity, compulsivity, and habit: the role of orbitofrontal cortex revisited. </w:t>
      </w:r>
      <w:r w:rsidRPr="00E67458">
        <w:rPr>
          <w:rFonts w:ascii="Calibri" w:hAnsi="Calibri" w:cs="Times New Roman"/>
          <w:i/>
          <w:iCs/>
          <w:noProof/>
          <w:szCs w:val="24"/>
        </w:rPr>
        <w:t>Biological Psychiatry</w:t>
      </w:r>
      <w:r w:rsidRPr="00E67458">
        <w:rPr>
          <w:rFonts w:ascii="Calibri" w:hAnsi="Calibri" w:cs="Times New Roman"/>
          <w:noProof/>
          <w:szCs w:val="24"/>
        </w:rPr>
        <w:t xml:space="preserve">, </w:t>
      </w:r>
      <w:r w:rsidRPr="00E67458">
        <w:rPr>
          <w:rFonts w:ascii="Calibri" w:hAnsi="Calibri" w:cs="Times New Roman"/>
          <w:i/>
          <w:iCs/>
          <w:noProof/>
          <w:szCs w:val="24"/>
        </w:rPr>
        <w:t>63</w:t>
      </w:r>
      <w:r w:rsidRPr="00E67458">
        <w:rPr>
          <w:rFonts w:ascii="Calibri" w:hAnsi="Calibri" w:cs="Times New Roman"/>
          <w:noProof/>
          <w:szCs w:val="24"/>
        </w:rPr>
        <w:t>(3), 253–5. http://doi.org/10.1016/j.biopsych.2007.11.014</w:t>
      </w:r>
    </w:p>
    <w:p w14:paraId="6463362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lastRenderedPageBreak/>
        <w:t xml:space="preserve">Verbruggen, F., &amp; Logan, G. D. (2008). Response inhibition in the stop-signal paradigm. </w:t>
      </w:r>
      <w:r w:rsidRPr="00E67458">
        <w:rPr>
          <w:rFonts w:ascii="Calibri" w:hAnsi="Calibri" w:cs="Times New Roman"/>
          <w:i/>
          <w:iCs/>
          <w:noProof/>
          <w:szCs w:val="24"/>
        </w:rPr>
        <w:t>Trends in Cognitive Sciences</w:t>
      </w:r>
      <w:r w:rsidRPr="00E67458">
        <w:rPr>
          <w:rFonts w:ascii="Calibri" w:hAnsi="Calibri" w:cs="Times New Roman"/>
          <w:noProof/>
          <w:szCs w:val="24"/>
        </w:rPr>
        <w:t xml:space="preserve">, </w:t>
      </w:r>
      <w:r w:rsidRPr="00E67458">
        <w:rPr>
          <w:rFonts w:ascii="Calibri" w:hAnsi="Calibri" w:cs="Times New Roman"/>
          <w:i/>
          <w:iCs/>
          <w:noProof/>
          <w:szCs w:val="24"/>
        </w:rPr>
        <w:t>12</w:t>
      </w:r>
      <w:r w:rsidRPr="00E67458">
        <w:rPr>
          <w:rFonts w:ascii="Calibri" w:hAnsi="Calibri" w:cs="Times New Roman"/>
          <w:noProof/>
          <w:szCs w:val="24"/>
        </w:rPr>
        <w:t>(11), 418–24. http://doi.org/10.1016/j.tics.2008.07.005</w:t>
      </w:r>
    </w:p>
    <w:p w14:paraId="4D2111B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Wang, H., Jin, C., Yuan, K., Shakir, T. M., Mao, C., Niu, X., … Zhang, M. (2015). The alteration of gray matter volume and cognitive control in adolescents with internet gaming disorder. </w:t>
      </w:r>
      <w:r w:rsidRPr="00E67458">
        <w:rPr>
          <w:rFonts w:ascii="Calibri" w:hAnsi="Calibri" w:cs="Times New Roman"/>
          <w:i/>
          <w:iCs/>
          <w:noProof/>
          <w:szCs w:val="24"/>
        </w:rPr>
        <w:t>Frontiers in Behavioral Neuroscience</w:t>
      </w:r>
      <w:r w:rsidRPr="00E67458">
        <w:rPr>
          <w:rFonts w:ascii="Calibri" w:hAnsi="Calibri" w:cs="Times New Roman"/>
          <w:noProof/>
          <w:szCs w:val="24"/>
        </w:rPr>
        <w:t xml:space="preserve">, </w:t>
      </w:r>
      <w:r w:rsidRPr="00E67458">
        <w:rPr>
          <w:rFonts w:ascii="Calibri" w:hAnsi="Calibri" w:cs="Times New Roman"/>
          <w:i/>
          <w:iCs/>
          <w:noProof/>
          <w:szCs w:val="24"/>
        </w:rPr>
        <w:t>9</w:t>
      </w:r>
      <w:r w:rsidRPr="00E67458">
        <w:rPr>
          <w:rFonts w:ascii="Calibri" w:hAnsi="Calibri" w:cs="Times New Roman"/>
          <w:noProof/>
          <w:szCs w:val="24"/>
        </w:rPr>
        <w:t>(March), 64. http://doi.org/10.3389/fnbeh.2015.00064</w:t>
      </w:r>
    </w:p>
    <w:p w14:paraId="08B279DF"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Wang, L., Wu, L., Lin, X., Zhang, Y., Zhou, H., Du, X., &amp; Dong, G. (2016). Dysfunctional default mode network and executive control network in people with Internet gaming disorder: Independent component analysis under a probability discounting task. </w:t>
      </w:r>
      <w:r w:rsidRPr="00E67458">
        <w:rPr>
          <w:rFonts w:ascii="Calibri" w:hAnsi="Calibri" w:cs="Times New Roman"/>
          <w:i/>
          <w:iCs/>
          <w:noProof/>
          <w:szCs w:val="24"/>
        </w:rPr>
        <w:t>European Psychiatry</w:t>
      </w:r>
      <w:r w:rsidRPr="00E67458">
        <w:rPr>
          <w:rFonts w:ascii="Calibri" w:hAnsi="Calibri" w:cs="Times New Roman"/>
          <w:noProof/>
          <w:szCs w:val="24"/>
        </w:rPr>
        <w:t xml:space="preserve">, </w:t>
      </w:r>
      <w:r w:rsidRPr="00E67458">
        <w:rPr>
          <w:rFonts w:ascii="Calibri" w:hAnsi="Calibri" w:cs="Times New Roman"/>
          <w:i/>
          <w:iCs/>
          <w:noProof/>
          <w:szCs w:val="24"/>
        </w:rPr>
        <w:t>34</w:t>
      </w:r>
      <w:r w:rsidRPr="00E67458">
        <w:rPr>
          <w:rFonts w:ascii="Calibri" w:hAnsi="Calibri" w:cs="Times New Roman"/>
          <w:noProof/>
          <w:szCs w:val="24"/>
        </w:rPr>
        <w:t>, 36–42. http://doi.org/10.1016/j.eurpsy.2016.01.2424</w:t>
      </w:r>
    </w:p>
    <w:p w14:paraId="41FA1D4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Wang, L., Zhang, Y., Lin, X., Zhou, H., Du, X., &amp; Dong, G. (2017). Group independent component analysis reveals alternation of right executive control network in Internet gaming disorder. </w:t>
      </w:r>
      <w:r w:rsidRPr="00E67458">
        <w:rPr>
          <w:rFonts w:ascii="Calibri" w:hAnsi="Calibri" w:cs="Times New Roman"/>
          <w:i/>
          <w:iCs/>
          <w:noProof/>
          <w:szCs w:val="24"/>
        </w:rPr>
        <w:t>CNS Spectrums</w:t>
      </w:r>
      <w:r w:rsidRPr="00E67458">
        <w:rPr>
          <w:rFonts w:ascii="Calibri" w:hAnsi="Calibri" w:cs="Times New Roman"/>
          <w:noProof/>
          <w:szCs w:val="24"/>
        </w:rPr>
        <w:t>, 1–11. http://doi.org/10.1017/S1092852917000360</w:t>
      </w:r>
    </w:p>
    <w:p w14:paraId="33430324"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Wang, Y., Wu, L., Wang, L., Zhang, Y., Du, X., &amp; Dong, G. (2016). Impaired decision-making and impulse control in Internet gaming addicts: Evidence from the comparison with recreational Internet game users. </w:t>
      </w:r>
      <w:r w:rsidRPr="00E67458">
        <w:rPr>
          <w:rFonts w:ascii="Calibri" w:hAnsi="Calibri" w:cs="Times New Roman"/>
          <w:i/>
          <w:iCs/>
          <w:noProof/>
          <w:szCs w:val="24"/>
        </w:rPr>
        <w:t>Addiction Biology</w:t>
      </w:r>
      <w:r w:rsidRPr="00E67458">
        <w:rPr>
          <w:rFonts w:ascii="Calibri" w:hAnsi="Calibri" w:cs="Times New Roman"/>
          <w:noProof/>
          <w:szCs w:val="24"/>
        </w:rPr>
        <w:t>. http://doi.org/10.1111/adb.12458</w:t>
      </w:r>
    </w:p>
    <w:p w14:paraId="2CDC52B2"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Wang, Y., Wu, L., Zhou, H., Lin, X., Zhang, Y., Du, X., &amp; Dong, G. (2017). Impaired executive control and reward circuit in Internet gaming addicts under a delay discounting task: independent component analysis. </w:t>
      </w:r>
      <w:r w:rsidRPr="00E67458">
        <w:rPr>
          <w:rFonts w:ascii="Calibri" w:hAnsi="Calibri" w:cs="Times New Roman"/>
          <w:i/>
          <w:iCs/>
          <w:noProof/>
          <w:szCs w:val="24"/>
        </w:rPr>
        <w:t>European Archives of Psychiatry and Clinical Neuroscience</w:t>
      </w:r>
      <w:r w:rsidRPr="00E67458">
        <w:rPr>
          <w:rFonts w:ascii="Calibri" w:hAnsi="Calibri" w:cs="Times New Roman"/>
          <w:noProof/>
          <w:szCs w:val="24"/>
        </w:rPr>
        <w:t xml:space="preserve">, </w:t>
      </w:r>
      <w:r w:rsidRPr="00E67458">
        <w:rPr>
          <w:rFonts w:ascii="Calibri" w:hAnsi="Calibri" w:cs="Times New Roman"/>
          <w:i/>
          <w:iCs/>
          <w:noProof/>
          <w:szCs w:val="24"/>
        </w:rPr>
        <w:t>267</w:t>
      </w:r>
      <w:r w:rsidRPr="00E67458">
        <w:rPr>
          <w:rFonts w:ascii="Calibri" w:hAnsi="Calibri" w:cs="Times New Roman"/>
          <w:noProof/>
          <w:szCs w:val="24"/>
        </w:rPr>
        <w:t>(3), 245–255. http://doi.org/10.1007/s00406-016-0721-6</w:t>
      </w:r>
    </w:p>
    <w:p w14:paraId="1B5D4F9B"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Weafer, J., Milich, R., &amp; Fillmore, M. T. (2011). Behavioral components of impulsivity predict alcohol consumption in adults with ADHD and healthy controls. </w:t>
      </w:r>
      <w:r w:rsidRPr="00E67458">
        <w:rPr>
          <w:rFonts w:ascii="Calibri" w:hAnsi="Calibri" w:cs="Times New Roman"/>
          <w:i/>
          <w:iCs/>
          <w:noProof/>
          <w:szCs w:val="24"/>
        </w:rPr>
        <w:t>Drug and Alcohol Dependence</w:t>
      </w:r>
      <w:r w:rsidRPr="00E67458">
        <w:rPr>
          <w:rFonts w:ascii="Calibri" w:hAnsi="Calibri" w:cs="Times New Roman"/>
          <w:noProof/>
          <w:szCs w:val="24"/>
        </w:rPr>
        <w:t xml:space="preserve">, </w:t>
      </w:r>
      <w:r w:rsidRPr="00E67458">
        <w:rPr>
          <w:rFonts w:ascii="Calibri" w:hAnsi="Calibri" w:cs="Times New Roman"/>
          <w:i/>
          <w:iCs/>
          <w:noProof/>
          <w:szCs w:val="24"/>
        </w:rPr>
        <w:t>113</w:t>
      </w:r>
      <w:r w:rsidRPr="00E67458">
        <w:rPr>
          <w:rFonts w:ascii="Calibri" w:hAnsi="Calibri" w:cs="Times New Roman"/>
          <w:noProof/>
          <w:szCs w:val="24"/>
        </w:rPr>
        <w:t>(2–3), 139–146. http://doi.org/10.1016/j.drugalcdep.2010.07.027</w:t>
      </w:r>
    </w:p>
    <w:p w14:paraId="65C3B816"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Winstanley, C. A., &amp; Clark, L. (2016). Translational Models of Gambling-Related Decision-Making. </w:t>
      </w:r>
      <w:r w:rsidRPr="00E67458">
        <w:rPr>
          <w:rFonts w:ascii="Calibri" w:hAnsi="Calibri" w:cs="Times New Roman"/>
          <w:i/>
          <w:iCs/>
          <w:noProof/>
          <w:szCs w:val="24"/>
        </w:rPr>
        <w:t>Current Topics in Behavioral Neurosciences</w:t>
      </w:r>
      <w:r w:rsidRPr="00E67458">
        <w:rPr>
          <w:rFonts w:ascii="Calibri" w:hAnsi="Calibri" w:cs="Times New Roman"/>
          <w:noProof/>
          <w:szCs w:val="24"/>
        </w:rPr>
        <w:t xml:space="preserve">, </w:t>
      </w:r>
      <w:r w:rsidRPr="00E67458">
        <w:rPr>
          <w:rFonts w:ascii="Calibri" w:hAnsi="Calibri" w:cs="Times New Roman"/>
          <w:i/>
          <w:iCs/>
          <w:noProof/>
          <w:szCs w:val="24"/>
        </w:rPr>
        <w:t>28</w:t>
      </w:r>
      <w:r w:rsidRPr="00E67458">
        <w:rPr>
          <w:rFonts w:ascii="Calibri" w:hAnsi="Calibri" w:cs="Times New Roman"/>
          <w:noProof/>
          <w:szCs w:val="24"/>
        </w:rPr>
        <w:t>, 93–120. http://doi.org/10.1007/7854_2015_5014</w:t>
      </w:r>
    </w:p>
    <w:p w14:paraId="207A0879"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Xing, L., Yuan, K., Bi, Y., Yin, J., Cai, C., Feng, D., … Tian, J. (2014). Reduced fiber integrity and cognitive control in adolescents with internet gaming disorder. </w:t>
      </w:r>
      <w:r w:rsidRPr="00E67458">
        <w:rPr>
          <w:rFonts w:ascii="Calibri" w:hAnsi="Calibri" w:cs="Times New Roman"/>
          <w:i/>
          <w:iCs/>
          <w:noProof/>
          <w:szCs w:val="24"/>
        </w:rPr>
        <w:t>Brain Research</w:t>
      </w:r>
      <w:r w:rsidRPr="00E67458">
        <w:rPr>
          <w:rFonts w:ascii="Calibri" w:hAnsi="Calibri" w:cs="Times New Roman"/>
          <w:noProof/>
          <w:szCs w:val="24"/>
        </w:rPr>
        <w:t xml:space="preserve">, </w:t>
      </w:r>
      <w:r w:rsidRPr="00E67458">
        <w:rPr>
          <w:rFonts w:ascii="Calibri" w:hAnsi="Calibri" w:cs="Times New Roman"/>
          <w:i/>
          <w:iCs/>
          <w:noProof/>
          <w:szCs w:val="24"/>
        </w:rPr>
        <w:t>1586</w:t>
      </w:r>
      <w:r w:rsidRPr="00E67458">
        <w:rPr>
          <w:rFonts w:ascii="Calibri" w:hAnsi="Calibri" w:cs="Times New Roman"/>
          <w:noProof/>
          <w:szCs w:val="24"/>
        </w:rPr>
        <w:t xml:space="preserve">, 109–117. </w:t>
      </w:r>
      <w:r w:rsidRPr="00E67458">
        <w:rPr>
          <w:rFonts w:ascii="Calibri" w:hAnsi="Calibri" w:cs="Times New Roman"/>
          <w:noProof/>
          <w:szCs w:val="24"/>
        </w:rPr>
        <w:lastRenderedPageBreak/>
        <w:t>http://doi.org/10.1016/j.brainres.2014.08.044</w:t>
      </w:r>
    </w:p>
    <w:p w14:paraId="04A3D3B1"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Yao, Y. W., Wang, L. J., Yip, S. W., Chen, P. R., Li, S., Xu, J., … Fang, X. Y. (2015). Impaired decision-making under risk is associated with gaming-specific inhibition deficits among college students with Internet gaming disorder. </w:t>
      </w:r>
      <w:r w:rsidRPr="00E67458">
        <w:rPr>
          <w:rFonts w:ascii="Calibri" w:hAnsi="Calibri" w:cs="Times New Roman"/>
          <w:i/>
          <w:iCs/>
          <w:noProof/>
          <w:szCs w:val="24"/>
        </w:rPr>
        <w:t>Psychiatry Research</w:t>
      </w:r>
      <w:r w:rsidRPr="00E67458">
        <w:rPr>
          <w:rFonts w:ascii="Calibri" w:hAnsi="Calibri" w:cs="Times New Roman"/>
          <w:noProof/>
          <w:szCs w:val="24"/>
        </w:rPr>
        <w:t xml:space="preserve">, </w:t>
      </w:r>
      <w:r w:rsidRPr="00E67458">
        <w:rPr>
          <w:rFonts w:ascii="Calibri" w:hAnsi="Calibri" w:cs="Times New Roman"/>
          <w:i/>
          <w:iCs/>
          <w:noProof/>
          <w:szCs w:val="24"/>
        </w:rPr>
        <w:t>229</w:t>
      </w:r>
      <w:r w:rsidRPr="00E67458">
        <w:rPr>
          <w:rFonts w:ascii="Calibri" w:hAnsi="Calibri" w:cs="Times New Roman"/>
          <w:noProof/>
          <w:szCs w:val="24"/>
        </w:rPr>
        <w:t>(1–2), 302–309. http://doi.org/10.1016/j.psychres.2015.07.004</w:t>
      </w:r>
    </w:p>
    <w:p w14:paraId="1BFCD697"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Yau, Y. H. C., Potenza, M. N., Mayes, L. C., &amp; Crowley, M. J. (2015). Blunted feedback processing during risk-taking in adolescents with features of problematic Internet use. </w:t>
      </w:r>
      <w:r w:rsidRPr="00E67458">
        <w:rPr>
          <w:rFonts w:ascii="Calibri" w:hAnsi="Calibri" w:cs="Times New Roman"/>
          <w:i/>
          <w:iCs/>
          <w:noProof/>
          <w:szCs w:val="24"/>
        </w:rPr>
        <w:t>Addictive Behaviors</w:t>
      </w:r>
      <w:r w:rsidRPr="00E67458">
        <w:rPr>
          <w:rFonts w:ascii="Calibri" w:hAnsi="Calibri" w:cs="Times New Roman"/>
          <w:noProof/>
          <w:szCs w:val="24"/>
        </w:rPr>
        <w:t xml:space="preserve">, </w:t>
      </w:r>
      <w:r w:rsidRPr="00E67458">
        <w:rPr>
          <w:rFonts w:ascii="Calibri" w:hAnsi="Calibri" w:cs="Times New Roman"/>
          <w:i/>
          <w:iCs/>
          <w:noProof/>
          <w:szCs w:val="24"/>
        </w:rPr>
        <w:t>45</w:t>
      </w:r>
      <w:r w:rsidRPr="00E67458">
        <w:rPr>
          <w:rFonts w:ascii="Calibri" w:hAnsi="Calibri" w:cs="Times New Roman"/>
          <w:noProof/>
          <w:szCs w:val="24"/>
        </w:rPr>
        <w:t>, 156–163. http://doi.org/10.1016/j.addbeh.2015.01.008</w:t>
      </w:r>
    </w:p>
    <w:p w14:paraId="4DC1158D"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Yuan, K., Qin, W., Yu, D., Bi, Y., Xing, L., Jin, C., &amp; Tian, J. (2016). Core brain networks interactions and cognitive control in internet gaming disorder individuals in late adolescence/early adulthood. </w:t>
      </w:r>
      <w:r w:rsidRPr="00E67458">
        <w:rPr>
          <w:rFonts w:ascii="Calibri" w:hAnsi="Calibri" w:cs="Times New Roman"/>
          <w:i/>
          <w:iCs/>
          <w:noProof/>
          <w:szCs w:val="24"/>
        </w:rPr>
        <w:t>Brain Structure and Function</w:t>
      </w:r>
      <w:r w:rsidRPr="00E67458">
        <w:rPr>
          <w:rFonts w:ascii="Calibri" w:hAnsi="Calibri" w:cs="Times New Roman"/>
          <w:noProof/>
          <w:szCs w:val="24"/>
        </w:rPr>
        <w:t xml:space="preserve">, </w:t>
      </w:r>
      <w:r w:rsidRPr="00E67458">
        <w:rPr>
          <w:rFonts w:ascii="Calibri" w:hAnsi="Calibri" w:cs="Times New Roman"/>
          <w:i/>
          <w:iCs/>
          <w:noProof/>
          <w:szCs w:val="24"/>
        </w:rPr>
        <w:t>221</w:t>
      </w:r>
      <w:r w:rsidRPr="00E67458">
        <w:rPr>
          <w:rFonts w:ascii="Calibri" w:hAnsi="Calibri" w:cs="Times New Roman"/>
          <w:noProof/>
          <w:szCs w:val="24"/>
        </w:rPr>
        <w:t>(3), 1427–1442. http://doi.org/10.1007/s00429-014-0982-7</w:t>
      </w:r>
    </w:p>
    <w:p w14:paraId="0364B2FE"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Yuan, K., Yu, D., Cai, C., Feng, D., Li, Y., Bi, Y., … Tian, J. (2017). Frontostriatal circuits, resting state functional connectivity and cognitive control in internet gaming disorder. </w:t>
      </w:r>
      <w:r w:rsidRPr="00E67458">
        <w:rPr>
          <w:rFonts w:ascii="Calibri" w:hAnsi="Calibri" w:cs="Times New Roman"/>
          <w:i/>
          <w:iCs/>
          <w:noProof/>
          <w:szCs w:val="24"/>
        </w:rPr>
        <w:t>Addiction Biology</w:t>
      </w:r>
      <w:r w:rsidRPr="00E67458">
        <w:rPr>
          <w:rFonts w:ascii="Calibri" w:hAnsi="Calibri" w:cs="Times New Roman"/>
          <w:noProof/>
          <w:szCs w:val="24"/>
        </w:rPr>
        <w:t xml:space="preserve">, </w:t>
      </w:r>
      <w:r w:rsidRPr="00E67458">
        <w:rPr>
          <w:rFonts w:ascii="Calibri" w:hAnsi="Calibri" w:cs="Times New Roman"/>
          <w:i/>
          <w:iCs/>
          <w:noProof/>
          <w:szCs w:val="24"/>
        </w:rPr>
        <w:t>22</w:t>
      </w:r>
      <w:r w:rsidRPr="00E67458">
        <w:rPr>
          <w:rFonts w:ascii="Calibri" w:hAnsi="Calibri" w:cs="Times New Roman"/>
          <w:noProof/>
          <w:szCs w:val="24"/>
        </w:rPr>
        <w:t>(3), 813–822. http://doi.org/10.1111/adb.12348</w:t>
      </w:r>
    </w:p>
    <w:p w14:paraId="49337BE9"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Zhang, Y., Lin, X., Zhou, H., Xu, J., Du, X., &amp; Dong, G. (2016). Brain activity toward gaming-related cues in internet gaming disorder during an addiction Stroop task. </w:t>
      </w:r>
      <w:r w:rsidRPr="00E67458">
        <w:rPr>
          <w:rFonts w:ascii="Calibri" w:hAnsi="Calibri" w:cs="Times New Roman"/>
          <w:i/>
          <w:iCs/>
          <w:noProof/>
          <w:szCs w:val="24"/>
        </w:rPr>
        <w:t>Frontiers in Psychology</w:t>
      </w:r>
      <w:r w:rsidRPr="00E67458">
        <w:rPr>
          <w:rFonts w:ascii="Calibri" w:hAnsi="Calibri" w:cs="Times New Roman"/>
          <w:noProof/>
          <w:szCs w:val="24"/>
        </w:rPr>
        <w:t xml:space="preserve">, </w:t>
      </w:r>
      <w:r w:rsidRPr="00E67458">
        <w:rPr>
          <w:rFonts w:ascii="Calibri" w:hAnsi="Calibri" w:cs="Times New Roman"/>
          <w:i/>
          <w:iCs/>
          <w:noProof/>
          <w:szCs w:val="24"/>
        </w:rPr>
        <w:t>7</w:t>
      </w:r>
      <w:r w:rsidRPr="00E67458">
        <w:rPr>
          <w:rFonts w:ascii="Calibri" w:hAnsi="Calibri" w:cs="Times New Roman"/>
          <w:noProof/>
          <w:szCs w:val="24"/>
        </w:rPr>
        <w:t>(MAY), 1–9. http://doi.org/10.3389/fpsyg.2016.00714</w:t>
      </w:r>
    </w:p>
    <w:p w14:paraId="572577FA"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Zhou, Z. H., Yuan, G. Z., Yao, J. J., Li, C., &amp; Cheng, Z. H. (2010). An event-related potential investigation of deficient inhibitory control in individuals with pathological Internet use. </w:t>
      </w:r>
      <w:r w:rsidRPr="00E67458">
        <w:rPr>
          <w:rFonts w:ascii="Calibri" w:hAnsi="Calibri" w:cs="Times New Roman"/>
          <w:i/>
          <w:iCs/>
          <w:noProof/>
          <w:szCs w:val="24"/>
        </w:rPr>
        <w:t>Acta Neuropsychiatrica</w:t>
      </w:r>
      <w:r w:rsidRPr="00E67458">
        <w:rPr>
          <w:rFonts w:ascii="Calibri" w:hAnsi="Calibri" w:cs="Times New Roman"/>
          <w:noProof/>
          <w:szCs w:val="24"/>
        </w:rPr>
        <w:t xml:space="preserve">, </w:t>
      </w:r>
      <w:r w:rsidRPr="00E67458">
        <w:rPr>
          <w:rFonts w:ascii="Calibri" w:hAnsi="Calibri" w:cs="Times New Roman"/>
          <w:i/>
          <w:iCs/>
          <w:noProof/>
          <w:szCs w:val="24"/>
        </w:rPr>
        <w:t>22</w:t>
      </w:r>
      <w:r w:rsidRPr="00E67458">
        <w:rPr>
          <w:rFonts w:ascii="Calibri" w:hAnsi="Calibri" w:cs="Times New Roman"/>
          <w:noProof/>
          <w:szCs w:val="24"/>
        </w:rPr>
        <w:t>(5), 228–236. http://doi.org/10.1111/j.1601-5215.2010.00444.x</w:t>
      </w:r>
    </w:p>
    <w:p w14:paraId="5378A5F5"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Zhou, Z., Li, C., &amp; Zhu, H. (2013). An Error-Related Negativity Potential Investigation of Response Monitoring Function in Individuals with Internet Addiction Disorder. </w:t>
      </w:r>
      <w:r w:rsidRPr="00E67458">
        <w:rPr>
          <w:rFonts w:ascii="Calibri" w:hAnsi="Calibri" w:cs="Times New Roman"/>
          <w:i/>
          <w:iCs/>
          <w:noProof/>
          <w:szCs w:val="24"/>
        </w:rPr>
        <w:t>Frontiers in Behavioral Neuroscience</w:t>
      </w:r>
      <w:r w:rsidRPr="00E67458">
        <w:rPr>
          <w:rFonts w:ascii="Calibri" w:hAnsi="Calibri" w:cs="Times New Roman"/>
          <w:noProof/>
          <w:szCs w:val="24"/>
        </w:rPr>
        <w:t xml:space="preserve">, </w:t>
      </w:r>
      <w:r w:rsidRPr="00E67458">
        <w:rPr>
          <w:rFonts w:ascii="Calibri" w:hAnsi="Calibri" w:cs="Times New Roman"/>
          <w:i/>
          <w:iCs/>
          <w:noProof/>
          <w:szCs w:val="24"/>
        </w:rPr>
        <w:t>7</w:t>
      </w:r>
      <w:r w:rsidRPr="00E67458">
        <w:rPr>
          <w:rFonts w:ascii="Calibri" w:hAnsi="Calibri" w:cs="Times New Roman"/>
          <w:noProof/>
          <w:szCs w:val="24"/>
        </w:rPr>
        <w:t>(September), 1–8. http://doi.org/10.3389/fnbeh.2013.00131</w:t>
      </w:r>
    </w:p>
    <w:p w14:paraId="568396AC" w14:textId="77777777" w:rsidR="00E67458" w:rsidRPr="00E67458" w:rsidRDefault="00E67458" w:rsidP="00E67458">
      <w:pPr>
        <w:widowControl w:val="0"/>
        <w:autoSpaceDE w:val="0"/>
        <w:autoSpaceDN w:val="0"/>
        <w:adjustRightInd w:val="0"/>
        <w:ind w:left="480" w:hanging="480"/>
        <w:rPr>
          <w:rFonts w:ascii="Calibri" w:hAnsi="Calibri" w:cs="Times New Roman"/>
          <w:noProof/>
          <w:szCs w:val="24"/>
        </w:rPr>
      </w:pPr>
      <w:r w:rsidRPr="00E67458">
        <w:rPr>
          <w:rFonts w:ascii="Calibri" w:hAnsi="Calibri" w:cs="Times New Roman"/>
          <w:noProof/>
          <w:szCs w:val="24"/>
        </w:rPr>
        <w:t xml:space="preserve">Zhou, Z., Zhou, H., &amp; Zhu, H. (2016). Working memory, executive function and impulsivity in Internet-addictive disorders: a comparison with pathological gambling. </w:t>
      </w:r>
      <w:r w:rsidRPr="00E67458">
        <w:rPr>
          <w:rFonts w:ascii="Calibri" w:hAnsi="Calibri" w:cs="Times New Roman"/>
          <w:i/>
          <w:iCs/>
          <w:noProof/>
          <w:szCs w:val="24"/>
        </w:rPr>
        <w:t>Acta Neuropsychiatrica</w:t>
      </w:r>
      <w:r w:rsidRPr="00E67458">
        <w:rPr>
          <w:rFonts w:ascii="Calibri" w:hAnsi="Calibri" w:cs="Times New Roman"/>
          <w:noProof/>
          <w:szCs w:val="24"/>
        </w:rPr>
        <w:t xml:space="preserve">, </w:t>
      </w:r>
      <w:r w:rsidRPr="00E67458">
        <w:rPr>
          <w:rFonts w:ascii="Calibri" w:hAnsi="Calibri" w:cs="Times New Roman"/>
          <w:i/>
          <w:iCs/>
          <w:noProof/>
          <w:szCs w:val="24"/>
        </w:rPr>
        <w:t>28</w:t>
      </w:r>
      <w:r w:rsidRPr="00E67458">
        <w:rPr>
          <w:rFonts w:ascii="Calibri" w:hAnsi="Calibri" w:cs="Times New Roman"/>
          <w:noProof/>
          <w:szCs w:val="24"/>
        </w:rPr>
        <w:t xml:space="preserve">(02), 92–100. </w:t>
      </w:r>
      <w:r w:rsidRPr="00E67458">
        <w:rPr>
          <w:rFonts w:ascii="Calibri" w:hAnsi="Calibri" w:cs="Times New Roman"/>
          <w:noProof/>
          <w:szCs w:val="24"/>
        </w:rPr>
        <w:lastRenderedPageBreak/>
        <w:t>http://doi.org/10.1017/neu.2015.54</w:t>
      </w:r>
    </w:p>
    <w:p w14:paraId="11382931" w14:textId="77777777" w:rsidR="00E67458" w:rsidRPr="00E67458" w:rsidRDefault="00E67458" w:rsidP="00E67458">
      <w:pPr>
        <w:widowControl w:val="0"/>
        <w:autoSpaceDE w:val="0"/>
        <w:autoSpaceDN w:val="0"/>
        <w:adjustRightInd w:val="0"/>
        <w:ind w:left="480" w:hanging="480"/>
        <w:rPr>
          <w:rFonts w:ascii="Calibri" w:hAnsi="Calibri"/>
          <w:noProof/>
        </w:rPr>
      </w:pPr>
      <w:r w:rsidRPr="00E67458">
        <w:rPr>
          <w:rFonts w:ascii="Calibri" w:hAnsi="Calibri" w:cs="Times New Roman"/>
          <w:noProof/>
          <w:szCs w:val="24"/>
        </w:rPr>
        <w:t xml:space="preserve">Zhou, Z., Zhu, H., Li, C., &amp; Wang, J. (2014). Internet addictive individuals share impulsivity and executive dysfunction with alcohol-dependent patients. </w:t>
      </w:r>
      <w:r w:rsidRPr="00E67458">
        <w:rPr>
          <w:rFonts w:ascii="Calibri" w:hAnsi="Calibri" w:cs="Times New Roman"/>
          <w:i/>
          <w:iCs/>
          <w:noProof/>
          <w:szCs w:val="24"/>
        </w:rPr>
        <w:t>Frontiers in Behavioral Neuroscience</w:t>
      </w:r>
      <w:r w:rsidRPr="00E67458">
        <w:rPr>
          <w:rFonts w:ascii="Calibri" w:hAnsi="Calibri" w:cs="Times New Roman"/>
          <w:noProof/>
          <w:szCs w:val="24"/>
        </w:rPr>
        <w:t xml:space="preserve">, </w:t>
      </w:r>
      <w:r w:rsidRPr="00E67458">
        <w:rPr>
          <w:rFonts w:ascii="Calibri" w:hAnsi="Calibri" w:cs="Times New Roman"/>
          <w:i/>
          <w:iCs/>
          <w:noProof/>
          <w:szCs w:val="24"/>
        </w:rPr>
        <w:t>8</w:t>
      </w:r>
      <w:r w:rsidRPr="00E67458">
        <w:rPr>
          <w:rFonts w:ascii="Calibri" w:hAnsi="Calibri" w:cs="Times New Roman"/>
          <w:noProof/>
          <w:szCs w:val="24"/>
        </w:rPr>
        <w:t>(August), 288. http://doi.org/10.3389/fnbeh.2014.00288</w:t>
      </w:r>
    </w:p>
    <w:p w14:paraId="3D59E3CB" w14:textId="77777777" w:rsidR="00A8341A" w:rsidRPr="002848BB" w:rsidRDefault="00A8341A" w:rsidP="00A8341A">
      <w:r>
        <w:fldChar w:fldCharType="end"/>
      </w:r>
    </w:p>
    <w:p w14:paraId="3C84A85B" w14:textId="77777777" w:rsidR="00A8341A" w:rsidRDefault="00A8341A" w:rsidP="00A8341A">
      <w:pPr>
        <w:pStyle w:val="Heading2"/>
      </w:pPr>
      <w:r>
        <w:br w:type="page"/>
      </w:r>
    </w:p>
    <w:p w14:paraId="483B7B15" w14:textId="77777777" w:rsidR="00A8341A" w:rsidRDefault="00A8341A" w:rsidP="00A8341A">
      <w:pPr>
        <w:spacing w:line="259" w:lineRule="auto"/>
        <w:jc w:val="left"/>
      </w:pPr>
    </w:p>
    <w:p w14:paraId="54BBB045" w14:textId="77777777" w:rsidR="00BD2B09" w:rsidRDefault="00BD2B09" w:rsidP="00A00E5B">
      <w:pPr>
        <w:pStyle w:val="Heading1"/>
      </w:pPr>
      <w:r>
        <w:t>Description of cognitive domains and key outcome measures</w:t>
      </w:r>
    </w:p>
    <w:p w14:paraId="3F661E5C" w14:textId="2B1F957C" w:rsidR="00BD2B09" w:rsidRPr="00500D50" w:rsidRDefault="00BD2B09" w:rsidP="00BD2B09">
      <w:r>
        <w:t>Cognitive domains entering into the meta-analysis are briefly described below, including detailed of the preferred output measure(s).</w:t>
      </w:r>
      <w:r w:rsidR="00F37CEB">
        <w:t xml:space="preserve"> Sufficient suitable data were found for meta-analysis of the following cognitive domains (tasks): attentional inhibition (Stroop), motor inhibition (go/no go), pre-potent motor inhibition (stop-signal), decision-making (Cambridge Gambling Task, Iowa Gambling Task, Game of Dice, and Balloon Analogue Risk), working memory (Digit Span, Spatial Working Memory), and discounting. These domains were operationally defined as follows: motor inhibition, the ability to withhold not-already-triggered responses</w:t>
      </w:r>
      <w:r w:rsidR="00BE6DBD">
        <w:t xml:space="preserve"> </w:t>
      </w:r>
      <w:r w:rsidR="00BE6DBD">
        <w:fldChar w:fldCharType="begin" w:fldLock="1"/>
      </w:r>
      <w:r w:rsidR="00E67458">
        <w:instrText>ADDIN CSL_CITATION {"citationItems":[{"id":"ITEM-1","itemData":{"DOI":"10.1097/YCO.0b013e3280ba4989","PMID":"17415079","abstract":"PURPOSE OF REVIEW Impulsive symptoms occur across neuropsychiatric disorders, with important ramifications for everyday functioning and quality of life. This article considers recent developments in the neuropsychological assessment of impulsivity with a focus on the ability to suppress motor responses (response inhibition). RECENT FINDINGS Using objective tests, response inhibition deficits were identified in several neuropsychiatric conditions associated with impulsivity, namely attention deficit hyperactivity disorder, trichotillomania, obsessive-compulsive disorder, and chronic substance abuse. Deficits were also found in unaffected first-degree relatives of attention deficit hyperactivity disorder and obsessive-compulsive disorder patients. Evidence from patients with focal brain lesions and from healthy volunteers using functional MRI and transcranial stimulation implicated the right inferior frontal gyrus in response inhibition. Pharmacological manipulations of the serotonin system had no detectable behavioural effects on response inhibition, whereas manipulations of the noradrenaline system did. SUMMARY Neuropsychological assessment shows great promise in the investigation of impulsivity and its brain substrates. These results support a key role for response inhibition, a function linked to the right inferior frontal gyrus, in the manifestation of impulsivity. Measures of response inhibition will contribute to the search for psychiatric endophenotypes, novel treatments, and more optimal diagnostic classification systems for neuropsychiatric disorders.","author":[{"dropping-particle":"","family":"Chamberlain","given":"Samuel R","non-dropping-particle":"","parse-names":false,"suffix":""},{"dropping-particle":"","family":"Sahakian","given":"Barbara J","non-dropping-particle":"","parse-names":false,"suffix":""}],"container-title":"Current Opinion in Psychiatry","id":"ITEM-1","issue":"3","issued":{"date-parts":[["2007"]]},"page":"255-261","title":"The neuropsychiatry of impulsivity","type":"article-journal","volume":"20"},"uris":["http://www.mendeley.com/documents/?uuid=fa6fc32e-af54-44ee-877a-a7f0a636bd92"]}],"mendeley":{"formattedCitation":"(Chamberlain &amp; Sahakian, 2007)","plainTextFormattedCitation":"(Chamberlain &amp; Sahakian, 2007)","previouslyFormattedCitation":"(Chamberlain and Sahakian 2007)"},"properties":{"noteIndex":0},"schema":"https://github.com/citation-style-language/schema/raw/master/csl-citation.json"}</w:instrText>
      </w:r>
      <w:r w:rsidR="00BE6DBD">
        <w:fldChar w:fldCharType="separate"/>
      </w:r>
      <w:r w:rsidR="00E67458" w:rsidRPr="00E67458">
        <w:rPr>
          <w:noProof/>
        </w:rPr>
        <w:t>(Chamberlain &amp; Sahakian, 2007)</w:t>
      </w:r>
      <w:r w:rsidR="00BE6DBD">
        <w:fldChar w:fldCharType="end"/>
      </w:r>
      <w:r w:rsidR="00F37CEB">
        <w:t>; pre-potent motor inhibition, the ability to suppress already-triggered responses</w:t>
      </w:r>
      <w:r w:rsidR="00BE6DBD">
        <w:t xml:space="preserve"> </w:t>
      </w:r>
      <w:r w:rsidR="00BE6DBD">
        <w:fldChar w:fldCharType="begin" w:fldLock="1"/>
      </w:r>
      <w:r w:rsidR="00E67458">
        <w:instrText>ADDIN CSL_CITATION {"citationItems":[{"id":"ITEM-1","itemData":{"DOI":"10.1097/YCO.0b013e3280ba4989","PMID":"17415079","abstract":"PURPOSE OF REVIEW Impulsive symptoms occur across neuropsychiatric disorders, with important ramifications for everyday functioning and quality of life. This article considers recent developments in the neuropsychological assessment of impulsivity with a focus on the ability to suppress motor responses (response inhibition). RECENT FINDINGS Using objective tests, response inhibition deficits were identified in several neuropsychiatric conditions associated with impulsivity, namely attention deficit hyperactivity disorder, trichotillomania, obsessive-compulsive disorder, and chronic substance abuse. Deficits were also found in unaffected first-degree relatives of attention deficit hyperactivity disorder and obsessive-compulsive disorder patients. Evidence from patients with focal brain lesions and from healthy volunteers using functional MRI and transcranial stimulation implicated the right inferior frontal gyrus in response inhibition. Pharmacological manipulations of the serotonin system had no detectable behavioural effects on response inhibition, whereas manipulations of the noradrenaline system did. SUMMARY Neuropsychological assessment shows great promise in the investigation of impulsivity and its brain substrates. These results support a key role for response inhibition, a function linked to the right inferior frontal gyrus, in the manifestation of impulsivity. Measures of response inhibition will contribute to the search for psychiatric endophenotypes, novel treatments, and more optimal diagnostic classification systems for neuropsychiatric disorders.","author":[{"dropping-particle":"","family":"Chamberlain","given":"Samuel R","non-dropping-particle":"","parse-names":false,"suffix":""},{"dropping-particle":"","family":"Sahakian","given":"Barbara J","non-dropping-particle":"","parse-names":false,"suffix":""}],"container-title":"Current Opinion in Psychiatry","id":"ITEM-1","issue":"3","issued":{"date-parts":[["2007"]]},"page":"255-261","title":"The neuropsychiatry of impulsivity","type":"article-journal","volume":"20"},"uris":["http://www.mendeley.com/documents/?uuid=fa6fc32e-af54-44ee-877a-a7f0a636bd92"]}],"mendeley":{"formattedCitation":"(Chamberlain &amp; Sahakian, 2007)","plainTextFormattedCitation":"(Chamberlain &amp; Sahakian, 2007)","previouslyFormattedCitation":"(Chamberlain and Sahakian 2007)"},"properties":{"noteIndex":0},"schema":"https://github.com/citation-style-language/schema/raw/master/csl-citation.json"}</w:instrText>
      </w:r>
      <w:r w:rsidR="00BE6DBD">
        <w:fldChar w:fldCharType="separate"/>
      </w:r>
      <w:r w:rsidR="00E67458" w:rsidRPr="00E67458">
        <w:rPr>
          <w:noProof/>
        </w:rPr>
        <w:t>(Chamberlain &amp; Sahakian, 2007)</w:t>
      </w:r>
      <w:r w:rsidR="00BE6DBD">
        <w:fldChar w:fldCharType="end"/>
      </w:r>
      <w:r w:rsidR="00F37CEB">
        <w:t>; attentional inhibition, the ability to shift attention away from distracting environmental dimensions</w:t>
      </w:r>
      <w:r w:rsidR="00BE6DBD">
        <w:t xml:space="preserve"> </w:t>
      </w:r>
      <w:r w:rsidR="00BE6DBD">
        <w:fldChar w:fldCharType="begin" w:fldLock="1"/>
      </w:r>
      <w:r w:rsidR="00E67458">
        <w:instrText>ADDIN CSL_CITATION {"citationItems":[{"id":"ITEM-1","itemData":{"DOI":"10.1007/978-3-642-27851-8_67-1","author":[{"dropping-particle":"","family":"MacLeod","given":"Colin M.","non-dropping-particle":"","parse-names":false,"suffix":""}],"container-title":"Encyclopedia of Color Science and Technology","id":"ITEM-1","issued":{"date-parts":[["2015"]]},"page":"1-6","title":"The Stroop Effect","type":"article-journal"},"uris":["http://www.mendeley.com/documents/?uuid=53b3b4a9-24aa-4b60-b817-552f7f442837"]}],"mendeley":{"formattedCitation":"(MacLeod, 2015)","plainTextFormattedCitation":"(MacLeod, 2015)","previouslyFormattedCitation":"(MacLeod 2015)"},"properties":{"noteIndex":0},"schema":"https://github.com/citation-style-language/schema/raw/master/csl-citation.json"}</w:instrText>
      </w:r>
      <w:r w:rsidR="00BE6DBD">
        <w:fldChar w:fldCharType="separate"/>
      </w:r>
      <w:r w:rsidR="00E67458" w:rsidRPr="00E67458">
        <w:rPr>
          <w:noProof/>
        </w:rPr>
        <w:t>(MacLeod, 2015)</w:t>
      </w:r>
      <w:r w:rsidR="00BE6DBD">
        <w:fldChar w:fldCharType="end"/>
      </w:r>
      <w:r w:rsidR="00F37CEB">
        <w:t>; decision-making, selection of optimal choices considering all available information (including risk &amp; reward magnitudes, and probabilities of different outcomes)</w:t>
      </w:r>
      <w:r w:rsidR="00BE6DBD" w:rsidRPr="00BE6DBD">
        <w:t xml:space="preserve"> </w:t>
      </w:r>
      <w:r w:rsidR="00BE6DBD">
        <w:fldChar w:fldCharType="begin" w:fldLock="1"/>
      </w:r>
      <w:r w:rsidR="00E67458">
        <w:instrText>ADDIN CSL_CITATION {"citationItems":[{"id":"ITEM-1","itemData":{"DOI":"10.1007/7854_2015_5014","PMID":"27418069","abstract":"Gambling is a harmless, recreational pastime that is ubiquitous across cultures. However, for some, gambling becomes a maladaptive and compulsive, and this syndrome is conceptualized as a behavioural addiction. Laboratory models that capture the key cognitive processes involved in gambling behaviour, and that can be translated across species, have the potential to make an important contribution to both decision neuroscience and the study of addictive disorders. The Iowa gambling task has been widely used to assess human decision-making under uncertainty, and this paradigm can be successfully modelled in rodents. Similar neurobiological processes underpin choice behaviour in humans and rats, and thus, a preference for the disadvantageous \"high-risk, high-reward\" options may reflect meaningful vulnerability for mental health problems. However, the choice behaviour operationalized by these tasks does not necessarily approximate the vulnerability to gambling disorder (GD) per se. We consider a number of psychological challenges that apply to modelling gambling in a translational way, and evaluate the success of the existing models. Heterogeneity in the structure of gambling games, as well as in the motivations of individuals with GD, is highlighted. The potential issues with extrapolating too directly from established animal models of drug dependency are discussed, as are the inherent difficulties in validating animal models of GD in the absence of any approved treatments for GD. Further advances in modelling the cognitive biases endemic in human decision-making, which appear to be exacerbated in GD, may be a promising line of research.","author":[{"dropping-particle":"","family":"Winstanley","given":"Catharine A","non-dropping-particle":"","parse-names":false,"suffix":""},{"dropping-particle":"","family":"Clark","given":"Luke","non-dropping-particle":"","parse-names":false,"suffix":""}],"container-title":"Current topics in behavioral neurosciences","id":"ITEM-1","issued":{"date-parts":[["2016"]]},"page":"93-120","title":"Translational Models of Gambling-Related Decision-Making.","type":"article-journal","volume":"28"},"uris":["http://www.mendeley.com/documents/?uuid=7a1e2ec3-fb9e-43c1-ba30-9b06b5080824"]}],"mendeley":{"formattedCitation":"(Winstanley &amp; Clark, 2016)","plainTextFormattedCitation":"(Winstanley &amp; Clark, 2016)","previouslyFormattedCitation":"(Winstanley and Clark 2016)"},"properties":{"noteIndex":0},"schema":"https://github.com/citation-style-language/schema/raw/master/csl-citation.json"}</w:instrText>
      </w:r>
      <w:r w:rsidR="00BE6DBD">
        <w:fldChar w:fldCharType="separate"/>
      </w:r>
      <w:r w:rsidR="00E67458" w:rsidRPr="00E67458">
        <w:rPr>
          <w:noProof/>
        </w:rPr>
        <w:t>(Winstanley &amp; Clark, 2016)</w:t>
      </w:r>
      <w:r w:rsidR="00BE6DBD">
        <w:fldChar w:fldCharType="end"/>
      </w:r>
      <w:r w:rsidR="00F37CEB">
        <w:t>; working memory, ability to hold and manipulate information ‘on-line’</w:t>
      </w:r>
      <w:r w:rsidR="00BE6DBD">
        <w:t xml:space="preserve"> </w:t>
      </w:r>
      <w:r w:rsidR="00BE6DBD">
        <w:fldChar w:fldCharType="begin" w:fldLock="1"/>
      </w:r>
      <w:r w:rsidR="00E67458">
        <w:instrText>ADDIN CSL_CITATION {"citationItems":[{"id":"ITEM-1","itemData":{"PMID":"10051756","author":[{"dropping-particle":"","family":"Owen","given":"A M","non-dropping-particle":"","parse-names":false,"suffix":""},{"dropping-particle":"","family":"Herrod","given":"N J","non-dropping-particle":"","parse-names":false,"suffix":""},{"dropping-particle":"","family":"Menon","given":"D K","non-dropping-particle":"","parse-names":false,"suffix":""},{"dropping-particle":"","family":"Clark","given":"J C","non-dropping-particle":"","parse-names":false,"suffix":""},{"dropping-particle":"","family":"Downey","given":"S P","non-dropping-particle":"","parse-names":false,"suffix":""},{"dropping-particle":"","family":"Carpenter","given":"T A","non-dropping-particle":"","parse-names":false,"suffix":""},{"dropping-particle":"","family":"Minhas","given":"P S","non-dropping-particle":"","parse-names":false,"suffix":""},{"dropping-particle":"","family":"Turkheimer","given":"F E","non-dropping-particle":"","parse-names":false,"suffix":""},{"dropping-particle":"","family":"Williams","given":"E J","non-dropping-particle":"","parse-names":false,"suffix":""},{"dropping-particle":"","family":"Robbins","given":"T W","non-dropping-particle":"","parse-names":false,"suffix":""},{"dropping-particle":"","family":"Sahakian","given":"B J","non-dropping-particle":"","parse-names":false,"suffix":""},{"dropping-particle":"","family":"Petrides","given":"M","non-dropping-particle":"","parse-names":false,"suffix":""},{"dropping-particle":"","family":"Pickard","given":"J D","non-dropping-particle":"","parse-names":false,"suffix":""}],"container-title":"The European journal of neuroscience","id":"ITEM-1","issue":"2","issued":{"date-parts":[["1999"]]},"page":"567-74","title":"Redefining the functional organization of working memory processes within human lateral prefrontal cortex.","type":"article-journal","volume":"11"},"uris":["http://www.mendeley.com/documents/?uuid=ca0d8c01-71c9-4b99-b758-11af791d1fea"]}],"mendeley":{"formattedCitation":"(Owen et al., 1999)","plainTextFormattedCitation":"(Owen et al., 1999)","previouslyFormattedCitation":"(Owen et al. 1999)"},"properties":{"noteIndex":0},"schema":"https://github.com/citation-style-language/schema/raw/master/csl-citation.json"}</w:instrText>
      </w:r>
      <w:r w:rsidR="00BE6DBD">
        <w:fldChar w:fldCharType="separate"/>
      </w:r>
      <w:r w:rsidR="00E67458" w:rsidRPr="00E67458">
        <w:rPr>
          <w:noProof/>
        </w:rPr>
        <w:t>(Owen et al., 1999)</w:t>
      </w:r>
      <w:r w:rsidR="00BE6DBD">
        <w:fldChar w:fldCharType="end"/>
      </w:r>
      <w:r w:rsidR="00F37CEB">
        <w:t>; and discounting, preference for  larger more advantageous delayed rewards versus smaller more immediate rewards</w:t>
      </w:r>
      <w:r w:rsidR="00BE6DBD">
        <w:t xml:space="preserve"> </w:t>
      </w:r>
      <w:r w:rsidR="00BE6DBD">
        <w:fldChar w:fldCharType="begin" w:fldLock="1"/>
      </w:r>
      <w:r w:rsidR="00E67458">
        <w:instrText>ADDIN CSL_CITATION {"citationItems":[{"id":"ITEM-1","itemData":{"DOI":"10.1016/j.paid.2010.01.019","PMID":"20224803","author":[{"dropping-particle":"","family":"Kirby","given":"Kris N","non-dropping-particle":"","parse-names":false,"suffix":""},{"dropping-particle":"","family":"Finch","given":"Julia C","non-dropping-particle":"","parse-names":false,"suffix":""}],"container-title":"Personality and individual differences","id":"ITEM-1","issue":"6","issued":{"date-parts":[["2010"]]},"page":"704-713","title":"The hierarchical structure of self-reported impulsivity.","type":"article-journal","volume":"48"},"uris":["http://www.mendeley.com/documents/?uuid=4ec6b4c8-c77e-4a57-99ca-6ee13ac9b118"]}],"mendeley":{"formattedCitation":"(Kirby &amp; Finch, 2010)","plainTextFormattedCitation":"(Kirby &amp; Finch, 2010)","previouslyFormattedCitation":"(Kirby and Finch 2010)"},"properties":{"noteIndex":0},"schema":"https://github.com/citation-style-language/schema/raw/master/csl-citation.json"}</w:instrText>
      </w:r>
      <w:r w:rsidR="00BE6DBD">
        <w:fldChar w:fldCharType="separate"/>
      </w:r>
      <w:r w:rsidR="00E67458" w:rsidRPr="00E67458">
        <w:rPr>
          <w:noProof/>
        </w:rPr>
        <w:t>(Kirby &amp; Finch, 2010)</w:t>
      </w:r>
      <w:r w:rsidR="00BE6DBD">
        <w:fldChar w:fldCharType="end"/>
      </w:r>
      <w:r w:rsidR="00F37CEB">
        <w:t>.</w:t>
      </w:r>
    </w:p>
    <w:p w14:paraId="4BA77A5A" w14:textId="77777777" w:rsidR="00BD2B09" w:rsidRDefault="00BD2B09" w:rsidP="00BD2B09">
      <w:pPr>
        <w:pStyle w:val="Heading3"/>
      </w:pPr>
      <w:r>
        <w:t>Stroop attentional inhibition</w:t>
      </w:r>
    </w:p>
    <w:p w14:paraId="730D9ABF" w14:textId="72B18A3B" w:rsidR="00BD2B09" w:rsidRDefault="00BD2B09" w:rsidP="00BD2B09">
      <w:r>
        <w:t xml:space="preserve">During the Stroop test, the presentation of incongruent stimuli (e.g. the word ‘GREEN’ in ‘red’ font) increases the executive processing burden for the brain and typically delays reaction times, compared to the response to congruent stimuli. Deficits have been demonstrated before in patients with substance misuse </w:t>
      </w:r>
      <w:r>
        <w:fldChar w:fldCharType="begin" w:fldLock="1"/>
      </w:r>
      <w:r w:rsidR="00E67458">
        <w:instrText>ADDIN CSL_CITATION {"citationItems":[{"id":"ITEM-1","itemData":{"ISSN":"1055-0887","PMID":"11831501","abstract":"Forty currently using methamphetamine (MA) abusers, 40 currently using cocaine (COC) abusers, and 80 comparison participants who did not use psychostimulants received a cognitive battery and questionnaires covering medical history and stimulant use patterns. Forty comparison participants were matched to the 40 MA users on age, education, ethnicity, and gender. The other 40 comparison participants were matched to the cocaine users on the same variables. This design was chosen because there were significant differences in age and ethnicity between COC and MA users that precluded a direct comparison between the groups. The COC group was older and predominantly African American compared to the predominantly Caucasian MA group. When compared to their matched non-using control groups, both MA and COC abusers were impaired on cognitive measures, but the type and degree of impairments were somewhat different.","author":[{"dropping-particle":"","family":"Simon","given":"Sara L","non-dropping-particle":"","parse-names":false,"suffix":""},{"dropping-particle":"","family":"Domier","given":"Catherine P","non-dropping-particle":"","parse-names":false,"suffix":""},{"dropping-particle":"","family":"Sim","given":"Tiffanie","non-dropping-particle":"","parse-names":false,"suffix":""},{"dropping-particle":"","family":"Richardson","given":"Kimberly","non-dropping-particle":"","parse-names":false,"suffix":""},{"dropping-particle":"","family":"Rawson","given":"Richard A","non-dropping-particle":"","parse-names":false,"suffix":""},{"dropping-particle":"","family":"Ling","given":"Walter","non-dropping-particle":"","parse-names":false,"suffix":""}],"container-title":"Journal of addictive diseases","id":"ITEM-1","issue":"1","issued":{"date-parts":[["2002"]]},"page":"61-74","title":"Cognitive performance of current methamphetamine and cocaine abusers.","type":"article-journal","volume":"21"},"uris":["http://www.mendeley.com/documents/?uuid=233c6b6d-3276-3042-ae8a-cb072ae3a12f"]},{"id":"ITEM-2","itemData":{"DOI":"10.1037/0894-4105.18.3.477","ISSN":"1931-1559","PMID":"15291726","abstract":"Recent studies suggest that individuals with schizophrenia show enhanced facilitation but similar interference in reaction times (RTs), compared with control participants, combined with increased error interference. This study examined the relationship between errors and RTs on the Stroop task among individuals with schizophrenia. The authors examined performance on a speeded Stroop task, designed to increase errors, in 29 individuals with schizophrenia and 29 nonpatient control participants. The authors also analyzed color-naming and word-reading estimates from process dissociation analyses. The findings suggest that a lack of increased RT interference among patients (compared with control participants) is not solely due to the increased number of errors they produce in the incongruent condition but is also influenced by a greater impact of the word even in the neutral condition.","author":[{"dropping-particle":"","family":"Barch","given":"Deanna M.","non-dropping-particle":"","parse-names":false,"suffix":""},{"dropping-particle":"","family":"Carter","given":"Cameron S.","non-dropping-particle":"","parse-names":false,"suffix":""},{"dropping-particle":"","family":"Cohen","given":"Jonathan D.","non-dropping-particle":"","parse-names":false,"suffix":""}],"container-title":"Neuropsychology","id":"ITEM-2","issue":"3","issued":{"date-parts":[["2004","7"]]},"page":"477-484","title":"Factors Influencing Stroop Performance in Schizophrenia.","type":"article-journal","volume":"18"},"uris":["http://www.mendeley.com/documents/?uuid=50316716-68f4-3c4b-a35f-c252db35f136"]}],"mendeley":{"formattedCitation":"(Barch, Carter, &amp; Cohen, 2004; Simon et al., 2002)","plainTextFormattedCitation":"(Barch, Carter, &amp; Cohen, 2004; Simon et al., 2002)","previouslyFormattedCitation":"(Barch, Carter, and Cohen 2004; Simon et al. 2002)"},"properties":{"noteIndex":0},"schema":"https://github.com/citation-style-language/schema/raw/master/csl-citation.json"}</w:instrText>
      </w:r>
      <w:r>
        <w:fldChar w:fldCharType="separate"/>
      </w:r>
      <w:r w:rsidR="00E67458" w:rsidRPr="00E67458">
        <w:rPr>
          <w:noProof/>
        </w:rPr>
        <w:t>(Barch, Carter, &amp; Cohen, 2004; Simon et al., 2002)</w:t>
      </w:r>
      <w:r>
        <w:fldChar w:fldCharType="end"/>
      </w:r>
      <w:r>
        <w:t xml:space="preserve">, among other disorders. Therefore, the preferred metric extracted from studies was the difference in reaction time between incongruent and congruent trials. Where this information was not available, the reaction time for incongruent trials was used. </w:t>
      </w:r>
    </w:p>
    <w:p w14:paraId="6BF6793C" w14:textId="77777777" w:rsidR="00BD2B09" w:rsidRDefault="00BD2B09" w:rsidP="00BD2B09">
      <w:pPr>
        <w:pStyle w:val="Heading3"/>
      </w:pPr>
      <w:r>
        <w:t>Motor Inhibitory Control</w:t>
      </w:r>
    </w:p>
    <w:p w14:paraId="6995E9B5" w14:textId="65EFC937" w:rsidR="00BD2B09" w:rsidRDefault="00BD2B09" w:rsidP="00BD2B09">
      <w:r>
        <w:t xml:space="preserve">Inhibitory control is typically examined using go/no-go tasks and Stop-signal tasks. The former examines withholding responses in response to a certain cue, whereas the latter involves inhibition of already-triggered motor responses when a ‘stop-signal’ occurs. As such each of these two task types were analysed separately. Go/no-go  tasks have shown validity as a measure of impulse control, and patients with attention-deficit hyperactivity disorder, or substance </w:t>
      </w:r>
      <w:r>
        <w:lastRenderedPageBreak/>
        <w:t xml:space="preserve">misuse have been shown to perform poorly compared to matched controls </w:t>
      </w:r>
      <w:r>
        <w:fldChar w:fldCharType="begin" w:fldLock="1"/>
      </w:r>
      <w:r w:rsidR="00E67458">
        <w:instrText>ADDIN CSL_CITATION {"citationItems":[{"id":"ITEM-1","itemData":{"DOI":"10.1177/1534582303257007","ISSN":"1534-5823","PMID":"15006292","abstract":"The author presents a selective and integrative overview of current research examining acute effects of abused drugs on aspects of behavioral control in humans. The review discusses the concept of behavioral control and reviews research models that examine inhibitory influences as a central mechanism of control. Evidence for drug-induced impairment of inhibitory mechanisms is reviewed from current neuroanatomical, neuropharmacological, and behavioral perspectives. Model-based laboratory assessments of behavioral control are described in terms of their application to behavioral pharmacology and evidence for alcohol and psychostimulant effects on basic inhibitory mechanisms is reviewed. Drug effects on inhibitory mechanisms are also discussed in terms of their relevance to higher-order cognitive and behavioral functions, and in relation to impulsive behaviors, such as drug abuse. The review concludes by identifying important drug-related phenomenon (e.g., drug tolerance, cue reactivity) that might also be studied in behavioral control frameworks in future research.","author":[{"dropping-particle":"","family":"Fillmore","given":"Mark T.","non-dropping-particle":"","parse-names":false,"suffix":""}],"container-title":"Behavioral and Cognitive Neuroscience Reviews","id":"ITEM-1","issue":"3","issued":{"date-parts":[["2003","9","18"]]},"page":"179-197","title":"Drug Abuse as a Problem of Impaired Control: Current Approaches and Findings","type":"article-journal","volume":"2"},"uris":["http://www.mendeley.com/documents/?uuid=3ee83d05-cf68-3fd4-9969-807b178c2851"]},{"id":"ITEM-2","itemData":{"DOI":"10.1016/j.drugalcdep.2010.07.027","ISSN":"03768716","PMID":"20863628","abstract":"BACKGROUND The degree to which distinct behavioral components of impulsivity predict alcohol consumption is as yet not well-understood. Further, the possibility that this relation might be more pronounced in groups characterized by heightened impulsivity (i.e., individuals with ADHD) has not been tested. METHODS The current study examined the degree to which three specific behavioral components of impulsivity (i.e., poor response inhibition, poor attentional inhibition, and increased risk-taking) were associated with quantity and frequency of alcohol consumption in a group of young adult social drinkers with ADHD (n = 33) and in a comparison control group (n = 21). Participants performed the delayed ocular return task (attentional inhibition), the cued go/no-go task (behavioral inhibition), and the balloon analogue risk task (risk-taking). RESULTS Both poor behavioral inhibition and greater risk-taking were related to greater quantity of consumption in the entire sample, whereas poor attentional inhibition was related to greater quantity specifically among those with ADHD. By contrast, only risk-taking was associated with frequency of consumption, and this was found specifically in the control group. CONCLUSIONS These findings provide important information regarding the potential role of distinct behavioral components of impulsivity in drinking behavior, and highlight unique relevance of attentional impairments to drinking behavior in those with ADHD.","author":[{"dropping-particle":"","family":"Weafer","given":"Jessica","non-dropping-particle":"","parse-names":false,"suffix":""},{"dropping-particle":"","family":"Milich","given":"Richard","non-dropping-particle":"","parse-names":false,"suffix":""},{"dropping-particle":"","family":"Fillmore","given":"Mark T.","non-dropping-particle":"","parse-names":false,"suffix":""}],"container-title":"Drug and Alcohol Dependence","id":"ITEM-2","issue":"2-3","issued":{"date-parts":[["2011","1","15"]]},"page":"139-146","title":"Behavioral components of impulsivity predict alcohol consumption in adults with ADHD and healthy controls","type":"article-journal","volume":"113"},"uris":["http://www.mendeley.com/documents/?uuid=4e2b3ac9-9285-343a-88f1-8b520d92e731"]}],"mendeley":{"formattedCitation":"(Fillmore, 2003; Weafer, Milich, &amp; Fillmore, 2011)","plainTextFormattedCitation":"(Fillmore, 2003; Weafer, Milich, &amp; Fillmore, 2011)","previouslyFormattedCitation":"(Fillmore 2003; Weafer, Milich, and Fillmore 2011)"},"properties":{"noteIndex":0},"schema":"https://github.com/citation-style-language/schema/raw/master/csl-citation.json"}</w:instrText>
      </w:r>
      <w:r>
        <w:fldChar w:fldCharType="separate"/>
      </w:r>
      <w:r w:rsidR="00E67458" w:rsidRPr="00E67458">
        <w:rPr>
          <w:noProof/>
        </w:rPr>
        <w:t>(Fillmore, 2003; Weafer, Milich, &amp; Fillmore, 2011)</w:t>
      </w:r>
      <w:r>
        <w:fldChar w:fldCharType="end"/>
      </w:r>
      <w:r>
        <w:t xml:space="preserve">. For go/no-go tasks, inhibitory control is typically indexed by commission errors and this was the outcome measure of choice. The Stop-signal Task is a valid cognitive test to assess top-down inhibitory control performance </w:t>
      </w:r>
      <w:r>
        <w:fldChar w:fldCharType="begin" w:fldLock="1"/>
      </w:r>
      <w:r w:rsidR="00E67458">
        <w:instrText>ADDIN CSL_CITATION {"citationItems":[{"id":"ITEM-1","itemData":{"DOI":"10.1016/j.tics.2008.07.005","ISSN":"1364-6613","PMID":"18799345","abstract":"Response inhibition is a hallmark of executive control. The concept refers to the suppression of actions that are no longer required or that are inappropriate, which supports flexible and goal-directed behavior in ever-changing environments. The stop-signal paradigm is most suitable for the study of response inhibition in a laboratory setting. The paradigm has become increasingly popular in cognitive psychology, cognitive neuroscience and psychopathology. We review recent findings in the stop-signal literature with the specific aim of demonstrating how each of these different fields contributes to a better understanding of the processes involved in inhibiting a response and monitoring stopping performance, and more generally, discovering how behavior is controlled.","author":[{"dropping-particle":"","family":"Verbruggen","given":"Frederick","non-dropping-particle":"","parse-names":false,"suffix":""},{"dropping-particle":"","family":"Logan","given":"Gordon D","non-dropping-particle":"","parse-names":false,"suffix":""}],"container-title":"Trends in cognitive sciences","id":"ITEM-1","issue":"11","issued":{"date-parts":[["2008","11"]]},"page":"418-24","publisher":"NIH Public Access","title":"Response inhibition in the stop-signal paradigm.","type":"article-journal","volume":"12"},"uris":["http://www.mendeley.com/documents/?uuid=392c268e-3025-3955-8c05-cfb0de9df083"]}],"mendeley":{"formattedCitation":"(Verbruggen &amp; Logan, 2008)","plainTextFormattedCitation":"(Verbruggen &amp; Logan, 2008)","previouslyFormattedCitation":"(Verbruggen and Logan 2008)"},"properties":{"noteIndex":0},"schema":"https://github.com/citation-style-language/schema/raw/master/csl-citation.json"}</w:instrText>
      </w:r>
      <w:r>
        <w:fldChar w:fldCharType="separate"/>
      </w:r>
      <w:r w:rsidR="00E67458" w:rsidRPr="00E67458">
        <w:rPr>
          <w:noProof/>
        </w:rPr>
        <w:t>(Verbruggen &amp; Logan, 2008)</w:t>
      </w:r>
      <w:r>
        <w:fldChar w:fldCharType="end"/>
      </w:r>
      <w:r>
        <w:t xml:space="preserve">. Impulse control disorders, ADHD, compulsive spectrum disorders and substance misuse have been associated with deficits in motor response inhibition </w:t>
      </w:r>
      <w:r>
        <w:fldChar w:fldCharType="begin" w:fldLock="1"/>
      </w:r>
      <w:r w:rsidR="00E67458">
        <w:instrText>ADDIN CSL_CITATION {"citationItems":[{"id":"ITEM-1","itemData":{"DOI":"10.1016/j.biopsych.2007.11.014","ISSN":"1873-2402","PMID":"18194683","author":[{"dropping-particle":"","family":"Torregrossa","given":"Mary M","non-dropping-particle":"","parse-names":false,"suffix":""},{"dropping-particle":"","family":"Quinn","given":"Jennifer J","non-dropping-particle":"","parse-names":false,"suffix":""},{"dropping-particle":"","family":"Taylor","given":"Jane R","non-dropping-particle":"","parse-names":false,"suffix":""}],"container-title":"Biological psychiatry","id":"ITEM-1","issue":"3","issued":{"date-parts":[["2008","2","1"]]},"page":"253-5","publisher":"NIH Public Access","title":"Impulsivity, compulsivity, and habit: the role of orbitofrontal cortex revisited.","type":"article-journal","volume":"63"},"uris":["http://www.mendeley.com/documents/?uuid=877dced0-fca6-3962-8bbf-619abb2c1040"]}],"mendeley":{"formattedCitation":"(Torregrossa, Quinn, &amp; Taylor, 2008)","plainTextFormattedCitation":"(Torregrossa, Quinn, &amp; Taylor, 2008)","previouslyFormattedCitation":"(Torregrossa, Quinn, and Taylor 2008)"},"properties":{"noteIndex":0},"schema":"https://github.com/citation-style-language/schema/raw/master/csl-citation.json"}</w:instrText>
      </w:r>
      <w:r>
        <w:fldChar w:fldCharType="separate"/>
      </w:r>
      <w:r w:rsidR="00E67458" w:rsidRPr="00E67458">
        <w:rPr>
          <w:noProof/>
        </w:rPr>
        <w:t>(Torregrossa, Quinn, &amp; Taylor, 2008)</w:t>
      </w:r>
      <w:r>
        <w:fldChar w:fldCharType="end"/>
      </w:r>
      <w:r>
        <w:t>. The preferred metric used in the meta-analysis was the stop-signal reaction time, which is a</w:t>
      </w:r>
      <w:r w:rsidRPr="006E3190">
        <w:t xml:space="preserve"> measure of time taken to suppress a response that would normally be made.</w:t>
      </w:r>
    </w:p>
    <w:p w14:paraId="3733A8C9" w14:textId="77777777" w:rsidR="00BD2B09" w:rsidRDefault="00BD2B09" w:rsidP="00BD2B09">
      <w:pPr>
        <w:pStyle w:val="Heading3"/>
      </w:pPr>
      <w:r>
        <w:t>Decision-making</w:t>
      </w:r>
    </w:p>
    <w:p w14:paraId="53DEED4D" w14:textId="67F49030" w:rsidR="00BD2B09" w:rsidRDefault="00BD2B09" w:rsidP="00BD2B09">
      <w:r>
        <w:t xml:space="preserve">Decision-making is an executive function cognitive domain which can be assessed by a wide variety of cognitive performance tests. We included in the meta-analysis papers that used decision making tasks e.g. the Cambridge Gambling task </w:t>
      </w:r>
      <w:r>
        <w:fldChar w:fldCharType="begin" w:fldLock="1"/>
      </w:r>
      <w:r w:rsidR="00E67458">
        <w:instrText>ADDIN CSL_CITATION {"citationItems":[{"id":"ITEM-1","itemData":{"DOI":"10.1017/S1092852917000037","ISBN":"1092852917000","ISSN":"1092-8529","PMID":"28893336","author":[{"dropping-particle":"","family":"Chamberlain","given":"Samuel R.","non-dropping-particle":"","parse-names":false,"suffix":""},{"dropping-particle":"","family":"Redden","given":"Sarah A.","non-dropping-particle":"","parse-names":false,"suffix":""},{"dropping-particle":"","family":"Leppink","given":"Eric","non-dropping-particle":"","parse-names":false,"suffix":""},{"dropping-particle":"","family":"Grant","given":"Jon E.","non-dropping-particle":"","parse-names":false,"suffix":""}],"container-title":"CNS Spectrums","id":"ITEM-1","issued":{"date-parts":[["2017"]]},"page":"1-9","title":"Problematic internet use in gamblers: impact on clinical and cognitive measures","type":"article-journal"},"uris":["http://www.mendeley.com/documents/?uuid=c18dd242-85f8-48de-8954-2c10468d160d"]}],"mendeley":{"formattedCitation":"(Chamberlain et al., 2017)","plainTextFormattedCitation":"(Chamberlain et al., 2017)","previouslyFormattedCitation":"(Chamberlain et al. 2017)"},"properties":{"noteIndex":0},"schema":"https://github.com/citation-style-language/schema/raw/master/csl-citation.json"}</w:instrText>
      </w:r>
      <w:r>
        <w:fldChar w:fldCharType="separate"/>
      </w:r>
      <w:r w:rsidR="00E67458" w:rsidRPr="00E67458">
        <w:rPr>
          <w:noProof/>
        </w:rPr>
        <w:t>(Chamberlain et al., 2017)</w:t>
      </w:r>
      <w:r>
        <w:fldChar w:fldCharType="end"/>
      </w:r>
      <w:r>
        <w:t xml:space="preserve">, the Iowa Gambling Task </w:t>
      </w:r>
      <w:r>
        <w:fldChar w:fldCharType="begin" w:fldLock="1"/>
      </w:r>
      <w:r w:rsidR="00E67458">
        <w:instrText>ADDIN CSL_CITATION {"citationItems":[{"id":"ITEM-1","itemData":{"ISSN":"0010-0277","PMID":"8039375","abstract":"Following damage to the ventromedial prefrontal cortex, humans develop a defect in real-life decision-making, which contrasts with otherwise normal intellectual functions. Currently, there is no neuropsychological probe to detect in the laboratory, and the cognitive and neural mechanisms responsible for this defect have resisted explanation. Here, using a novel task which simulates real-life decision-making in the way it factors uncertainty of premises and outcomes, as well as reward and punishment, we find that prefrontal patients, unlike controls, are oblivious to the future consequences of their actions, and seem to be guided by immediate prospects only. This finding offers, for the first time, the possibility of detecting these patients' elusive impairment in the laboratory, measuring it, and investigating its possible causes.","author":[{"dropping-particle":"","family":"Bechara","given":"A","non-dropping-particle":"","parse-names":false,"suffix":""},{"dropping-particle":"","family":"Damasio","given":"A R","non-dropping-particle":"","parse-names":false,"suffix":""},{"dropping-particle":"","family":"Damasio","given":"H","non-dropping-particle":"","parse-names":false,"suffix":""},{"dropping-particle":"","family":"Anderson","given":"S W","non-dropping-particle":"","parse-names":false,"suffix":""}],"container-title":"Cognition","id":"ITEM-1","issue":"1-3","issued":{"date-parts":[["1994"]]},"page":"7-15","title":"Insensitivity to future consequences following damage to human prefrontal cortex.","type":"article-journal","volume":"50"},"uris":["http://www.mendeley.com/documents/?uuid=69dba5ee-27c0-3a05-84ce-575ea966e55f"]}],"mendeley":{"formattedCitation":"(Bechara, Damasio, Damasio, &amp; Anderson, 1994)","plainTextFormattedCitation":"(Bechara, Damasio, Damasio, &amp; Anderson, 1994)","previouslyFormattedCitation":"(Bechara et al. 1994)"},"properties":{"noteIndex":0},"schema":"https://github.com/citation-style-language/schema/raw/master/csl-citation.json"}</w:instrText>
      </w:r>
      <w:r>
        <w:fldChar w:fldCharType="separate"/>
      </w:r>
      <w:r w:rsidR="00E67458" w:rsidRPr="00E67458">
        <w:rPr>
          <w:noProof/>
        </w:rPr>
        <w:t>(Bechara, Damasio, Damasio, &amp; Anderson, 1994)</w:t>
      </w:r>
      <w:r>
        <w:fldChar w:fldCharType="end"/>
      </w:r>
      <w:r>
        <w:t xml:space="preserve">, the Game of Dice Task </w:t>
      </w:r>
      <w:r>
        <w:fldChar w:fldCharType="begin" w:fldLock="1"/>
      </w:r>
      <w:r w:rsidR="00E67458">
        <w:instrText>ADDIN CSL_CITATION {"citationItems":[{"id":"ITEM-1","itemData":{"DOI":"10.1080/13803390500507196","ISSN":"1380-3395","PMID":"17162725","abstract":"We conducted two experiments with healthy subjects to investigate the possible relationships between Iowa Gambling Task (IGT) performance and executive functions as well as IGT performance and decision-making in a task with explicit rules, the Game of Dice Task (GDT). Results indicated that only the last trials of the IGT were correlated with executive functions and GDT performance. We suggest that the IGT taps into two mechanisms of decision-making: decisions under ambiguity in the first trials and decisions under risk in the latter trials. Results have impact on the interpretation of deficient IGT performance in patients with frontal lobe dysfunctions.","author":[{"dropping-particle":"","family":"Brand","given":"Matthias","non-dropping-particle":"","parse-names":false,"suffix":""},{"dropping-particle":"","family":"Recknor","given":"Emily C.","non-dropping-particle":"","parse-names":false,"suffix":""},{"dropping-particle":"","family":"Grabenhorst","given":"Fabian","non-dropping-particle":"","parse-names":false,"suffix":""},{"dropping-particle":"","family":"Bechara","given":"Antoine","non-dropping-particle":"","parse-names":false,"suffix":""}],"container-title":"Journal of Clinical and Experimental Neuropsychology","id":"ITEM-1","issue":"1","issued":{"date-parts":[["2007","1","10"]]},"page":"86-99","title":"Decisions under ambiguity and decisions under risk: Correlations with executive functions and comparisons of two different gambling tasks with implicit and explicit rules","type":"article-journal","volume":"29"},"uris":["http://www.mendeley.com/documents/?uuid=77a1c257-5e0c-396d-8be5-5779ee84c52a"]}],"mendeley":{"formattedCitation":"(Brand, Recknor, Grabenhorst, &amp; Bechara, 2007)","plainTextFormattedCitation":"(Brand, Recknor, Grabenhorst, &amp; Bechara, 2007)","previouslyFormattedCitation":"(Brand et al. 2007)"},"properties":{"noteIndex":0},"schema":"https://github.com/citation-style-language/schema/raw/master/csl-citation.json"}</w:instrText>
      </w:r>
      <w:r>
        <w:fldChar w:fldCharType="separate"/>
      </w:r>
      <w:r w:rsidR="00E67458" w:rsidRPr="00E67458">
        <w:rPr>
          <w:noProof/>
        </w:rPr>
        <w:t>(Brand, Recknor, Grabenhorst, &amp; Bechara, 2007)</w:t>
      </w:r>
      <w:r>
        <w:fldChar w:fldCharType="end"/>
      </w:r>
      <w:r>
        <w:t xml:space="preserve"> and the </w:t>
      </w:r>
      <w:r w:rsidRPr="00440EE7">
        <w:t>balloon</w:t>
      </w:r>
      <w:r>
        <w:t xml:space="preserve"> </w:t>
      </w:r>
      <w:r w:rsidRPr="00440EE7">
        <w:t>analog</w:t>
      </w:r>
      <w:r>
        <w:t xml:space="preserve">ue </w:t>
      </w:r>
      <w:r w:rsidRPr="00440EE7">
        <w:t>risk</w:t>
      </w:r>
      <w:r>
        <w:t xml:space="preserve"> </w:t>
      </w:r>
      <w:r w:rsidRPr="00440EE7">
        <w:t>task</w:t>
      </w:r>
      <w:r>
        <w:t xml:space="preserve"> </w:t>
      </w:r>
      <w:r w:rsidRPr="00440EE7">
        <w:t>(BART)</w:t>
      </w:r>
      <w:r>
        <w:t xml:space="preserve"> </w:t>
      </w:r>
      <w:r>
        <w:fldChar w:fldCharType="begin" w:fldLock="1"/>
      </w:r>
      <w:r w:rsidR="00E67458">
        <w:instrText>ADDIN CSL_CITATION {"citationItems":[{"id":"ITEM-1","itemData":{"DOI":"10.1037/1076-898X.8.2.75","ISSN":"1939-2192","author":[{"dropping-particle":"","family":"Lejuez","given":"C. W.","non-dropping-particle":"","parse-names":false,"suffix":""},{"dropping-particle":"","family":"Read","given":"Jennifer P.","non-dropping-particle":"","parse-names":false,"suffix":""},{"dropping-particle":"","family":"Kahler","given":"Christopher W.","non-dropping-particle":"","parse-names":false,"suffix":""},{"dropping-particle":"","family":"Richards","given":"Jerry B.","non-dropping-particle":"","parse-names":false,"suffix":""},{"dropping-particle":"","family":"Ramsey","given":"Susan E.","non-dropping-particle":"","parse-names":false,"suffix":""},{"dropping-particle":"","family":"Stuart","given":"Gregory L.","non-dropping-particle":"","parse-names":false,"suffix":""},{"dropping-particle":"","family":"Strong","given":"David R.","non-dropping-particle":"","parse-names":false,"suffix":""},{"dropping-particle":"","family":"Brown","given":"Richard A.","non-dropping-particle":"","parse-names":false,"suffix":""}],"container-title":"Journal of Experimental Psychology: Applied","id":"ITEM-1","issue":"2","issued":{"date-parts":[["2002"]]},"page":"75-84","title":"Evaluation of a behavioral measure of risk taking: The Balloon Analogue Risk Task (BART).","type":"article-journal","volume":"8"},"uris":["http://www.mendeley.com/documents/?uuid=5e8f6d44-e2ec-3c61-8ba8-04788eff4ede"]}],"mendeley":{"formattedCitation":"(Lejuez et al., 2002)","plainTextFormattedCitation":"(Lejuez et al., 2002)","previouslyFormattedCitation":"(Lejuez et al. 2002)"},"properties":{"noteIndex":0},"schema":"https://github.com/citation-style-language/schema/raw/master/csl-citation.json"}</w:instrText>
      </w:r>
      <w:r>
        <w:fldChar w:fldCharType="separate"/>
      </w:r>
      <w:r w:rsidR="00E67458" w:rsidRPr="00E67458">
        <w:rPr>
          <w:noProof/>
        </w:rPr>
        <w:t>(Lejuez et al., 2002)</w:t>
      </w:r>
      <w:r>
        <w:fldChar w:fldCharType="end"/>
      </w:r>
      <w:r>
        <w:t>.</w:t>
      </w:r>
    </w:p>
    <w:p w14:paraId="2A428B59" w14:textId="77777777" w:rsidR="00BD2B09" w:rsidRDefault="00BD2B09" w:rsidP="00BD2B09">
      <w:pPr>
        <w:pStyle w:val="Heading3"/>
      </w:pPr>
      <w:r>
        <w:t>Working memory</w:t>
      </w:r>
    </w:p>
    <w:p w14:paraId="55E8B025" w14:textId="254F4A80" w:rsidR="00BD2B09" w:rsidRDefault="00BD2B09" w:rsidP="00BD2B09">
      <w:r>
        <w:t xml:space="preserve">Working memory has been assessed using a spatial working memory task and an arithmetic working memory paradigm (digit span test). Working memory deficits have been demonstrated in patients with affective disorders </w:t>
      </w:r>
      <w:r>
        <w:fldChar w:fldCharType="begin" w:fldLock="1"/>
      </w:r>
      <w:r w:rsidR="00E67458">
        <w:instrText>ADDIN CSL_CITATION {"citationItems":[{"id":"ITEM-1","itemData":{"ISSN":"0006-3223","PMID":"11032979","abstract":"BACKGROUND Cognitive deficits associated with mood disorders, especially bipolar disorder, have been the focus of limited systematic investigation. METHODS We tested 35 bipolar (21 in depressed state and 14 in mixed or manic state) and 58 nonbipolar depressed consecutively admitted young adult inpatients and 51 matched healthy individuals on the Cambridge Neuropsychological Test Automated Battery, a computerized neurocognitive battery. RESULTS The mixed/manic bipolar patients demonstrated robust deficits in episodic and working memory, spatial attention, and problem solving. In contrast, depressed bipolar and nonbipolar patients demonstrated impairments only in episodic memory. CONCLUSIONS Neuropsychologic findings with the Cambridge Neuropsychological Test Automated Battery indicate widely distributed deficits in cognitive domains subserved by temporal, parietal, and frontostriatal systems in bipolar patients during mixed/manic states of illness. Significant deficits in bipolar and nonbipolar depressed patients were restricted to episodic memory, suggesting a more selective dysfunction in mesial temporal lobe function during episodes of depression. These findings highlight the different cognitive profiles of mania and depression, demonstrate similar patterns of neuropsychologic deficits in bipolar and nonbipolar depression, and point to a need for further research investigating the characteristics, causes, course, and treatment of severe cognitive deficits associated with mixed/manic phases of bipolar disorder.","author":[{"dropping-particle":"","family":"Sweeney","given":"J A","non-dropping-particle":"","parse-names":false,"suffix":""},{"dropping-particle":"","family":"Kmiec","given":"J A","non-dropping-particle":"","parse-names":false,"suffix":""},{"dropping-particle":"","family":"Kupfer","given":"D J","non-dropping-particle":"","parse-names":false,"suffix":""}],"container-title":"Biological psychiatry","id":"ITEM-1","issue":"7","issued":{"date-parts":[["2000","10","1"]]},"page":"674-84","title":"Neuropsychologic impairments in bipolar and unipolar mood disorders on the CANTAB neurocognitive battery.","type":"article-journal","volume":"48"},"uris":["http://www.mendeley.com/documents/?uuid=980c8a06-5c92-3dd0-8547-65252aa0382c"]}],"mendeley":{"formattedCitation":"(Sweeney, Kmiec, &amp; Kupfer, 2000)","plainTextFormattedCitation":"(Sweeney, Kmiec, &amp; Kupfer, 2000)","previouslyFormattedCitation":"(Sweeney, Kmiec, and Kupfer 2000)"},"properties":{"noteIndex":0},"schema":"https://github.com/citation-style-language/schema/raw/master/csl-citation.json"}</w:instrText>
      </w:r>
      <w:r>
        <w:fldChar w:fldCharType="separate"/>
      </w:r>
      <w:r w:rsidR="00E67458" w:rsidRPr="00E67458">
        <w:rPr>
          <w:noProof/>
        </w:rPr>
        <w:t>(Sweeney, Kmiec, &amp; Kupfer, 2000)</w:t>
      </w:r>
      <w:r>
        <w:fldChar w:fldCharType="end"/>
      </w:r>
      <w:r>
        <w:t>, among others. The metric used in the meta-analysis, where available was backward digit span (for the arithmetic paradigm) and total errors (for spatial working memory).</w:t>
      </w:r>
    </w:p>
    <w:p w14:paraId="5ABA5AF9" w14:textId="77777777" w:rsidR="00BD2B09" w:rsidRDefault="00BD2B09" w:rsidP="00BD2B09">
      <w:pPr>
        <w:pStyle w:val="Heading3"/>
      </w:pPr>
      <w:r>
        <w:t>Discounting</w:t>
      </w:r>
    </w:p>
    <w:p w14:paraId="3A40F300" w14:textId="77777777" w:rsidR="00BD2B09" w:rsidRDefault="00BD2B09" w:rsidP="00BD2B09">
      <w:r>
        <w:t>Discounting tasks examine whether participants prefer a smaller more immediate reward rather than a larger delayed reward. There were four studies in scope, however, due to limitations which are discussed in detail in the online supplement, the results presented</w:t>
      </w:r>
      <w:r w:rsidRPr="001533B1">
        <w:t xml:space="preserve"> </w:t>
      </w:r>
      <w:r>
        <w:t xml:space="preserve">separately (Supplementary Figures S1 &amp; S2).   </w:t>
      </w:r>
    </w:p>
    <w:sectPr w:rsidR="00BD2B09" w:rsidSect="00FE07DA">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7B5A3" w14:textId="77777777" w:rsidR="00EB211D" w:rsidRDefault="00EB211D" w:rsidP="00AA5318">
      <w:pPr>
        <w:spacing w:after="0" w:line="240" w:lineRule="auto"/>
      </w:pPr>
      <w:r>
        <w:separator/>
      </w:r>
    </w:p>
  </w:endnote>
  <w:endnote w:type="continuationSeparator" w:id="0">
    <w:p w14:paraId="71A7EFAB" w14:textId="77777777" w:rsidR="00EB211D" w:rsidRDefault="00EB211D" w:rsidP="00AA5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7C996" w14:textId="77777777" w:rsidR="00EB211D" w:rsidRDefault="00EB211D" w:rsidP="00AA5318">
      <w:pPr>
        <w:spacing w:after="0" w:line="240" w:lineRule="auto"/>
      </w:pPr>
      <w:r>
        <w:separator/>
      </w:r>
    </w:p>
  </w:footnote>
  <w:footnote w:type="continuationSeparator" w:id="0">
    <w:p w14:paraId="04CD6A39" w14:textId="77777777" w:rsidR="00EB211D" w:rsidRDefault="00EB211D" w:rsidP="00AA5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8AE17" w14:textId="77777777" w:rsidR="00E21374" w:rsidRPr="00BE018B" w:rsidRDefault="00E21374" w:rsidP="00AA5318">
    <w:pPr>
      <w:pStyle w:val="Heading2"/>
      <w:jc w:val="center"/>
      <w:rPr>
        <w:sz w:val="20"/>
      </w:rPr>
    </w:pPr>
    <w:r>
      <w:rPr>
        <w:sz w:val="20"/>
      </w:rPr>
      <w:t xml:space="preserve">ONLINE SUPPLEMENT - </w:t>
    </w:r>
    <w:r w:rsidRPr="00BE018B">
      <w:rPr>
        <w:sz w:val="20"/>
      </w:rPr>
      <w:t xml:space="preserve">COGNITIVE DEFICITS OF </w:t>
    </w:r>
    <w:r>
      <w:rPr>
        <w:sz w:val="20"/>
      </w:rPr>
      <w:t>PROBLEMATIC INTERNET USE</w:t>
    </w:r>
    <w:r w:rsidRPr="00BE018B">
      <w:rPr>
        <w:sz w:val="20"/>
      </w:rPr>
      <w:t>: A META-ANALYSIS</w:t>
    </w:r>
  </w:p>
  <w:p w14:paraId="4CABAA6E" w14:textId="77777777" w:rsidR="00E21374" w:rsidRDefault="00E213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18"/>
    <w:rsid w:val="00030922"/>
    <w:rsid w:val="000419D9"/>
    <w:rsid w:val="00095B79"/>
    <w:rsid w:val="000E1816"/>
    <w:rsid w:val="000F1D77"/>
    <w:rsid w:val="00101C9E"/>
    <w:rsid w:val="0012234A"/>
    <w:rsid w:val="00143CCA"/>
    <w:rsid w:val="001D3D72"/>
    <w:rsid w:val="002848BB"/>
    <w:rsid w:val="00292493"/>
    <w:rsid w:val="002D3391"/>
    <w:rsid w:val="002D5BE2"/>
    <w:rsid w:val="002E1969"/>
    <w:rsid w:val="00320916"/>
    <w:rsid w:val="00337107"/>
    <w:rsid w:val="00345AB8"/>
    <w:rsid w:val="00412FEC"/>
    <w:rsid w:val="00415B3C"/>
    <w:rsid w:val="00450A4F"/>
    <w:rsid w:val="00480712"/>
    <w:rsid w:val="00481841"/>
    <w:rsid w:val="0049395B"/>
    <w:rsid w:val="004A4B75"/>
    <w:rsid w:val="004B18CF"/>
    <w:rsid w:val="004B385A"/>
    <w:rsid w:val="004D45E8"/>
    <w:rsid w:val="00500CBA"/>
    <w:rsid w:val="00536865"/>
    <w:rsid w:val="00562424"/>
    <w:rsid w:val="00567873"/>
    <w:rsid w:val="005C757D"/>
    <w:rsid w:val="00627C0D"/>
    <w:rsid w:val="006D6F15"/>
    <w:rsid w:val="006E5EF8"/>
    <w:rsid w:val="00712C39"/>
    <w:rsid w:val="00751976"/>
    <w:rsid w:val="00770438"/>
    <w:rsid w:val="007A2FB9"/>
    <w:rsid w:val="007F6ADF"/>
    <w:rsid w:val="00865A76"/>
    <w:rsid w:val="008C2128"/>
    <w:rsid w:val="008E6072"/>
    <w:rsid w:val="008F3579"/>
    <w:rsid w:val="00902219"/>
    <w:rsid w:val="00931B54"/>
    <w:rsid w:val="00950B7D"/>
    <w:rsid w:val="00956BE1"/>
    <w:rsid w:val="009A7CFE"/>
    <w:rsid w:val="009F1888"/>
    <w:rsid w:val="00A00E5B"/>
    <w:rsid w:val="00A1225C"/>
    <w:rsid w:val="00A8341A"/>
    <w:rsid w:val="00AA5318"/>
    <w:rsid w:val="00AB7EA2"/>
    <w:rsid w:val="00B0569A"/>
    <w:rsid w:val="00B755B9"/>
    <w:rsid w:val="00B810F8"/>
    <w:rsid w:val="00B9679E"/>
    <w:rsid w:val="00BD2B09"/>
    <w:rsid w:val="00BD49BD"/>
    <w:rsid w:val="00BD7128"/>
    <w:rsid w:val="00BE6DBD"/>
    <w:rsid w:val="00C07D7C"/>
    <w:rsid w:val="00CB212E"/>
    <w:rsid w:val="00D0100C"/>
    <w:rsid w:val="00D01269"/>
    <w:rsid w:val="00D34991"/>
    <w:rsid w:val="00D667A2"/>
    <w:rsid w:val="00DA7A48"/>
    <w:rsid w:val="00DC544D"/>
    <w:rsid w:val="00DE6033"/>
    <w:rsid w:val="00DF16C3"/>
    <w:rsid w:val="00E21374"/>
    <w:rsid w:val="00E333A2"/>
    <w:rsid w:val="00E35B76"/>
    <w:rsid w:val="00E53876"/>
    <w:rsid w:val="00E67458"/>
    <w:rsid w:val="00EB211D"/>
    <w:rsid w:val="00EC410D"/>
    <w:rsid w:val="00F20DF5"/>
    <w:rsid w:val="00F37CEB"/>
    <w:rsid w:val="00F94079"/>
    <w:rsid w:val="00FE07DA"/>
    <w:rsid w:val="00FF2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C7798"/>
  <w15:docId w15:val="{89471326-D7ED-4D04-A720-50A5B91D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7DA"/>
    <w:pPr>
      <w:spacing w:line="480" w:lineRule="auto"/>
      <w:jc w:val="both"/>
    </w:pPr>
  </w:style>
  <w:style w:type="paragraph" w:styleId="Heading1">
    <w:name w:val="heading 1"/>
    <w:basedOn w:val="Normal"/>
    <w:next w:val="Normal"/>
    <w:link w:val="Heading1Char"/>
    <w:uiPriority w:val="9"/>
    <w:qFormat/>
    <w:rsid w:val="00A00E5B"/>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unhideWhenUsed/>
    <w:qFormat/>
    <w:rsid w:val="00AA5318"/>
    <w:pPr>
      <w:keepNext/>
      <w:keepLines/>
      <w:spacing w:before="16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75197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318"/>
  </w:style>
  <w:style w:type="paragraph" w:styleId="Footer">
    <w:name w:val="footer"/>
    <w:basedOn w:val="Normal"/>
    <w:link w:val="FooterChar"/>
    <w:uiPriority w:val="99"/>
    <w:unhideWhenUsed/>
    <w:rsid w:val="00AA5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318"/>
  </w:style>
  <w:style w:type="character" w:customStyle="1" w:styleId="Heading2Char">
    <w:name w:val="Heading 2 Char"/>
    <w:basedOn w:val="DefaultParagraphFont"/>
    <w:link w:val="Heading2"/>
    <w:uiPriority w:val="9"/>
    <w:rsid w:val="00AA5318"/>
    <w:rPr>
      <w:rFonts w:asciiTheme="majorHAnsi" w:eastAsiaTheme="majorEastAsia" w:hAnsiTheme="majorHAnsi" w:cstheme="majorBidi"/>
      <w:b/>
      <w:sz w:val="26"/>
      <w:szCs w:val="26"/>
    </w:rPr>
  </w:style>
  <w:style w:type="table" w:styleId="TableGrid">
    <w:name w:val="Table Grid"/>
    <w:basedOn w:val="TableNormal"/>
    <w:uiPriority w:val="39"/>
    <w:rsid w:val="00FE0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5197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A00E5B"/>
    <w:rPr>
      <w:rFonts w:asciiTheme="majorHAnsi" w:eastAsiaTheme="majorEastAsia" w:hAnsiTheme="majorHAnsi" w:cstheme="majorBidi"/>
      <w:b/>
      <w:color w:val="000000" w:themeColor="text1"/>
      <w:sz w:val="28"/>
      <w:szCs w:val="32"/>
    </w:rPr>
  </w:style>
  <w:style w:type="paragraph" w:styleId="BalloonText">
    <w:name w:val="Balloon Text"/>
    <w:basedOn w:val="Normal"/>
    <w:link w:val="BalloonTextChar"/>
    <w:uiPriority w:val="99"/>
    <w:semiHidden/>
    <w:unhideWhenUsed/>
    <w:rsid w:val="00BD2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B09"/>
    <w:rPr>
      <w:rFonts w:ascii="Tahoma" w:hAnsi="Tahoma" w:cs="Tahoma"/>
      <w:sz w:val="16"/>
      <w:szCs w:val="16"/>
    </w:rPr>
  </w:style>
  <w:style w:type="character" w:styleId="CommentReference">
    <w:name w:val="annotation reference"/>
    <w:basedOn w:val="DefaultParagraphFont"/>
    <w:uiPriority w:val="99"/>
    <w:semiHidden/>
    <w:unhideWhenUsed/>
    <w:rsid w:val="00BD2B09"/>
    <w:rPr>
      <w:sz w:val="16"/>
      <w:szCs w:val="16"/>
    </w:rPr>
  </w:style>
  <w:style w:type="paragraph" w:styleId="CommentText">
    <w:name w:val="annotation text"/>
    <w:basedOn w:val="Normal"/>
    <w:link w:val="CommentTextChar"/>
    <w:uiPriority w:val="99"/>
    <w:semiHidden/>
    <w:unhideWhenUsed/>
    <w:rsid w:val="00BD2B09"/>
    <w:pPr>
      <w:spacing w:line="240" w:lineRule="auto"/>
    </w:pPr>
    <w:rPr>
      <w:sz w:val="20"/>
      <w:szCs w:val="20"/>
    </w:rPr>
  </w:style>
  <w:style w:type="character" w:customStyle="1" w:styleId="CommentTextChar">
    <w:name w:val="Comment Text Char"/>
    <w:basedOn w:val="DefaultParagraphFont"/>
    <w:link w:val="CommentText"/>
    <w:uiPriority w:val="99"/>
    <w:semiHidden/>
    <w:rsid w:val="00BD2B09"/>
    <w:rPr>
      <w:sz w:val="20"/>
      <w:szCs w:val="20"/>
    </w:rPr>
  </w:style>
  <w:style w:type="paragraph" w:styleId="CommentSubject">
    <w:name w:val="annotation subject"/>
    <w:basedOn w:val="CommentText"/>
    <w:next w:val="CommentText"/>
    <w:link w:val="CommentSubjectChar"/>
    <w:uiPriority w:val="99"/>
    <w:semiHidden/>
    <w:unhideWhenUsed/>
    <w:rsid w:val="00BD2B09"/>
    <w:rPr>
      <w:b/>
      <w:bCs/>
    </w:rPr>
  </w:style>
  <w:style w:type="character" w:customStyle="1" w:styleId="CommentSubjectChar">
    <w:name w:val="Comment Subject Char"/>
    <w:basedOn w:val="CommentTextChar"/>
    <w:link w:val="CommentSubject"/>
    <w:uiPriority w:val="99"/>
    <w:semiHidden/>
    <w:rsid w:val="00BD2B09"/>
    <w:rPr>
      <w:b/>
      <w:bCs/>
      <w:sz w:val="20"/>
      <w:szCs w:val="20"/>
    </w:rPr>
  </w:style>
  <w:style w:type="character" w:styleId="Hyperlink">
    <w:name w:val="Hyperlink"/>
    <w:basedOn w:val="DefaultParagraphFont"/>
    <w:uiPriority w:val="99"/>
    <w:unhideWhenUsed/>
    <w:rsid w:val="00F37CEB"/>
    <w:rPr>
      <w:color w:val="0563C1" w:themeColor="hyperlink"/>
      <w:u w:val="single"/>
    </w:rPr>
  </w:style>
  <w:style w:type="character" w:customStyle="1" w:styleId="highlight">
    <w:name w:val="highlight"/>
    <w:basedOn w:val="DefaultParagraphFont"/>
    <w:rsid w:val="00F37CEB"/>
  </w:style>
  <w:style w:type="character" w:customStyle="1" w:styleId="ui-ncbitoggler-master-text">
    <w:name w:val="ui-ncbitoggler-master-text"/>
    <w:basedOn w:val="DefaultParagraphFont"/>
    <w:rsid w:val="00F37CEB"/>
  </w:style>
  <w:style w:type="paragraph" w:customStyle="1" w:styleId="Title1">
    <w:name w:val="Title1"/>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esc">
    <w:name w:val="desc"/>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etails">
    <w:name w:val="details"/>
    <w:basedOn w:val="Normal"/>
    <w:rsid w:val="00F37CE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jrnl">
    <w:name w:val="jrnl"/>
    <w:basedOn w:val="DefaultParagraphFont"/>
    <w:rsid w:val="00F37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366042">
      <w:bodyDiv w:val="1"/>
      <w:marLeft w:val="0"/>
      <w:marRight w:val="0"/>
      <w:marTop w:val="0"/>
      <w:marBottom w:val="0"/>
      <w:divBdr>
        <w:top w:val="none" w:sz="0" w:space="0" w:color="auto"/>
        <w:left w:val="none" w:sz="0" w:space="0" w:color="auto"/>
        <w:bottom w:val="none" w:sz="0" w:space="0" w:color="auto"/>
        <w:right w:val="none" w:sz="0" w:space="0" w:color="auto"/>
      </w:divBdr>
    </w:div>
    <w:div w:id="559639044">
      <w:bodyDiv w:val="1"/>
      <w:marLeft w:val="0"/>
      <w:marRight w:val="0"/>
      <w:marTop w:val="0"/>
      <w:marBottom w:val="0"/>
      <w:divBdr>
        <w:top w:val="none" w:sz="0" w:space="0" w:color="auto"/>
        <w:left w:val="none" w:sz="0" w:space="0" w:color="auto"/>
        <w:bottom w:val="none" w:sz="0" w:space="0" w:color="auto"/>
        <w:right w:val="none" w:sz="0" w:space="0" w:color="auto"/>
      </w:divBdr>
    </w:div>
    <w:div w:id="772282784">
      <w:bodyDiv w:val="1"/>
      <w:marLeft w:val="0"/>
      <w:marRight w:val="0"/>
      <w:marTop w:val="0"/>
      <w:marBottom w:val="0"/>
      <w:divBdr>
        <w:top w:val="none" w:sz="0" w:space="0" w:color="auto"/>
        <w:left w:val="none" w:sz="0" w:space="0" w:color="auto"/>
        <w:bottom w:val="none" w:sz="0" w:space="0" w:color="auto"/>
        <w:right w:val="none" w:sz="0" w:space="0" w:color="auto"/>
      </w:divBdr>
    </w:div>
    <w:div w:id="795878302">
      <w:bodyDiv w:val="1"/>
      <w:marLeft w:val="0"/>
      <w:marRight w:val="0"/>
      <w:marTop w:val="0"/>
      <w:marBottom w:val="0"/>
      <w:divBdr>
        <w:top w:val="none" w:sz="0" w:space="0" w:color="auto"/>
        <w:left w:val="none" w:sz="0" w:space="0" w:color="auto"/>
        <w:bottom w:val="none" w:sz="0" w:space="0" w:color="auto"/>
        <w:right w:val="none" w:sz="0" w:space="0" w:color="auto"/>
      </w:divBdr>
    </w:div>
    <w:div w:id="824325485">
      <w:bodyDiv w:val="1"/>
      <w:marLeft w:val="0"/>
      <w:marRight w:val="0"/>
      <w:marTop w:val="0"/>
      <w:marBottom w:val="0"/>
      <w:divBdr>
        <w:top w:val="none" w:sz="0" w:space="0" w:color="auto"/>
        <w:left w:val="none" w:sz="0" w:space="0" w:color="auto"/>
        <w:bottom w:val="none" w:sz="0" w:space="0" w:color="auto"/>
        <w:right w:val="none" w:sz="0" w:space="0" w:color="auto"/>
      </w:divBdr>
    </w:div>
    <w:div w:id="1030230157">
      <w:bodyDiv w:val="1"/>
      <w:marLeft w:val="0"/>
      <w:marRight w:val="0"/>
      <w:marTop w:val="0"/>
      <w:marBottom w:val="0"/>
      <w:divBdr>
        <w:top w:val="none" w:sz="0" w:space="0" w:color="auto"/>
        <w:left w:val="none" w:sz="0" w:space="0" w:color="auto"/>
        <w:bottom w:val="none" w:sz="0" w:space="0" w:color="auto"/>
        <w:right w:val="none" w:sz="0" w:space="0" w:color="auto"/>
      </w:divBdr>
    </w:div>
    <w:div w:id="1586920407">
      <w:bodyDiv w:val="1"/>
      <w:marLeft w:val="0"/>
      <w:marRight w:val="0"/>
      <w:marTop w:val="0"/>
      <w:marBottom w:val="0"/>
      <w:divBdr>
        <w:top w:val="none" w:sz="0" w:space="0" w:color="auto"/>
        <w:left w:val="none" w:sz="0" w:space="0" w:color="auto"/>
        <w:bottom w:val="none" w:sz="0" w:space="0" w:color="auto"/>
        <w:right w:val="none" w:sz="0" w:space="0" w:color="auto"/>
      </w:divBdr>
    </w:div>
    <w:div w:id="21060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6743F-DAFB-4911-BB01-0C90417D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25</Pages>
  <Words>37420</Words>
  <Characters>213300</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dc:creator>
  <cp:lastModifiedBy>Konstantinos</cp:lastModifiedBy>
  <cp:revision>10</cp:revision>
  <dcterms:created xsi:type="dcterms:W3CDTF">2019-01-25T10:40:00Z</dcterms:created>
  <dcterms:modified xsi:type="dcterms:W3CDTF">2019-01-26T12:42:00Z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http://www.zotero.org/styles/addictive-behaviors</vt:lpwstr>
  </property>
  <property fmtid="{D5CDD505-2E9C-101B-9397-08002B2CF9AE}" pid="3" name="Mendeley Recent Style Name 0_1">
    <vt:lpwstr>Addictive Behaviors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4a27a33b-c84d-3a5d-86c6-4313de568162</vt:lpwstr>
  </property>
</Properties>
</file>