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8F2D" w14:textId="11FD51D3" w:rsidR="008953F5" w:rsidRDefault="008953F5" w:rsidP="008953F5">
      <w:pPr>
        <w:rPr>
          <w:b/>
          <w:sz w:val="22"/>
        </w:rPr>
      </w:pPr>
      <w:r w:rsidRPr="00B27DC0">
        <w:rPr>
          <w:b/>
          <w:sz w:val="22"/>
        </w:rPr>
        <w:t xml:space="preserve">Supplementary Table </w:t>
      </w:r>
      <w:bookmarkStart w:id="0" w:name="_GoBack"/>
      <w:bookmarkEnd w:id="0"/>
      <w:r w:rsidRPr="00B27DC0">
        <w:rPr>
          <w:b/>
          <w:sz w:val="22"/>
        </w:rPr>
        <w:t>1. Effects of Depression-Associated Factors across Outcomes</w:t>
      </w:r>
    </w:p>
    <w:p w14:paraId="5D2E669F" w14:textId="77777777" w:rsidR="008953F5" w:rsidRDefault="008953F5" w:rsidP="008953F5"/>
    <w:tbl>
      <w:tblPr>
        <w:tblStyle w:val="TableGrid"/>
        <w:tblW w:w="0" w:type="auto"/>
        <w:tblInd w:w="-1247"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60"/>
        <w:gridCol w:w="180"/>
        <w:gridCol w:w="455"/>
        <w:gridCol w:w="798"/>
        <w:gridCol w:w="1170"/>
        <w:gridCol w:w="270"/>
        <w:gridCol w:w="450"/>
        <w:gridCol w:w="720"/>
        <w:gridCol w:w="1260"/>
        <w:gridCol w:w="270"/>
        <w:gridCol w:w="450"/>
        <w:gridCol w:w="720"/>
        <w:gridCol w:w="1177"/>
      </w:tblGrid>
      <w:tr w:rsidR="008953F5" w:rsidRPr="00347569" w14:paraId="105AC046" w14:textId="77777777" w:rsidTr="00206DB3">
        <w:tc>
          <w:tcPr>
            <w:tcW w:w="3060" w:type="dxa"/>
            <w:tcBorders>
              <w:top w:val="single" w:sz="4" w:space="0" w:color="auto"/>
              <w:bottom w:val="nil"/>
            </w:tcBorders>
            <w:vAlign w:val="center"/>
          </w:tcPr>
          <w:p w14:paraId="5823C138" w14:textId="77777777" w:rsidR="008953F5" w:rsidRPr="000F7257" w:rsidRDefault="008953F5" w:rsidP="00206DB3">
            <w:pPr>
              <w:rPr>
                <w:sz w:val="22"/>
              </w:rPr>
            </w:pPr>
          </w:p>
        </w:tc>
        <w:tc>
          <w:tcPr>
            <w:tcW w:w="180" w:type="dxa"/>
            <w:tcBorders>
              <w:top w:val="single" w:sz="4" w:space="0" w:color="auto"/>
              <w:bottom w:val="nil"/>
            </w:tcBorders>
            <w:vAlign w:val="center"/>
          </w:tcPr>
          <w:p w14:paraId="6EB86AEA" w14:textId="77777777" w:rsidR="008953F5" w:rsidRPr="000F7257" w:rsidRDefault="008953F5" w:rsidP="00206DB3">
            <w:pPr>
              <w:rPr>
                <w:sz w:val="22"/>
              </w:rPr>
            </w:pPr>
          </w:p>
        </w:tc>
        <w:tc>
          <w:tcPr>
            <w:tcW w:w="2423" w:type="dxa"/>
            <w:gridSpan w:val="3"/>
            <w:tcBorders>
              <w:top w:val="single" w:sz="4" w:space="0" w:color="auto"/>
              <w:bottom w:val="nil"/>
            </w:tcBorders>
            <w:vAlign w:val="center"/>
          </w:tcPr>
          <w:p w14:paraId="33EA9097" w14:textId="77777777" w:rsidR="008953F5" w:rsidRPr="008E47C1" w:rsidRDefault="008953F5" w:rsidP="00206DB3">
            <w:pPr>
              <w:jc w:val="center"/>
              <w:rPr>
                <w:b/>
                <w:sz w:val="22"/>
                <w:u w:val="single"/>
              </w:rPr>
            </w:pPr>
            <w:r w:rsidRPr="008E47C1">
              <w:rPr>
                <w:b/>
                <w:sz w:val="22"/>
                <w:u w:val="single"/>
              </w:rPr>
              <w:t>Suicide Ideation</w:t>
            </w:r>
          </w:p>
        </w:tc>
        <w:tc>
          <w:tcPr>
            <w:tcW w:w="270" w:type="dxa"/>
            <w:tcBorders>
              <w:top w:val="single" w:sz="4" w:space="0" w:color="auto"/>
              <w:left w:val="nil"/>
              <w:bottom w:val="nil"/>
              <w:right w:val="nil"/>
            </w:tcBorders>
            <w:vAlign w:val="center"/>
          </w:tcPr>
          <w:p w14:paraId="48B9B4D1" w14:textId="77777777" w:rsidR="008953F5" w:rsidRPr="000F7257" w:rsidRDefault="008953F5" w:rsidP="00206DB3">
            <w:pPr>
              <w:rPr>
                <w:sz w:val="22"/>
              </w:rPr>
            </w:pPr>
          </w:p>
        </w:tc>
        <w:tc>
          <w:tcPr>
            <w:tcW w:w="2430" w:type="dxa"/>
            <w:gridSpan w:val="3"/>
            <w:tcBorders>
              <w:top w:val="single" w:sz="4" w:space="0" w:color="auto"/>
              <w:left w:val="nil"/>
              <w:bottom w:val="nil"/>
            </w:tcBorders>
            <w:vAlign w:val="center"/>
          </w:tcPr>
          <w:p w14:paraId="175A861A" w14:textId="77777777" w:rsidR="008953F5" w:rsidRPr="008E47C1" w:rsidRDefault="008953F5" w:rsidP="00206DB3">
            <w:pPr>
              <w:jc w:val="center"/>
              <w:rPr>
                <w:b/>
                <w:sz w:val="22"/>
                <w:u w:val="single"/>
              </w:rPr>
            </w:pPr>
            <w:r>
              <w:rPr>
                <w:b/>
                <w:sz w:val="22"/>
                <w:u w:val="single"/>
              </w:rPr>
              <w:t>Suicide Attempt</w:t>
            </w:r>
          </w:p>
        </w:tc>
        <w:tc>
          <w:tcPr>
            <w:tcW w:w="270" w:type="dxa"/>
            <w:tcBorders>
              <w:top w:val="single" w:sz="4" w:space="0" w:color="auto"/>
              <w:left w:val="nil"/>
              <w:bottom w:val="nil"/>
              <w:right w:val="nil"/>
            </w:tcBorders>
            <w:shd w:val="clear" w:color="auto" w:fill="auto"/>
            <w:vAlign w:val="center"/>
          </w:tcPr>
          <w:p w14:paraId="06D75490" w14:textId="77777777" w:rsidR="008953F5" w:rsidRPr="00347569" w:rsidRDefault="008953F5" w:rsidP="00206DB3">
            <w:pPr>
              <w:jc w:val="center"/>
              <w:rPr>
                <w:sz w:val="22"/>
              </w:rPr>
            </w:pPr>
          </w:p>
        </w:tc>
        <w:tc>
          <w:tcPr>
            <w:tcW w:w="2347" w:type="dxa"/>
            <w:gridSpan w:val="3"/>
            <w:tcBorders>
              <w:top w:val="single" w:sz="4" w:space="0" w:color="auto"/>
              <w:left w:val="nil"/>
              <w:bottom w:val="nil"/>
            </w:tcBorders>
            <w:shd w:val="clear" w:color="auto" w:fill="auto"/>
            <w:vAlign w:val="center"/>
          </w:tcPr>
          <w:p w14:paraId="0DD3C5DF" w14:textId="77777777" w:rsidR="008953F5" w:rsidRPr="008E47C1" w:rsidRDefault="008953F5" w:rsidP="00206DB3">
            <w:pPr>
              <w:jc w:val="center"/>
              <w:rPr>
                <w:b/>
                <w:sz w:val="22"/>
                <w:u w:val="single"/>
              </w:rPr>
            </w:pPr>
            <w:r>
              <w:rPr>
                <w:b/>
                <w:sz w:val="22"/>
                <w:u w:val="single"/>
              </w:rPr>
              <w:t>Suicide Death</w:t>
            </w:r>
          </w:p>
        </w:tc>
      </w:tr>
      <w:tr w:rsidR="008953F5" w:rsidRPr="00347569" w14:paraId="43382728" w14:textId="77777777" w:rsidTr="00206DB3">
        <w:tc>
          <w:tcPr>
            <w:tcW w:w="3060" w:type="dxa"/>
            <w:tcBorders>
              <w:top w:val="nil"/>
              <w:bottom w:val="single" w:sz="4" w:space="0" w:color="auto"/>
            </w:tcBorders>
            <w:vAlign w:val="center"/>
          </w:tcPr>
          <w:p w14:paraId="048F031E" w14:textId="77777777" w:rsidR="008953F5" w:rsidRPr="00057738" w:rsidRDefault="008953F5" w:rsidP="00206DB3">
            <w:pPr>
              <w:rPr>
                <w:b/>
                <w:sz w:val="22"/>
              </w:rPr>
            </w:pPr>
            <w:r w:rsidRPr="00057738">
              <w:rPr>
                <w:b/>
                <w:sz w:val="22"/>
              </w:rPr>
              <w:t>Risk Factor Categories</w:t>
            </w:r>
          </w:p>
        </w:tc>
        <w:tc>
          <w:tcPr>
            <w:tcW w:w="180" w:type="dxa"/>
            <w:tcBorders>
              <w:top w:val="nil"/>
              <w:bottom w:val="single" w:sz="4" w:space="0" w:color="auto"/>
            </w:tcBorders>
            <w:vAlign w:val="center"/>
          </w:tcPr>
          <w:p w14:paraId="7D774686" w14:textId="77777777" w:rsidR="008953F5" w:rsidRPr="00057738" w:rsidRDefault="008953F5" w:rsidP="00206DB3">
            <w:pPr>
              <w:rPr>
                <w:sz w:val="22"/>
              </w:rPr>
            </w:pPr>
          </w:p>
        </w:tc>
        <w:tc>
          <w:tcPr>
            <w:tcW w:w="455" w:type="dxa"/>
            <w:tcBorders>
              <w:top w:val="nil"/>
              <w:bottom w:val="single" w:sz="4" w:space="0" w:color="auto"/>
            </w:tcBorders>
            <w:vAlign w:val="center"/>
          </w:tcPr>
          <w:p w14:paraId="63D97E76" w14:textId="77777777" w:rsidR="008953F5" w:rsidRPr="00057738" w:rsidRDefault="008953F5" w:rsidP="00206DB3">
            <w:pPr>
              <w:jc w:val="center"/>
              <w:rPr>
                <w:b/>
                <w:sz w:val="22"/>
              </w:rPr>
            </w:pPr>
            <w:r w:rsidRPr="00057738">
              <w:rPr>
                <w:b/>
                <w:sz w:val="22"/>
              </w:rPr>
              <w:t>n</w:t>
            </w:r>
          </w:p>
        </w:tc>
        <w:tc>
          <w:tcPr>
            <w:tcW w:w="798" w:type="dxa"/>
            <w:tcBorders>
              <w:top w:val="nil"/>
              <w:bottom w:val="single" w:sz="4" w:space="0" w:color="auto"/>
            </w:tcBorders>
            <w:vAlign w:val="center"/>
          </w:tcPr>
          <w:p w14:paraId="29D55168" w14:textId="77777777" w:rsidR="008953F5" w:rsidRPr="00057738" w:rsidRDefault="008953F5" w:rsidP="00206DB3">
            <w:pPr>
              <w:jc w:val="center"/>
              <w:rPr>
                <w:b/>
                <w:sz w:val="22"/>
              </w:rPr>
            </w:pPr>
            <w:proofErr w:type="spellStart"/>
            <w:r>
              <w:rPr>
                <w:b/>
                <w:sz w:val="22"/>
              </w:rPr>
              <w:t>w</w:t>
            </w:r>
            <w:r w:rsidRPr="00057738">
              <w:rPr>
                <w:b/>
                <w:sz w:val="22"/>
              </w:rPr>
              <w:t>OR</w:t>
            </w:r>
            <w:proofErr w:type="spellEnd"/>
          </w:p>
        </w:tc>
        <w:tc>
          <w:tcPr>
            <w:tcW w:w="1170" w:type="dxa"/>
            <w:tcBorders>
              <w:top w:val="nil"/>
              <w:bottom w:val="single" w:sz="4" w:space="0" w:color="auto"/>
              <w:right w:val="nil"/>
            </w:tcBorders>
            <w:vAlign w:val="center"/>
          </w:tcPr>
          <w:p w14:paraId="77A0C2C4" w14:textId="77777777" w:rsidR="008953F5" w:rsidRPr="00057738" w:rsidRDefault="008953F5" w:rsidP="00206DB3">
            <w:pPr>
              <w:jc w:val="center"/>
              <w:rPr>
                <w:b/>
                <w:sz w:val="22"/>
              </w:rPr>
            </w:pPr>
            <w:r w:rsidRPr="00057738">
              <w:rPr>
                <w:b/>
                <w:sz w:val="22"/>
              </w:rPr>
              <w:t>95% CI</w:t>
            </w:r>
          </w:p>
        </w:tc>
        <w:tc>
          <w:tcPr>
            <w:tcW w:w="270" w:type="dxa"/>
            <w:tcBorders>
              <w:top w:val="nil"/>
              <w:left w:val="nil"/>
              <w:bottom w:val="single" w:sz="4" w:space="0" w:color="auto"/>
              <w:right w:val="nil"/>
            </w:tcBorders>
            <w:vAlign w:val="center"/>
          </w:tcPr>
          <w:p w14:paraId="6D5CDE0C" w14:textId="77777777" w:rsidR="008953F5" w:rsidRPr="00057738" w:rsidRDefault="008953F5" w:rsidP="00206DB3">
            <w:pPr>
              <w:rPr>
                <w:b/>
                <w:sz w:val="22"/>
              </w:rPr>
            </w:pPr>
          </w:p>
        </w:tc>
        <w:tc>
          <w:tcPr>
            <w:tcW w:w="450" w:type="dxa"/>
            <w:tcBorders>
              <w:top w:val="nil"/>
              <w:left w:val="nil"/>
              <w:bottom w:val="single" w:sz="4" w:space="0" w:color="auto"/>
            </w:tcBorders>
            <w:vAlign w:val="center"/>
          </w:tcPr>
          <w:p w14:paraId="1EBF7483" w14:textId="77777777" w:rsidR="008953F5" w:rsidRPr="00057738" w:rsidRDefault="008953F5" w:rsidP="00206DB3">
            <w:pPr>
              <w:jc w:val="center"/>
              <w:rPr>
                <w:b/>
                <w:sz w:val="22"/>
              </w:rPr>
            </w:pPr>
            <w:r w:rsidRPr="00057738">
              <w:rPr>
                <w:b/>
                <w:sz w:val="22"/>
              </w:rPr>
              <w:t>n</w:t>
            </w:r>
          </w:p>
        </w:tc>
        <w:tc>
          <w:tcPr>
            <w:tcW w:w="720" w:type="dxa"/>
            <w:tcBorders>
              <w:top w:val="nil"/>
              <w:bottom w:val="single" w:sz="4" w:space="0" w:color="auto"/>
            </w:tcBorders>
            <w:vAlign w:val="center"/>
          </w:tcPr>
          <w:p w14:paraId="31E58CB3" w14:textId="77777777" w:rsidR="008953F5" w:rsidRPr="00057738" w:rsidRDefault="008953F5" w:rsidP="00206DB3">
            <w:pPr>
              <w:jc w:val="center"/>
              <w:rPr>
                <w:b/>
                <w:sz w:val="22"/>
              </w:rPr>
            </w:pPr>
            <w:proofErr w:type="spellStart"/>
            <w:r>
              <w:rPr>
                <w:b/>
                <w:sz w:val="22"/>
              </w:rPr>
              <w:t>w</w:t>
            </w:r>
            <w:r w:rsidRPr="00057738">
              <w:rPr>
                <w:b/>
                <w:sz w:val="22"/>
              </w:rPr>
              <w:t>OR</w:t>
            </w:r>
            <w:proofErr w:type="spellEnd"/>
          </w:p>
        </w:tc>
        <w:tc>
          <w:tcPr>
            <w:tcW w:w="1260" w:type="dxa"/>
            <w:tcBorders>
              <w:top w:val="nil"/>
              <w:bottom w:val="single" w:sz="4" w:space="0" w:color="auto"/>
              <w:right w:val="nil"/>
            </w:tcBorders>
            <w:vAlign w:val="center"/>
          </w:tcPr>
          <w:p w14:paraId="4E5370F7" w14:textId="77777777" w:rsidR="008953F5" w:rsidRPr="00057738" w:rsidRDefault="008953F5" w:rsidP="00206DB3">
            <w:pPr>
              <w:jc w:val="center"/>
              <w:rPr>
                <w:b/>
                <w:sz w:val="22"/>
              </w:rPr>
            </w:pPr>
            <w:r w:rsidRPr="00057738">
              <w:rPr>
                <w:b/>
                <w:sz w:val="22"/>
              </w:rPr>
              <w:t>95% CI</w:t>
            </w:r>
          </w:p>
        </w:tc>
        <w:tc>
          <w:tcPr>
            <w:tcW w:w="270" w:type="dxa"/>
            <w:tcBorders>
              <w:top w:val="nil"/>
              <w:left w:val="nil"/>
              <w:bottom w:val="single" w:sz="4" w:space="0" w:color="auto"/>
              <w:right w:val="nil"/>
            </w:tcBorders>
            <w:shd w:val="clear" w:color="auto" w:fill="auto"/>
            <w:vAlign w:val="center"/>
          </w:tcPr>
          <w:p w14:paraId="72218793" w14:textId="77777777" w:rsidR="008953F5" w:rsidRPr="00057738" w:rsidRDefault="008953F5" w:rsidP="00206DB3">
            <w:pPr>
              <w:jc w:val="center"/>
              <w:rPr>
                <w:b/>
                <w:sz w:val="22"/>
              </w:rPr>
            </w:pPr>
          </w:p>
        </w:tc>
        <w:tc>
          <w:tcPr>
            <w:tcW w:w="450" w:type="dxa"/>
            <w:tcBorders>
              <w:top w:val="nil"/>
              <w:left w:val="nil"/>
              <w:bottom w:val="single" w:sz="4" w:space="0" w:color="auto"/>
            </w:tcBorders>
            <w:shd w:val="clear" w:color="auto" w:fill="auto"/>
            <w:vAlign w:val="center"/>
          </w:tcPr>
          <w:p w14:paraId="0B5AF60F" w14:textId="77777777" w:rsidR="008953F5" w:rsidRPr="00057738" w:rsidRDefault="008953F5" w:rsidP="00206DB3">
            <w:pPr>
              <w:jc w:val="center"/>
              <w:rPr>
                <w:b/>
                <w:sz w:val="22"/>
              </w:rPr>
            </w:pPr>
            <w:r w:rsidRPr="00057738">
              <w:rPr>
                <w:b/>
                <w:sz w:val="22"/>
              </w:rPr>
              <w:t>n</w:t>
            </w:r>
          </w:p>
        </w:tc>
        <w:tc>
          <w:tcPr>
            <w:tcW w:w="720" w:type="dxa"/>
            <w:tcBorders>
              <w:top w:val="nil"/>
              <w:bottom w:val="single" w:sz="4" w:space="0" w:color="auto"/>
              <w:right w:val="nil"/>
            </w:tcBorders>
            <w:shd w:val="clear" w:color="auto" w:fill="auto"/>
            <w:vAlign w:val="center"/>
          </w:tcPr>
          <w:p w14:paraId="3B9E6767" w14:textId="77777777" w:rsidR="008953F5" w:rsidRPr="00057738" w:rsidRDefault="008953F5" w:rsidP="00206DB3">
            <w:pPr>
              <w:jc w:val="center"/>
              <w:rPr>
                <w:b/>
                <w:sz w:val="22"/>
              </w:rPr>
            </w:pPr>
            <w:proofErr w:type="spellStart"/>
            <w:r>
              <w:rPr>
                <w:b/>
                <w:sz w:val="22"/>
              </w:rPr>
              <w:t>w</w:t>
            </w:r>
            <w:r w:rsidRPr="00057738">
              <w:rPr>
                <w:b/>
                <w:sz w:val="22"/>
              </w:rPr>
              <w:t>OR</w:t>
            </w:r>
            <w:proofErr w:type="spellEnd"/>
          </w:p>
        </w:tc>
        <w:tc>
          <w:tcPr>
            <w:tcW w:w="1177" w:type="dxa"/>
            <w:tcBorders>
              <w:top w:val="nil"/>
              <w:left w:val="nil"/>
              <w:bottom w:val="single" w:sz="4" w:space="0" w:color="auto"/>
              <w:right w:val="nil"/>
            </w:tcBorders>
            <w:shd w:val="clear" w:color="auto" w:fill="auto"/>
            <w:vAlign w:val="center"/>
          </w:tcPr>
          <w:p w14:paraId="46F1BEF9" w14:textId="77777777" w:rsidR="008953F5" w:rsidRPr="00057738" w:rsidRDefault="008953F5" w:rsidP="00206DB3">
            <w:pPr>
              <w:jc w:val="center"/>
              <w:rPr>
                <w:b/>
                <w:sz w:val="22"/>
              </w:rPr>
            </w:pPr>
            <w:r w:rsidRPr="00057738">
              <w:rPr>
                <w:b/>
                <w:sz w:val="22"/>
              </w:rPr>
              <w:t>95% CI</w:t>
            </w:r>
          </w:p>
        </w:tc>
      </w:tr>
      <w:tr w:rsidR="008953F5" w:rsidRPr="00347569" w14:paraId="0E42EE51" w14:textId="77777777" w:rsidTr="00206DB3">
        <w:tc>
          <w:tcPr>
            <w:tcW w:w="3060" w:type="dxa"/>
            <w:tcBorders>
              <w:top w:val="single" w:sz="4" w:space="0" w:color="auto"/>
            </w:tcBorders>
            <w:vAlign w:val="center"/>
          </w:tcPr>
          <w:p w14:paraId="5C42F50F" w14:textId="77777777" w:rsidR="008953F5" w:rsidRPr="000F7257" w:rsidRDefault="008953F5" w:rsidP="00206DB3">
            <w:pPr>
              <w:rPr>
                <w:sz w:val="22"/>
              </w:rPr>
            </w:pPr>
            <w:r w:rsidRPr="000F7257">
              <w:rPr>
                <w:sz w:val="22"/>
              </w:rPr>
              <w:t>Associated Processes/Features</w:t>
            </w:r>
          </w:p>
        </w:tc>
        <w:tc>
          <w:tcPr>
            <w:tcW w:w="180" w:type="dxa"/>
            <w:tcBorders>
              <w:top w:val="single" w:sz="4" w:space="0" w:color="auto"/>
            </w:tcBorders>
            <w:vAlign w:val="center"/>
          </w:tcPr>
          <w:p w14:paraId="0FC01DE3" w14:textId="77777777" w:rsidR="008953F5" w:rsidRPr="000F7257" w:rsidRDefault="008953F5" w:rsidP="00206DB3">
            <w:pPr>
              <w:rPr>
                <w:sz w:val="22"/>
              </w:rPr>
            </w:pPr>
          </w:p>
        </w:tc>
        <w:tc>
          <w:tcPr>
            <w:tcW w:w="455" w:type="dxa"/>
            <w:tcBorders>
              <w:top w:val="single" w:sz="4" w:space="0" w:color="auto"/>
            </w:tcBorders>
            <w:vAlign w:val="center"/>
          </w:tcPr>
          <w:p w14:paraId="58475459" w14:textId="77777777" w:rsidR="008953F5" w:rsidRPr="000F7257" w:rsidRDefault="008953F5" w:rsidP="00206DB3">
            <w:pPr>
              <w:jc w:val="center"/>
              <w:rPr>
                <w:sz w:val="22"/>
              </w:rPr>
            </w:pPr>
            <w:r w:rsidRPr="000F7257">
              <w:rPr>
                <w:sz w:val="22"/>
              </w:rPr>
              <w:t>32</w:t>
            </w:r>
          </w:p>
        </w:tc>
        <w:tc>
          <w:tcPr>
            <w:tcW w:w="798" w:type="dxa"/>
            <w:tcBorders>
              <w:top w:val="single" w:sz="4" w:space="0" w:color="auto"/>
            </w:tcBorders>
            <w:vAlign w:val="center"/>
          </w:tcPr>
          <w:p w14:paraId="437BADBA" w14:textId="77777777" w:rsidR="008953F5" w:rsidRPr="000F7257" w:rsidRDefault="008953F5" w:rsidP="00206DB3">
            <w:pPr>
              <w:jc w:val="center"/>
              <w:rPr>
                <w:sz w:val="22"/>
              </w:rPr>
            </w:pPr>
            <w:r w:rsidRPr="000F7257">
              <w:rPr>
                <w:sz w:val="22"/>
              </w:rPr>
              <w:t>1.</w:t>
            </w:r>
            <w:r>
              <w:rPr>
                <w:sz w:val="22"/>
              </w:rPr>
              <w:t>90</w:t>
            </w:r>
          </w:p>
        </w:tc>
        <w:tc>
          <w:tcPr>
            <w:tcW w:w="1170" w:type="dxa"/>
            <w:tcBorders>
              <w:top w:val="single" w:sz="4" w:space="0" w:color="auto"/>
              <w:right w:val="nil"/>
            </w:tcBorders>
            <w:vAlign w:val="center"/>
          </w:tcPr>
          <w:p w14:paraId="7AC498C6" w14:textId="77777777" w:rsidR="008953F5" w:rsidRPr="000F7257" w:rsidRDefault="008953F5" w:rsidP="00206DB3">
            <w:pPr>
              <w:jc w:val="center"/>
              <w:rPr>
                <w:sz w:val="22"/>
              </w:rPr>
            </w:pPr>
            <w:r w:rsidRPr="000F7257">
              <w:rPr>
                <w:sz w:val="22"/>
              </w:rPr>
              <w:t>1.6</w:t>
            </w:r>
            <w:r>
              <w:rPr>
                <w:sz w:val="22"/>
              </w:rPr>
              <w:t>9</w:t>
            </w:r>
            <w:r w:rsidRPr="000F7257">
              <w:rPr>
                <w:sz w:val="22"/>
              </w:rPr>
              <w:t>, 2.</w:t>
            </w:r>
            <w:r>
              <w:rPr>
                <w:sz w:val="22"/>
              </w:rPr>
              <w:t>14</w:t>
            </w:r>
          </w:p>
        </w:tc>
        <w:tc>
          <w:tcPr>
            <w:tcW w:w="270" w:type="dxa"/>
            <w:tcBorders>
              <w:top w:val="single" w:sz="4" w:space="0" w:color="auto"/>
              <w:left w:val="nil"/>
              <w:bottom w:val="nil"/>
              <w:right w:val="nil"/>
            </w:tcBorders>
            <w:vAlign w:val="center"/>
          </w:tcPr>
          <w:p w14:paraId="6325ECD2" w14:textId="77777777" w:rsidR="008953F5" w:rsidRPr="000F7257" w:rsidRDefault="008953F5" w:rsidP="00206DB3">
            <w:pPr>
              <w:rPr>
                <w:sz w:val="22"/>
              </w:rPr>
            </w:pPr>
          </w:p>
        </w:tc>
        <w:tc>
          <w:tcPr>
            <w:tcW w:w="450" w:type="dxa"/>
            <w:tcBorders>
              <w:top w:val="single" w:sz="4" w:space="0" w:color="auto"/>
              <w:left w:val="nil"/>
              <w:bottom w:val="nil"/>
            </w:tcBorders>
            <w:vAlign w:val="center"/>
          </w:tcPr>
          <w:p w14:paraId="40FB2F19" w14:textId="77777777" w:rsidR="008953F5" w:rsidRPr="000F7257" w:rsidRDefault="008953F5" w:rsidP="00206DB3">
            <w:pPr>
              <w:jc w:val="center"/>
              <w:rPr>
                <w:sz w:val="22"/>
              </w:rPr>
            </w:pPr>
            <w:r w:rsidRPr="000F7257">
              <w:rPr>
                <w:sz w:val="22"/>
              </w:rPr>
              <w:t>5</w:t>
            </w:r>
            <w:r>
              <w:rPr>
                <w:sz w:val="22"/>
              </w:rPr>
              <w:t>1</w:t>
            </w:r>
          </w:p>
        </w:tc>
        <w:tc>
          <w:tcPr>
            <w:tcW w:w="720" w:type="dxa"/>
            <w:tcBorders>
              <w:top w:val="single" w:sz="4" w:space="0" w:color="auto"/>
            </w:tcBorders>
            <w:vAlign w:val="center"/>
          </w:tcPr>
          <w:p w14:paraId="7F4AA0C1" w14:textId="77777777" w:rsidR="008953F5" w:rsidRPr="000F7257" w:rsidRDefault="008953F5" w:rsidP="00206DB3">
            <w:pPr>
              <w:jc w:val="center"/>
              <w:rPr>
                <w:sz w:val="22"/>
              </w:rPr>
            </w:pPr>
            <w:r w:rsidRPr="000F7257">
              <w:rPr>
                <w:sz w:val="22"/>
              </w:rPr>
              <w:t>1</w:t>
            </w:r>
            <w:r>
              <w:rPr>
                <w:sz w:val="22"/>
              </w:rPr>
              <w:t>.46</w:t>
            </w:r>
          </w:p>
        </w:tc>
        <w:tc>
          <w:tcPr>
            <w:tcW w:w="1260" w:type="dxa"/>
            <w:tcBorders>
              <w:top w:val="single" w:sz="4" w:space="0" w:color="auto"/>
              <w:right w:val="nil"/>
            </w:tcBorders>
            <w:vAlign w:val="center"/>
          </w:tcPr>
          <w:p w14:paraId="6D0601AC" w14:textId="77777777" w:rsidR="008953F5" w:rsidRPr="000F7257" w:rsidRDefault="008953F5" w:rsidP="00206DB3">
            <w:pPr>
              <w:jc w:val="center"/>
              <w:rPr>
                <w:sz w:val="22"/>
              </w:rPr>
            </w:pPr>
            <w:r w:rsidRPr="000F7257">
              <w:rPr>
                <w:sz w:val="22"/>
              </w:rPr>
              <w:t>1</w:t>
            </w:r>
            <w:r>
              <w:rPr>
                <w:sz w:val="22"/>
              </w:rPr>
              <w:t>.36</w:t>
            </w:r>
            <w:r w:rsidRPr="000F7257">
              <w:rPr>
                <w:sz w:val="22"/>
              </w:rPr>
              <w:t>, 1.</w:t>
            </w:r>
            <w:r>
              <w:rPr>
                <w:sz w:val="22"/>
              </w:rPr>
              <w:t>56</w:t>
            </w:r>
          </w:p>
        </w:tc>
        <w:tc>
          <w:tcPr>
            <w:tcW w:w="270" w:type="dxa"/>
            <w:tcBorders>
              <w:top w:val="single" w:sz="4" w:space="0" w:color="auto"/>
              <w:left w:val="nil"/>
              <w:bottom w:val="nil"/>
              <w:right w:val="nil"/>
            </w:tcBorders>
            <w:shd w:val="clear" w:color="auto" w:fill="auto"/>
            <w:vAlign w:val="center"/>
          </w:tcPr>
          <w:p w14:paraId="1A7B238A" w14:textId="77777777" w:rsidR="008953F5" w:rsidRPr="00347569" w:rsidRDefault="008953F5" w:rsidP="00206DB3">
            <w:pPr>
              <w:jc w:val="center"/>
              <w:rPr>
                <w:sz w:val="22"/>
              </w:rPr>
            </w:pPr>
          </w:p>
        </w:tc>
        <w:tc>
          <w:tcPr>
            <w:tcW w:w="450" w:type="dxa"/>
            <w:tcBorders>
              <w:top w:val="single" w:sz="4" w:space="0" w:color="auto"/>
              <w:left w:val="nil"/>
            </w:tcBorders>
            <w:shd w:val="clear" w:color="auto" w:fill="auto"/>
            <w:vAlign w:val="center"/>
          </w:tcPr>
          <w:p w14:paraId="010F28F2" w14:textId="77777777" w:rsidR="008953F5" w:rsidRPr="00347569" w:rsidRDefault="008953F5" w:rsidP="00206DB3">
            <w:pPr>
              <w:jc w:val="center"/>
              <w:rPr>
                <w:sz w:val="22"/>
              </w:rPr>
            </w:pPr>
            <w:r w:rsidRPr="00347569">
              <w:rPr>
                <w:sz w:val="22"/>
              </w:rPr>
              <w:t>1</w:t>
            </w:r>
            <w:r>
              <w:rPr>
                <w:sz w:val="22"/>
              </w:rPr>
              <w:t>6</w:t>
            </w:r>
          </w:p>
        </w:tc>
        <w:tc>
          <w:tcPr>
            <w:tcW w:w="720" w:type="dxa"/>
            <w:tcBorders>
              <w:top w:val="single" w:sz="4" w:space="0" w:color="auto"/>
              <w:right w:val="nil"/>
            </w:tcBorders>
            <w:shd w:val="clear" w:color="auto" w:fill="auto"/>
            <w:vAlign w:val="center"/>
          </w:tcPr>
          <w:p w14:paraId="3DA28E27" w14:textId="77777777" w:rsidR="008953F5" w:rsidRPr="00347569" w:rsidRDefault="008953F5" w:rsidP="00206DB3">
            <w:pPr>
              <w:jc w:val="center"/>
              <w:rPr>
                <w:sz w:val="22"/>
              </w:rPr>
            </w:pPr>
            <w:r w:rsidRPr="00347569">
              <w:rPr>
                <w:sz w:val="22"/>
              </w:rPr>
              <w:t>1.1</w:t>
            </w:r>
            <w:r>
              <w:rPr>
                <w:sz w:val="22"/>
              </w:rPr>
              <w:t>8</w:t>
            </w:r>
          </w:p>
        </w:tc>
        <w:tc>
          <w:tcPr>
            <w:tcW w:w="1177" w:type="dxa"/>
            <w:tcBorders>
              <w:top w:val="single" w:sz="4" w:space="0" w:color="auto"/>
              <w:left w:val="nil"/>
              <w:bottom w:val="nil"/>
              <w:right w:val="nil"/>
            </w:tcBorders>
            <w:shd w:val="clear" w:color="auto" w:fill="auto"/>
            <w:vAlign w:val="center"/>
          </w:tcPr>
          <w:p w14:paraId="20343787" w14:textId="77777777" w:rsidR="008953F5" w:rsidRPr="00347569" w:rsidRDefault="008953F5" w:rsidP="00206DB3">
            <w:pPr>
              <w:jc w:val="center"/>
              <w:rPr>
                <w:sz w:val="22"/>
              </w:rPr>
            </w:pPr>
            <w:r w:rsidRPr="00347569">
              <w:rPr>
                <w:sz w:val="22"/>
              </w:rPr>
              <w:t>0.</w:t>
            </w:r>
            <w:r w:rsidRPr="00347569" w:rsidDel="00775A38">
              <w:rPr>
                <w:sz w:val="22"/>
              </w:rPr>
              <w:t xml:space="preserve"> </w:t>
            </w:r>
            <w:r>
              <w:rPr>
                <w:sz w:val="22"/>
              </w:rPr>
              <w:t>86</w:t>
            </w:r>
            <w:r w:rsidRPr="00347569">
              <w:rPr>
                <w:sz w:val="22"/>
              </w:rPr>
              <w:t>, 1.</w:t>
            </w:r>
            <w:r>
              <w:rPr>
                <w:sz w:val="22"/>
              </w:rPr>
              <w:t>62</w:t>
            </w:r>
          </w:p>
        </w:tc>
      </w:tr>
      <w:tr w:rsidR="008953F5" w14:paraId="5C54F5D4" w14:textId="77777777" w:rsidTr="00206DB3">
        <w:tc>
          <w:tcPr>
            <w:tcW w:w="3060" w:type="dxa"/>
            <w:vAlign w:val="center"/>
          </w:tcPr>
          <w:p w14:paraId="38BD5CB6" w14:textId="77777777" w:rsidR="008953F5" w:rsidRPr="000F7257" w:rsidRDefault="008953F5" w:rsidP="00206DB3">
            <w:pPr>
              <w:ind w:left="255"/>
              <w:rPr>
                <w:sz w:val="22"/>
              </w:rPr>
            </w:pPr>
            <w:r w:rsidRPr="000F7257">
              <w:rPr>
                <w:sz w:val="22"/>
              </w:rPr>
              <w:t>Coping problems</w:t>
            </w:r>
          </w:p>
        </w:tc>
        <w:tc>
          <w:tcPr>
            <w:tcW w:w="180" w:type="dxa"/>
            <w:vAlign w:val="center"/>
          </w:tcPr>
          <w:p w14:paraId="539A904D" w14:textId="77777777" w:rsidR="008953F5" w:rsidRPr="000F7257" w:rsidRDefault="008953F5" w:rsidP="00206DB3">
            <w:pPr>
              <w:rPr>
                <w:sz w:val="22"/>
              </w:rPr>
            </w:pPr>
          </w:p>
        </w:tc>
        <w:tc>
          <w:tcPr>
            <w:tcW w:w="455" w:type="dxa"/>
            <w:vAlign w:val="center"/>
          </w:tcPr>
          <w:p w14:paraId="6B9EC02C" w14:textId="77777777" w:rsidR="008953F5" w:rsidRPr="000F7257" w:rsidRDefault="008953F5" w:rsidP="00206DB3">
            <w:pPr>
              <w:jc w:val="center"/>
              <w:rPr>
                <w:sz w:val="22"/>
              </w:rPr>
            </w:pPr>
            <w:r w:rsidRPr="000F7257">
              <w:rPr>
                <w:sz w:val="22"/>
              </w:rPr>
              <w:t>--</w:t>
            </w:r>
          </w:p>
        </w:tc>
        <w:tc>
          <w:tcPr>
            <w:tcW w:w="798" w:type="dxa"/>
            <w:vAlign w:val="center"/>
          </w:tcPr>
          <w:p w14:paraId="443F4EE5" w14:textId="77777777" w:rsidR="008953F5" w:rsidRPr="000F7257" w:rsidRDefault="008953F5" w:rsidP="00206DB3">
            <w:pPr>
              <w:jc w:val="center"/>
              <w:rPr>
                <w:sz w:val="22"/>
              </w:rPr>
            </w:pPr>
            <w:r w:rsidRPr="000F7257">
              <w:rPr>
                <w:sz w:val="22"/>
              </w:rPr>
              <w:t>--</w:t>
            </w:r>
          </w:p>
        </w:tc>
        <w:tc>
          <w:tcPr>
            <w:tcW w:w="1170" w:type="dxa"/>
            <w:tcBorders>
              <w:right w:val="nil"/>
            </w:tcBorders>
            <w:vAlign w:val="center"/>
          </w:tcPr>
          <w:p w14:paraId="4BC28B38" w14:textId="77777777" w:rsidR="008953F5" w:rsidRPr="000F7257" w:rsidRDefault="008953F5" w:rsidP="00206DB3">
            <w:pPr>
              <w:jc w:val="center"/>
              <w:rPr>
                <w:sz w:val="22"/>
              </w:rPr>
            </w:pPr>
            <w:r w:rsidRPr="000F7257">
              <w:rPr>
                <w:sz w:val="22"/>
              </w:rPr>
              <w:t>--</w:t>
            </w:r>
          </w:p>
        </w:tc>
        <w:tc>
          <w:tcPr>
            <w:tcW w:w="270" w:type="dxa"/>
            <w:tcBorders>
              <w:top w:val="nil"/>
              <w:left w:val="nil"/>
              <w:bottom w:val="nil"/>
              <w:right w:val="nil"/>
            </w:tcBorders>
            <w:vAlign w:val="center"/>
          </w:tcPr>
          <w:p w14:paraId="0163CFFE" w14:textId="77777777" w:rsidR="008953F5" w:rsidRPr="000F7257" w:rsidRDefault="008953F5" w:rsidP="00206DB3">
            <w:pPr>
              <w:rPr>
                <w:sz w:val="22"/>
              </w:rPr>
            </w:pPr>
          </w:p>
        </w:tc>
        <w:tc>
          <w:tcPr>
            <w:tcW w:w="450" w:type="dxa"/>
            <w:tcBorders>
              <w:top w:val="nil"/>
              <w:left w:val="nil"/>
              <w:bottom w:val="nil"/>
            </w:tcBorders>
            <w:vAlign w:val="center"/>
          </w:tcPr>
          <w:p w14:paraId="6D2F0548" w14:textId="77777777" w:rsidR="008953F5" w:rsidRPr="000F7257" w:rsidRDefault="008953F5" w:rsidP="00206DB3">
            <w:pPr>
              <w:jc w:val="center"/>
              <w:rPr>
                <w:sz w:val="22"/>
              </w:rPr>
            </w:pPr>
            <w:r w:rsidRPr="000F7257">
              <w:rPr>
                <w:sz w:val="22"/>
              </w:rPr>
              <w:t>4</w:t>
            </w:r>
          </w:p>
        </w:tc>
        <w:tc>
          <w:tcPr>
            <w:tcW w:w="720" w:type="dxa"/>
            <w:vAlign w:val="center"/>
          </w:tcPr>
          <w:p w14:paraId="3FEA9C56" w14:textId="77777777" w:rsidR="008953F5" w:rsidRPr="000F7257" w:rsidRDefault="008953F5" w:rsidP="00206DB3">
            <w:pPr>
              <w:jc w:val="center"/>
              <w:rPr>
                <w:sz w:val="22"/>
              </w:rPr>
            </w:pPr>
            <w:r w:rsidRPr="000F7257">
              <w:rPr>
                <w:sz w:val="22"/>
              </w:rPr>
              <w:t>1.12</w:t>
            </w:r>
          </w:p>
        </w:tc>
        <w:tc>
          <w:tcPr>
            <w:tcW w:w="1260" w:type="dxa"/>
            <w:tcBorders>
              <w:right w:val="nil"/>
            </w:tcBorders>
            <w:vAlign w:val="center"/>
          </w:tcPr>
          <w:p w14:paraId="267C53F4" w14:textId="77777777" w:rsidR="008953F5" w:rsidRPr="000F7257" w:rsidRDefault="008953F5" w:rsidP="00206DB3">
            <w:pPr>
              <w:jc w:val="center"/>
              <w:rPr>
                <w:sz w:val="22"/>
              </w:rPr>
            </w:pPr>
            <w:r w:rsidRPr="000F7257">
              <w:rPr>
                <w:sz w:val="22"/>
              </w:rPr>
              <w:t>1.06, 1.17</w:t>
            </w:r>
          </w:p>
        </w:tc>
        <w:tc>
          <w:tcPr>
            <w:tcW w:w="270" w:type="dxa"/>
            <w:tcBorders>
              <w:top w:val="nil"/>
              <w:left w:val="nil"/>
              <w:bottom w:val="nil"/>
              <w:right w:val="nil"/>
            </w:tcBorders>
            <w:vAlign w:val="center"/>
          </w:tcPr>
          <w:p w14:paraId="0AAD80C6" w14:textId="77777777" w:rsidR="008953F5" w:rsidRPr="00057738" w:rsidRDefault="008953F5" w:rsidP="00206DB3">
            <w:pPr>
              <w:jc w:val="center"/>
              <w:rPr>
                <w:sz w:val="22"/>
              </w:rPr>
            </w:pPr>
          </w:p>
        </w:tc>
        <w:tc>
          <w:tcPr>
            <w:tcW w:w="450" w:type="dxa"/>
            <w:tcBorders>
              <w:left w:val="nil"/>
            </w:tcBorders>
            <w:vAlign w:val="center"/>
          </w:tcPr>
          <w:p w14:paraId="3D31EA32" w14:textId="77777777" w:rsidR="008953F5" w:rsidRDefault="008953F5" w:rsidP="00206DB3">
            <w:pPr>
              <w:jc w:val="center"/>
              <w:rPr>
                <w:sz w:val="22"/>
              </w:rPr>
            </w:pPr>
            <w:r>
              <w:rPr>
                <w:sz w:val="22"/>
              </w:rPr>
              <w:t>--</w:t>
            </w:r>
          </w:p>
        </w:tc>
        <w:tc>
          <w:tcPr>
            <w:tcW w:w="720" w:type="dxa"/>
            <w:tcBorders>
              <w:right w:val="nil"/>
            </w:tcBorders>
            <w:vAlign w:val="center"/>
          </w:tcPr>
          <w:p w14:paraId="3EF257D5" w14:textId="77777777" w:rsidR="008953F5" w:rsidRDefault="008953F5" w:rsidP="00206DB3">
            <w:pPr>
              <w:jc w:val="center"/>
              <w:rPr>
                <w:sz w:val="22"/>
              </w:rPr>
            </w:pPr>
            <w:r>
              <w:rPr>
                <w:sz w:val="22"/>
              </w:rPr>
              <w:t>--</w:t>
            </w:r>
          </w:p>
        </w:tc>
        <w:tc>
          <w:tcPr>
            <w:tcW w:w="1177" w:type="dxa"/>
            <w:tcBorders>
              <w:top w:val="nil"/>
              <w:left w:val="nil"/>
              <w:bottom w:val="nil"/>
              <w:right w:val="nil"/>
            </w:tcBorders>
            <w:vAlign w:val="center"/>
          </w:tcPr>
          <w:p w14:paraId="72204DC8" w14:textId="77777777" w:rsidR="008953F5" w:rsidRDefault="008953F5" w:rsidP="00206DB3">
            <w:pPr>
              <w:jc w:val="center"/>
              <w:rPr>
                <w:sz w:val="22"/>
              </w:rPr>
            </w:pPr>
            <w:r>
              <w:rPr>
                <w:sz w:val="22"/>
              </w:rPr>
              <w:t>--</w:t>
            </w:r>
          </w:p>
        </w:tc>
      </w:tr>
      <w:tr w:rsidR="008953F5" w:rsidRPr="00057738" w14:paraId="67277C39" w14:textId="77777777" w:rsidTr="00206DB3">
        <w:tc>
          <w:tcPr>
            <w:tcW w:w="3060" w:type="dxa"/>
            <w:vAlign w:val="center"/>
          </w:tcPr>
          <w:p w14:paraId="4267AFBD" w14:textId="77777777" w:rsidR="008953F5" w:rsidRPr="000F7257" w:rsidRDefault="008953F5" w:rsidP="00206DB3">
            <w:pPr>
              <w:ind w:left="255"/>
              <w:rPr>
                <w:sz w:val="22"/>
              </w:rPr>
            </w:pPr>
            <w:r w:rsidRPr="000F7257">
              <w:rPr>
                <w:sz w:val="22"/>
              </w:rPr>
              <w:t>Low self-esteem</w:t>
            </w:r>
          </w:p>
        </w:tc>
        <w:tc>
          <w:tcPr>
            <w:tcW w:w="180" w:type="dxa"/>
            <w:vAlign w:val="center"/>
          </w:tcPr>
          <w:p w14:paraId="1ECDCAD1" w14:textId="77777777" w:rsidR="008953F5" w:rsidRPr="000F7257" w:rsidRDefault="008953F5" w:rsidP="00206DB3">
            <w:pPr>
              <w:rPr>
                <w:sz w:val="22"/>
              </w:rPr>
            </w:pPr>
          </w:p>
        </w:tc>
        <w:tc>
          <w:tcPr>
            <w:tcW w:w="455" w:type="dxa"/>
            <w:vAlign w:val="center"/>
          </w:tcPr>
          <w:p w14:paraId="57EA6FA4" w14:textId="77777777" w:rsidR="008953F5" w:rsidRPr="000F7257" w:rsidRDefault="008953F5" w:rsidP="00206DB3">
            <w:pPr>
              <w:jc w:val="center"/>
              <w:rPr>
                <w:sz w:val="22"/>
              </w:rPr>
            </w:pPr>
            <w:r w:rsidRPr="000F7257">
              <w:rPr>
                <w:sz w:val="22"/>
              </w:rPr>
              <w:t>1</w:t>
            </w:r>
            <w:r w:rsidRPr="00B86C8B">
              <w:rPr>
                <w:sz w:val="22"/>
                <w:vertAlign w:val="superscript"/>
              </w:rPr>
              <w:t>*</w:t>
            </w:r>
          </w:p>
        </w:tc>
        <w:tc>
          <w:tcPr>
            <w:tcW w:w="798" w:type="dxa"/>
            <w:vAlign w:val="center"/>
          </w:tcPr>
          <w:p w14:paraId="57C9DDDD" w14:textId="77777777" w:rsidR="008953F5" w:rsidRPr="000F7257" w:rsidRDefault="008953F5" w:rsidP="00206DB3">
            <w:pPr>
              <w:jc w:val="center"/>
              <w:rPr>
                <w:sz w:val="22"/>
              </w:rPr>
            </w:pPr>
            <w:r w:rsidRPr="000F7257">
              <w:rPr>
                <w:sz w:val="22"/>
              </w:rPr>
              <w:t>--</w:t>
            </w:r>
          </w:p>
        </w:tc>
        <w:tc>
          <w:tcPr>
            <w:tcW w:w="1170" w:type="dxa"/>
            <w:tcBorders>
              <w:right w:val="nil"/>
            </w:tcBorders>
            <w:vAlign w:val="center"/>
          </w:tcPr>
          <w:p w14:paraId="765147B7" w14:textId="77777777" w:rsidR="008953F5" w:rsidRPr="000F7257" w:rsidRDefault="008953F5" w:rsidP="00206DB3">
            <w:pPr>
              <w:jc w:val="center"/>
              <w:rPr>
                <w:sz w:val="22"/>
              </w:rPr>
            </w:pPr>
            <w:r w:rsidRPr="000F7257">
              <w:rPr>
                <w:sz w:val="22"/>
              </w:rPr>
              <w:t>--</w:t>
            </w:r>
          </w:p>
        </w:tc>
        <w:tc>
          <w:tcPr>
            <w:tcW w:w="270" w:type="dxa"/>
            <w:tcBorders>
              <w:top w:val="nil"/>
              <w:left w:val="nil"/>
              <w:bottom w:val="nil"/>
              <w:right w:val="nil"/>
            </w:tcBorders>
            <w:vAlign w:val="center"/>
          </w:tcPr>
          <w:p w14:paraId="27392EEB" w14:textId="77777777" w:rsidR="008953F5" w:rsidRPr="000F7257" w:rsidRDefault="008953F5" w:rsidP="00206DB3">
            <w:pPr>
              <w:rPr>
                <w:sz w:val="22"/>
              </w:rPr>
            </w:pPr>
          </w:p>
        </w:tc>
        <w:tc>
          <w:tcPr>
            <w:tcW w:w="450" w:type="dxa"/>
            <w:tcBorders>
              <w:top w:val="nil"/>
              <w:left w:val="nil"/>
              <w:bottom w:val="nil"/>
            </w:tcBorders>
            <w:vAlign w:val="center"/>
          </w:tcPr>
          <w:p w14:paraId="57C9B587" w14:textId="77777777" w:rsidR="008953F5" w:rsidRPr="000F7257" w:rsidRDefault="008953F5" w:rsidP="00206DB3">
            <w:pPr>
              <w:jc w:val="center"/>
              <w:rPr>
                <w:sz w:val="22"/>
              </w:rPr>
            </w:pPr>
            <w:r>
              <w:rPr>
                <w:sz w:val="22"/>
              </w:rPr>
              <w:t>7</w:t>
            </w:r>
          </w:p>
        </w:tc>
        <w:tc>
          <w:tcPr>
            <w:tcW w:w="720" w:type="dxa"/>
            <w:vAlign w:val="center"/>
          </w:tcPr>
          <w:p w14:paraId="7045D2CF" w14:textId="77777777" w:rsidR="008953F5" w:rsidRPr="000F7257" w:rsidRDefault="008953F5" w:rsidP="00206DB3">
            <w:pPr>
              <w:jc w:val="center"/>
              <w:rPr>
                <w:sz w:val="22"/>
              </w:rPr>
            </w:pPr>
            <w:r w:rsidRPr="000F7257">
              <w:rPr>
                <w:sz w:val="22"/>
              </w:rPr>
              <w:t>2.</w:t>
            </w:r>
            <w:r>
              <w:rPr>
                <w:sz w:val="22"/>
              </w:rPr>
              <w:t>81</w:t>
            </w:r>
          </w:p>
        </w:tc>
        <w:tc>
          <w:tcPr>
            <w:tcW w:w="1260" w:type="dxa"/>
            <w:tcBorders>
              <w:right w:val="nil"/>
            </w:tcBorders>
            <w:vAlign w:val="center"/>
          </w:tcPr>
          <w:p w14:paraId="41B53613" w14:textId="77777777" w:rsidR="008953F5" w:rsidRPr="000F7257" w:rsidRDefault="008953F5" w:rsidP="00206DB3">
            <w:pPr>
              <w:jc w:val="center"/>
              <w:rPr>
                <w:sz w:val="22"/>
              </w:rPr>
            </w:pPr>
            <w:r>
              <w:rPr>
                <w:sz w:val="22"/>
              </w:rPr>
              <w:t>2.15, 3.68</w:t>
            </w:r>
          </w:p>
        </w:tc>
        <w:tc>
          <w:tcPr>
            <w:tcW w:w="270" w:type="dxa"/>
            <w:tcBorders>
              <w:top w:val="nil"/>
              <w:left w:val="nil"/>
              <w:bottom w:val="nil"/>
              <w:right w:val="nil"/>
            </w:tcBorders>
            <w:vAlign w:val="center"/>
          </w:tcPr>
          <w:p w14:paraId="5FE85FE0" w14:textId="77777777" w:rsidR="008953F5" w:rsidRPr="00057738" w:rsidRDefault="008953F5" w:rsidP="00206DB3">
            <w:pPr>
              <w:jc w:val="center"/>
              <w:rPr>
                <w:sz w:val="22"/>
              </w:rPr>
            </w:pPr>
          </w:p>
        </w:tc>
        <w:tc>
          <w:tcPr>
            <w:tcW w:w="450" w:type="dxa"/>
            <w:tcBorders>
              <w:left w:val="nil"/>
            </w:tcBorders>
            <w:vAlign w:val="center"/>
          </w:tcPr>
          <w:p w14:paraId="70B30092" w14:textId="77777777" w:rsidR="008953F5" w:rsidRPr="00057738" w:rsidRDefault="008953F5" w:rsidP="00206DB3">
            <w:pPr>
              <w:jc w:val="center"/>
              <w:rPr>
                <w:sz w:val="22"/>
              </w:rPr>
            </w:pPr>
            <w:r>
              <w:rPr>
                <w:sz w:val="22"/>
              </w:rPr>
              <w:t>1</w:t>
            </w:r>
            <w:r w:rsidRPr="00B86C8B">
              <w:rPr>
                <w:sz w:val="22"/>
                <w:vertAlign w:val="superscript"/>
              </w:rPr>
              <w:t>*</w:t>
            </w:r>
          </w:p>
        </w:tc>
        <w:tc>
          <w:tcPr>
            <w:tcW w:w="720" w:type="dxa"/>
            <w:tcBorders>
              <w:right w:val="nil"/>
            </w:tcBorders>
            <w:vAlign w:val="center"/>
          </w:tcPr>
          <w:p w14:paraId="1E29C5F8" w14:textId="77777777" w:rsidR="008953F5" w:rsidRPr="00057738" w:rsidRDefault="008953F5" w:rsidP="00206DB3">
            <w:pPr>
              <w:jc w:val="center"/>
              <w:rPr>
                <w:sz w:val="22"/>
              </w:rPr>
            </w:pPr>
            <w:r>
              <w:rPr>
                <w:sz w:val="22"/>
              </w:rPr>
              <w:t>--</w:t>
            </w:r>
          </w:p>
        </w:tc>
        <w:tc>
          <w:tcPr>
            <w:tcW w:w="1177" w:type="dxa"/>
            <w:tcBorders>
              <w:top w:val="nil"/>
              <w:left w:val="nil"/>
              <w:bottom w:val="nil"/>
              <w:right w:val="nil"/>
            </w:tcBorders>
            <w:vAlign w:val="center"/>
          </w:tcPr>
          <w:p w14:paraId="439C8858" w14:textId="77777777" w:rsidR="008953F5" w:rsidRPr="00057738" w:rsidRDefault="008953F5" w:rsidP="00206DB3">
            <w:pPr>
              <w:jc w:val="center"/>
              <w:rPr>
                <w:sz w:val="22"/>
              </w:rPr>
            </w:pPr>
            <w:r>
              <w:rPr>
                <w:sz w:val="22"/>
              </w:rPr>
              <w:t>--</w:t>
            </w:r>
          </w:p>
        </w:tc>
      </w:tr>
      <w:tr w:rsidR="008953F5" w:rsidRPr="00057738" w14:paraId="734E3AE0" w14:textId="77777777" w:rsidTr="00206DB3">
        <w:tc>
          <w:tcPr>
            <w:tcW w:w="3060" w:type="dxa"/>
            <w:vAlign w:val="center"/>
          </w:tcPr>
          <w:p w14:paraId="70D571E4" w14:textId="77777777" w:rsidR="008953F5" w:rsidRPr="000F7257" w:rsidRDefault="008953F5" w:rsidP="00206DB3">
            <w:pPr>
              <w:ind w:left="255"/>
              <w:rPr>
                <w:sz w:val="22"/>
              </w:rPr>
            </w:pPr>
            <w:r w:rsidRPr="000F7257">
              <w:rPr>
                <w:sz w:val="22"/>
              </w:rPr>
              <w:t>Negative affect</w:t>
            </w:r>
          </w:p>
        </w:tc>
        <w:tc>
          <w:tcPr>
            <w:tcW w:w="180" w:type="dxa"/>
            <w:vAlign w:val="center"/>
          </w:tcPr>
          <w:p w14:paraId="477F3A34" w14:textId="77777777" w:rsidR="008953F5" w:rsidRPr="000F7257" w:rsidRDefault="008953F5" w:rsidP="00206DB3">
            <w:pPr>
              <w:rPr>
                <w:sz w:val="22"/>
              </w:rPr>
            </w:pPr>
          </w:p>
        </w:tc>
        <w:tc>
          <w:tcPr>
            <w:tcW w:w="455" w:type="dxa"/>
            <w:vAlign w:val="center"/>
          </w:tcPr>
          <w:p w14:paraId="76E8B8D3" w14:textId="77777777" w:rsidR="008953F5" w:rsidRPr="000F7257" w:rsidRDefault="008953F5" w:rsidP="00206DB3">
            <w:pPr>
              <w:jc w:val="center"/>
              <w:rPr>
                <w:sz w:val="22"/>
              </w:rPr>
            </w:pPr>
            <w:r w:rsidRPr="000F7257">
              <w:rPr>
                <w:sz w:val="22"/>
              </w:rPr>
              <w:t>2</w:t>
            </w:r>
            <w:r w:rsidRPr="00B86C8B">
              <w:rPr>
                <w:sz w:val="22"/>
                <w:vertAlign w:val="superscript"/>
              </w:rPr>
              <w:t>*</w:t>
            </w:r>
          </w:p>
        </w:tc>
        <w:tc>
          <w:tcPr>
            <w:tcW w:w="798" w:type="dxa"/>
            <w:vAlign w:val="center"/>
          </w:tcPr>
          <w:p w14:paraId="590771FC" w14:textId="77777777" w:rsidR="008953F5" w:rsidRPr="000F7257" w:rsidRDefault="008953F5" w:rsidP="00206DB3">
            <w:pPr>
              <w:jc w:val="center"/>
              <w:rPr>
                <w:sz w:val="22"/>
              </w:rPr>
            </w:pPr>
            <w:r w:rsidRPr="000F7257">
              <w:rPr>
                <w:sz w:val="22"/>
              </w:rPr>
              <w:t>--</w:t>
            </w:r>
          </w:p>
        </w:tc>
        <w:tc>
          <w:tcPr>
            <w:tcW w:w="1170" w:type="dxa"/>
            <w:tcBorders>
              <w:right w:val="nil"/>
            </w:tcBorders>
            <w:vAlign w:val="center"/>
          </w:tcPr>
          <w:p w14:paraId="0DACA9CA" w14:textId="77777777" w:rsidR="008953F5" w:rsidRPr="000F7257" w:rsidRDefault="008953F5" w:rsidP="00206DB3">
            <w:pPr>
              <w:jc w:val="center"/>
              <w:rPr>
                <w:sz w:val="22"/>
              </w:rPr>
            </w:pPr>
            <w:r w:rsidRPr="000F7257">
              <w:rPr>
                <w:sz w:val="22"/>
              </w:rPr>
              <w:t>--</w:t>
            </w:r>
          </w:p>
        </w:tc>
        <w:tc>
          <w:tcPr>
            <w:tcW w:w="270" w:type="dxa"/>
            <w:tcBorders>
              <w:top w:val="nil"/>
              <w:left w:val="nil"/>
              <w:bottom w:val="nil"/>
              <w:right w:val="nil"/>
            </w:tcBorders>
            <w:vAlign w:val="center"/>
          </w:tcPr>
          <w:p w14:paraId="33FA6AAC" w14:textId="77777777" w:rsidR="008953F5" w:rsidRPr="000F7257" w:rsidRDefault="008953F5" w:rsidP="00206DB3">
            <w:pPr>
              <w:rPr>
                <w:sz w:val="22"/>
              </w:rPr>
            </w:pPr>
          </w:p>
        </w:tc>
        <w:tc>
          <w:tcPr>
            <w:tcW w:w="450" w:type="dxa"/>
            <w:tcBorders>
              <w:top w:val="nil"/>
              <w:left w:val="nil"/>
              <w:bottom w:val="nil"/>
            </w:tcBorders>
            <w:vAlign w:val="center"/>
          </w:tcPr>
          <w:p w14:paraId="28DB1C7B" w14:textId="77777777" w:rsidR="008953F5" w:rsidRPr="000F7257" w:rsidRDefault="008953F5" w:rsidP="00206DB3">
            <w:pPr>
              <w:jc w:val="center"/>
              <w:rPr>
                <w:sz w:val="22"/>
              </w:rPr>
            </w:pPr>
            <w:r w:rsidRPr="000F7257">
              <w:rPr>
                <w:sz w:val="22"/>
              </w:rPr>
              <w:t>7</w:t>
            </w:r>
          </w:p>
        </w:tc>
        <w:tc>
          <w:tcPr>
            <w:tcW w:w="720" w:type="dxa"/>
            <w:vAlign w:val="center"/>
          </w:tcPr>
          <w:p w14:paraId="78E065E9" w14:textId="77777777" w:rsidR="008953F5" w:rsidRPr="000F7257" w:rsidRDefault="008953F5" w:rsidP="00206DB3">
            <w:pPr>
              <w:jc w:val="center"/>
              <w:rPr>
                <w:sz w:val="22"/>
              </w:rPr>
            </w:pPr>
            <w:r w:rsidRPr="000F7257">
              <w:rPr>
                <w:sz w:val="22"/>
              </w:rPr>
              <w:t>3.14</w:t>
            </w:r>
          </w:p>
        </w:tc>
        <w:tc>
          <w:tcPr>
            <w:tcW w:w="1260" w:type="dxa"/>
            <w:tcBorders>
              <w:right w:val="nil"/>
            </w:tcBorders>
            <w:vAlign w:val="center"/>
          </w:tcPr>
          <w:p w14:paraId="53B28392" w14:textId="77777777" w:rsidR="008953F5" w:rsidRPr="000F7257" w:rsidRDefault="008953F5" w:rsidP="00206DB3">
            <w:pPr>
              <w:jc w:val="center"/>
              <w:rPr>
                <w:sz w:val="22"/>
              </w:rPr>
            </w:pPr>
            <w:r w:rsidRPr="000F7257">
              <w:rPr>
                <w:sz w:val="22"/>
              </w:rPr>
              <w:t>1.63, 6.07</w:t>
            </w:r>
          </w:p>
        </w:tc>
        <w:tc>
          <w:tcPr>
            <w:tcW w:w="270" w:type="dxa"/>
            <w:tcBorders>
              <w:top w:val="nil"/>
              <w:left w:val="nil"/>
              <w:bottom w:val="nil"/>
              <w:right w:val="nil"/>
            </w:tcBorders>
            <w:vAlign w:val="center"/>
          </w:tcPr>
          <w:p w14:paraId="026E4F7C" w14:textId="77777777" w:rsidR="008953F5" w:rsidRPr="00057738" w:rsidRDefault="008953F5" w:rsidP="00206DB3">
            <w:pPr>
              <w:jc w:val="center"/>
              <w:rPr>
                <w:sz w:val="22"/>
              </w:rPr>
            </w:pPr>
          </w:p>
        </w:tc>
        <w:tc>
          <w:tcPr>
            <w:tcW w:w="450" w:type="dxa"/>
            <w:tcBorders>
              <w:left w:val="nil"/>
            </w:tcBorders>
            <w:vAlign w:val="center"/>
          </w:tcPr>
          <w:p w14:paraId="5CEBFA8C" w14:textId="77777777" w:rsidR="008953F5" w:rsidRPr="00057738" w:rsidRDefault="008953F5" w:rsidP="00206DB3">
            <w:pPr>
              <w:jc w:val="center"/>
              <w:rPr>
                <w:sz w:val="22"/>
              </w:rPr>
            </w:pPr>
            <w:r>
              <w:rPr>
                <w:sz w:val="22"/>
              </w:rPr>
              <w:t>1</w:t>
            </w:r>
            <w:r w:rsidRPr="00B86C8B">
              <w:rPr>
                <w:sz w:val="22"/>
                <w:vertAlign w:val="superscript"/>
              </w:rPr>
              <w:t>*</w:t>
            </w:r>
          </w:p>
        </w:tc>
        <w:tc>
          <w:tcPr>
            <w:tcW w:w="720" w:type="dxa"/>
            <w:tcBorders>
              <w:right w:val="nil"/>
            </w:tcBorders>
            <w:vAlign w:val="center"/>
          </w:tcPr>
          <w:p w14:paraId="63F7B709" w14:textId="77777777" w:rsidR="008953F5" w:rsidRPr="00057738" w:rsidRDefault="008953F5" w:rsidP="00206DB3">
            <w:pPr>
              <w:jc w:val="center"/>
              <w:rPr>
                <w:sz w:val="22"/>
              </w:rPr>
            </w:pPr>
            <w:r>
              <w:rPr>
                <w:sz w:val="22"/>
              </w:rPr>
              <w:t>--</w:t>
            </w:r>
          </w:p>
        </w:tc>
        <w:tc>
          <w:tcPr>
            <w:tcW w:w="1177" w:type="dxa"/>
            <w:tcBorders>
              <w:top w:val="nil"/>
              <w:left w:val="nil"/>
              <w:bottom w:val="nil"/>
              <w:right w:val="nil"/>
            </w:tcBorders>
            <w:vAlign w:val="center"/>
          </w:tcPr>
          <w:p w14:paraId="3135AD83" w14:textId="77777777" w:rsidR="008953F5" w:rsidRPr="00057738" w:rsidRDefault="008953F5" w:rsidP="00206DB3">
            <w:pPr>
              <w:jc w:val="center"/>
              <w:rPr>
                <w:sz w:val="22"/>
              </w:rPr>
            </w:pPr>
            <w:r>
              <w:rPr>
                <w:sz w:val="22"/>
              </w:rPr>
              <w:t>--</w:t>
            </w:r>
          </w:p>
        </w:tc>
      </w:tr>
      <w:tr w:rsidR="008953F5" w:rsidRPr="00057738" w14:paraId="69B087E9" w14:textId="77777777" w:rsidTr="00206DB3">
        <w:tc>
          <w:tcPr>
            <w:tcW w:w="3060" w:type="dxa"/>
            <w:vAlign w:val="center"/>
          </w:tcPr>
          <w:p w14:paraId="1B359DBC" w14:textId="77777777" w:rsidR="008953F5" w:rsidRPr="000F7257" w:rsidRDefault="008953F5" w:rsidP="00206DB3">
            <w:pPr>
              <w:ind w:left="255"/>
              <w:rPr>
                <w:sz w:val="22"/>
              </w:rPr>
            </w:pPr>
            <w:r w:rsidRPr="000F7257">
              <w:rPr>
                <w:sz w:val="22"/>
              </w:rPr>
              <w:t>Negative cognitions</w:t>
            </w:r>
          </w:p>
        </w:tc>
        <w:tc>
          <w:tcPr>
            <w:tcW w:w="180" w:type="dxa"/>
            <w:vAlign w:val="center"/>
          </w:tcPr>
          <w:p w14:paraId="72F10099" w14:textId="77777777" w:rsidR="008953F5" w:rsidRPr="000F7257" w:rsidRDefault="008953F5" w:rsidP="00206DB3">
            <w:pPr>
              <w:rPr>
                <w:sz w:val="22"/>
              </w:rPr>
            </w:pPr>
          </w:p>
        </w:tc>
        <w:tc>
          <w:tcPr>
            <w:tcW w:w="455" w:type="dxa"/>
            <w:vAlign w:val="center"/>
          </w:tcPr>
          <w:p w14:paraId="22B0DC7A" w14:textId="77777777" w:rsidR="008953F5" w:rsidRPr="000F7257" w:rsidRDefault="008953F5" w:rsidP="00206DB3">
            <w:pPr>
              <w:jc w:val="center"/>
              <w:rPr>
                <w:sz w:val="22"/>
              </w:rPr>
            </w:pPr>
            <w:r w:rsidRPr="000F7257">
              <w:rPr>
                <w:sz w:val="22"/>
              </w:rPr>
              <w:t>3</w:t>
            </w:r>
            <w:r w:rsidRPr="00B86C8B">
              <w:rPr>
                <w:sz w:val="22"/>
                <w:vertAlign w:val="superscript"/>
              </w:rPr>
              <w:t>*</w:t>
            </w:r>
          </w:p>
        </w:tc>
        <w:tc>
          <w:tcPr>
            <w:tcW w:w="798" w:type="dxa"/>
            <w:vAlign w:val="center"/>
          </w:tcPr>
          <w:p w14:paraId="76070790" w14:textId="77777777" w:rsidR="008953F5" w:rsidRPr="000F7257" w:rsidRDefault="008953F5" w:rsidP="00206DB3">
            <w:pPr>
              <w:jc w:val="center"/>
              <w:rPr>
                <w:sz w:val="22"/>
              </w:rPr>
            </w:pPr>
            <w:r w:rsidRPr="000F7257">
              <w:rPr>
                <w:sz w:val="22"/>
              </w:rPr>
              <w:t>--</w:t>
            </w:r>
          </w:p>
        </w:tc>
        <w:tc>
          <w:tcPr>
            <w:tcW w:w="1170" w:type="dxa"/>
            <w:tcBorders>
              <w:right w:val="nil"/>
            </w:tcBorders>
            <w:vAlign w:val="center"/>
          </w:tcPr>
          <w:p w14:paraId="06BA17F3" w14:textId="77777777" w:rsidR="008953F5" w:rsidRPr="000F7257" w:rsidRDefault="008953F5" w:rsidP="00206DB3">
            <w:pPr>
              <w:jc w:val="center"/>
              <w:rPr>
                <w:sz w:val="22"/>
              </w:rPr>
            </w:pPr>
            <w:r w:rsidRPr="000F7257">
              <w:rPr>
                <w:sz w:val="22"/>
              </w:rPr>
              <w:t>--</w:t>
            </w:r>
          </w:p>
        </w:tc>
        <w:tc>
          <w:tcPr>
            <w:tcW w:w="270" w:type="dxa"/>
            <w:tcBorders>
              <w:top w:val="nil"/>
              <w:left w:val="nil"/>
              <w:bottom w:val="nil"/>
              <w:right w:val="nil"/>
            </w:tcBorders>
            <w:vAlign w:val="center"/>
          </w:tcPr>
          <w:p w14:paraId="2C3589D7" w14:textId="77777777" w:rsidR="008953F5" w:rsidRPr="000F7257" w:rsidRDefault="008953F5" w:rsidP="00206DB3">
            <w:pPr>
              <w:rPr>
                <w:sz w:val="22"/>
              </w:rPr>
            </w:pPr>
          </w:p>
        </w:tc>
        <w:tc>
          <w:tcPr>
            <w:tcW w:w="450" w:type="dxa"/>
            <w:tcBorders>
              <w:top w:val="nil"/>
              <w:left w:val="nil"/>
              <w:bottom w:val="nil"/>
            </w:tcBorders>
            <w:vAlign w:val="center"/>
          </w:tcPr>
          <w:p w14:paraId="1CF5B84D" w14:textId="77777777" w:rsidR="008953F5" w:rsidRPr="000F7257" w:rsidRDefault="008953F5" w:rsidP="00206DB3">
            <w:pPr>
              <w:jc w:val="center"/>
              <w:rPr>
                <w:sz w:val="22"/>
              </w:rPr>
            </w:pPr>
            <w:r w:rsidRPr="000F7257">
              <w:rPr>
                <w:sz w:val="22"/>
              </w:rPr>
              <w:t>7</w:t>
            </w:r>
          </w:p>
        </w:tc>
        <w:tc>
          <w:tcPr>
            <w:tcW w:w="720" w:type="dxa"/>
            <w:vAlign w:val="center"/>
          </w:tcPr>
          <w:p w14:paraId="19AC287C" w14:textId="77777777" w:rsidR="008953F5" w:rsidRPr="000F7257" w:rsidRDefault="008953F5" w:rsidP="00206DB3">
            <w:pPr>
              <w:jc w:val="center"/>
              <w:rPr>
                <w:sz w:val="22"/>
              </w:rPr>
            </w:pPr>
            <w:r w:rsidRPr="000F7257">
              <w:rPr>
                <w:sz w:val="22"/>
              </w:rPr>
              <w:t>2.30</w:t>
            </w:r>
          </w:p>
        </w:tc>
        <w:tc>
          <w:tcPr>
            <w:tcW w:w="1260" w:type="dxa"/>
            <w:tcBorders>
              <w:right w:val="nil"/>
            </w:tcBorders>
            <w:vAlign w:val="center"/>
          </w:tcPr>
          <w:p w14:paraId="7C99CD99" w14:textId="77777777" w:rsidR="008953F5" w:rsidRPr="000F7257" w:rsidRDefault="008953F5" w:rsidP="00206DB3">
            <w:pPr>
              <w:jc w:val="center"/>
              <w:rPr>
                <w:sz w:val="22"/>
              </w:rPr>
            </w:pPr>
            <w:r w:rsidRPr="000F7257">
              <w:rPr>
                <w:sz w:val="22"/>
              </w:rPr>
              <w:t>1.67, 3.16</w:t>
            </w:r>
          </w:p>
        </w:tc>
        <w:tc>
          <w:tcPr>
            <w:tcW w:w="270" w:type="dxa"/>
            <w:tcBorders>
              <w:top w:val="nil"/>
              <w:left w:val="nil"/>
              <w:bottom w:val="nil"/>
              <w:right w:val="nil"/>
            </w:tcBorders>
            <w:vAlign w:val="center"/>
          </w:tcPr>
          <w:p w14:paraId="33715B65" w14:textId="77777777" w:rsidR="008953F5" w:rsidRPr="00057738" w:rsidRDefault="008953F5" w:rsidP="00206DB3">
            <w:pPr>
              <w:jc w:val="center"/>
              <w:rPr>
                <w:sz w:val="22"/>
              </w:rPr>
            </w:pPr>
          </w:p>
        </w:tc>
        <w:tc>
          <w:tcPr>
            <w:tcW w:w="450" w:type="dxa"/>
            <w:tcBorders>
              <w:left w:val="nil"/>
            </w:tcBorders>
            <w:vAlign w:val="center"/>
          </w:tcPr>
          <w:p w14:paraId="1ECC126D" w14:textId="77777777" w:rsidR="008953F5" w:rsidRPr="00057738" w:rsidRDefault="008953F5" w:rsidP="00206DB3">
            <w:pPr>
              <w:jc w:val="center"/>
              <w:rPr>
                <w:sz w:val="22"/>
              </w:rPr>
            </w:pPr>
            <w:r>
              <w:rPr>
                <w:sz w:val="22"/>
              </w:rPr>
              <w:t>--</w:t>
            </w:r>
          </w:p>
        </w:tc>
        <w:tc>
          <w:tcPr>
            <w:tcW w:w="720" w:type="dxa"/>
            <w:tcBorders>
              <w:right w:val="nil"/>
            </w:tcBorders>
            <w:vAlign w:val="center"/>
          </w:tcPr>
          <w:p w14:paraId="15EBA62F" w14:textId="77777777" w:rsidR="008953F5" w:rsidRPr="00057738" w:rsidRDefault="008953F5" w:rsidP="00206DB3">
            <w:pPr>
              <w:jc w:val="center"/>
              <w:rPr>
                <w:sz w:val="22"/>
              </w:rPr>
            </w:pPr>
            <w:r>
              <w:rPr>
                <w:sz w:val="22"/>
              </w:rPr>
              <w:t>--</w:t>
            </w:r>
          </w:p>
        </w:tc>
        <w:tc>
          <w:tcPr>
            <w:tcW w:w="1177" w:type="dxa"/>
            <w:tcBorders>
              <w:top w:val="nil"/>
              <w:left w:val="nil"/>
              <w:bottom w:val="nil"/>
              <w:right w:val="nil"/>
            </w:tcBorders>
            <w:vAlign w:val="center"/>
          </w:tcPr>
          <w:p w14:paraId="0C531099" w14:textId="77777777" w:rsidR="008953F5" w:rsidRPr="00057738" w:rsidRDefault="008953F5" w:rsidP="00206DB3">
            <w:pPr>
              <w:jc w:val="center"/>
              <w:rPr>
                <w:sz w:val="22"/>
              </w:rPr>
            </w:pPr>
            <w:r>
              <w:rPr>
                <w:sz w:val="22"/>
              </w:rPr>
              <w:t>--</w:t>
            </w:r>
          </w:p>
        </w:tc>
      </w:tr>
      <w:tr w:rsidR="008953F5" w:rsidRPr="00057738" w14:paraId="7DA62C8E" w14:textId="77777777" w:rsidTr="00206DB3">
        <w:tc>
          <w:tcPr>
            <w:tcW w:w="3060" w:type="dxa"/>
            <w:vAlign w:val="center"/>
          </w:tcPr>
          <w:p w14:paraId="345AD6AD" w14:textId="77777777" w:rsidR="008953F5" w:rsidRPr="000F7257" w:rsidRDefault="008953F5" w:rsidP="00206DB3">
            <w:pPr>
              <w:ind w:left="255"/>
              <w:rPr>
                <w:sz w:val="22"/>
              </w:rPr>
            </w:pPr>
            <w:r w:rsidRPr="000F7257">
              <w:rPr>
                <w:sz w:val="22"/>
              </w:rPr>
              <w:t>Neuroticism</w:t>
            </w:r>
          </w:p>
        </w:tc>
        <w:tc>
          <w:tcPr>
            <w:tcW w:w="180" w:type="dxa"/>
            <w:vAlign w:val="center"/>
          </w:tcPr>
          <w:p w14:paraId="1BEA8D4E" w14:textId="77777777" w:rsidR="008953F5" w:rsidRPr="000F7257" w:rsidRDefault="008953F5" w:rsidP="00206DB3">
            <w:pPr>
              <w:rPr>
                <w:sz w:val="22"/>
              </w:rPr>
            </w:pPr>
          </w:p>
        </w:tc>
        <w:tc>
          <w:tcPr>
            <w:tcW w:w="455" w:type="dxa"/>
            <w:vAlign w:val="center"/>
          </w:tcPr>
          <w:p w14:paraId="103BB6BD" w14:textId="77777777" w:rsidR="008953F5" w:rsidRPr="000F7257" w:rsidRDefault="008953F5" w:rsidP="00206DB3">
            <w:pPr>
              <w:jc w:val="center"/>
              <w:rPr>
                <w:sz w:val="22"/>
              </w:rPr>
            </w:pPr>
            <w:r w:rsidRPr="000F7257">
              <w:rPr>
                <w:sz w:val="22"/>
              </w:rPr>
              <w:t>3</w:t>
            </w:r>
            <w:r w:rsidRPr="00B86C8B">
              <w:rPr>
                <w:sz w:val="22"/>
                <w:vertAlign w:val="superscript"/>
              </w:rPr>
              <w:t>*</w:t>
            </w:r>
          </w:p>
        </w:tc>
        <w:tc>
          <w:tcPr>
            <w:tcW w:w="798" w:type="dxa"/>
            <w:vAlign w:val="center"/>
          </w:tcPr>
          <w:p w14:paraId="5DDE3C7C" w14:textId="77777777" w:rsidR="008953F5" w:rsidRPr="000F7257" w:rsidRDefault="008953F5" w:rsidP="00206DB3">
            <w:pPr>
              <w:jc w:val="center"/>
              <w:rPr>
                <w:sz w:val="22"/>
              </w:rPr>
            </w:pPr>
            <w:r w:rsidRPr="000F7257">
              <w:rPr>
                <w:sz w:val="22"/>
              </w:rPr>
              <w:t>--</w:t>
            </w:r>
          </w:p>
        </w:tc>
        <w:tc>
          <w:tcPr>
            <w:tcW w:w="1170" w:type="dxa"/>
            <w:tcBorders>
              <w:right w:val="nil"/>
            </w:tcBorders>
            <w:vAlign w:val="center"/>
          </w:tcPr>
          <w:p w14:paraId="31C35A5B" w14:textId="77777777" w:rsidR="008953F5" w:rsidRPr="000F7257" w:rsidRDefault="008953F5" w:rsidP="00206DB3">
            <w:pPr>
              <w:jc w:val="center"/>
              <w:rPr>
                <w:sz w:val="22"/>
              </w:rPr>
            </w:pPr>
            <w:r w:rsidRPr="000F7257">
              <w:rPr>
                <w:sz w:val="22"/>
              </w:rPr>
              <w:t>--</w:t>
            </w:r>
          </w:p>
        </w:tc>
        <w:tc>
          <w:tcPr>
            <w:tcW w:w="270" w:type="dxa"/>
            <w:tcBorders>
              <w:top w:val="nil"/>
              <w:left w:val="nil"/>
              <w:bottom w:val="nil"/>
              <w:right w:val="nil"/>
            </w:tcBorders>
            <w:vAlign w:val="center"/>
          </w:tcPr>
          <w:p w14:paraId="2E6E31D2" w14:textId="77777777" w:rsidR="008953F5" w:rsidRPr="000F7257" w:rsidRDefault="008953F5" w:rsidP="00206DB3">
            <w:pPr>
              <w:rPr>
                <w:sz w:val="22"/>
              </w:rPr>
            </w:pPr>
          </w:p>
        </w:tc>
        <w:tc>
          <w:tcPr>
            <w:tcW w:w="450" w:type="dxa"/>
            <w:tcBorders>
              <w:top w:val="nil"/>
              <w:left w:val="nil"/>
              <w:bottom w:val="nil"/>
            </w:tcBorders>
            <w:vAlign w:val="center"/>
          </w:tcPr>
          <w:p w14:paraId="547A1A2F" w14:textId="77777777" w:rsidR="008953F5" w:rsidRPr="000F7257" w:rsidRDefault="008953F5" w:rsidP="00206DB3">
            <w:pPr>
              <w:jc w:val="center"/>
              <w:rPr>
                <w:sz w:val="22"/>
              </w:rPr>
            </w:pPr>
            <w:r w:rsidRPr="000F7257">
              <w:rPr>
                <w:sz w:val="22"/>
              </w:rPr>
              <w:t>4</w:t>
            </w:r>
          </w:p>
        </w:tc>
        <w:tc>
          <w:tcPr>
            <w:tcW w:w="720" w:type="dxa"/>
            <w:vAlign w:val="center"/>
          </w:tcPr>
          <w:p w14:paraId="6B4B4F31" w14:textId="77777777" w:rsidR="008953F5" w:rsidRPr="000F7257" w:rsidRDefault="008953F5" w:rsidP="00206DB3">
            <w:pPr>
              <w:jc w:val="center"/>
              <w:rPr>
                <w:sz w:val="22"/>
              </w:rPr>
            </w:pPr>
            <w:r w:rsidRPr="000F7257">
              <w:rPr>
                <w:sz w:val="22"/>
              </w:rPr>
              <w:t>1.</w:t>
            </w:r>
            <w:r>
              <w:rPr>
                <w:sz w:val="22"/>
              </w:rPr>
              <w:t>06</w:t>
            </w:r>
          </w:p>
        </w:tc>
        <w:tc>
          <w:tcPr>
            <w:tcW w:w="1260" w:type="dxa"/>
            <w:tcBorders>
              <w:right w:val="nil"/>
            </w:tcBorders>
            <w:vAlign w:val="center"/>
          </w:tcPr>
          <w:p w14:paraId="432A0E00" w14:textId="77777777" w:rsidR="008953F5" w:rsidRPr="000F7257" w:rsidRDefault="008953F5" w:rsidP="00206DB3">
            <w:pPr>
              <w:jc w:val="center"/>
              <w:rPr>
                <w:sz w:val="22"/>
              </w:rPr>
            </w:pPr>
            <w:r w:rsidRPr="000F7257">
              <w:rPr>
                <w:sz w:val="22"/>
              </w:rPr>
              <w:t>0.9</w:t>
            </w:r>
            <w:r>
              <w:rPr>
                <w:sz w:val="22"/>
              </w:rPr>
              <w:t>8</w:t>
            </w:r>
            <w:r w:rsidRPr="000F7257">
              <w:rPr>
                <w:sz w:val="22"/>
              </w:rPr>
              <w:t xml:space="preserve">, </w:t>
            </w:r>
            <w:r>
              <w:rPr>
                <w:sz w:val="22"/>
              </w:rPr>
              <w:t>1.16</w:t>
            </w:r>
          </w:p>
        </w:tc>
        <w:tc>
          <w:tcPr>
            <w:tcW w:w="270" w:type="dxa"/>
            <w:tcBorders>
              <w:top w:val="nil"/>
              <w:left w:val="nil"/>
              <w:bottom w:val="nil"/>
              <w:right w:val="nil"/>
            </w:tcBorders>
            <w:vAlign w:val="center"/>
          </w:tcPr>
          <w:p w14:paraId="3F67F1F0" w14:textId="77777777" w:rsidR="008953F5" w:rsidRPr="00057738" w:rsidRDefault="008953F5" w:rsidP="00206DB3">
            <w:pPr>
              <w:jc w:val="center"/>
              <w:rPr>
                <w:sz w:val="22"/>
              </w:rPr>
            </w:pPr>
          </w:p>
        </w:tc>
        <w:tc>
          <w:tcPr>
            <w:tcW w:w="450" w:type="dxa"/>
            <w:tcBorders>
              <w:left w:val="nil"/>
            </w:tcBorders>
            <w:vAlign w:val="center"/>
          </w:tcPr>
          <w:p w14:paraId="11B95929" w14:textId="77777777" w:rsidR="008953F5" w:rsidRPr="00057738" w:rsidRDefault="008953F5" w:rsidP="00206DB3">
            <w:pPr>
              <w:jc w:val="center"/>
              <w:rPr>
                <w:sz w:val="22"/>
              </w:rPr>
            </w:pPr>
            <w:r>
              <w:rPr>
                <w:sz w:val="22"/>
              </w:rPr>
              <w:t>2</w:t>
            </w:r>
            <w:r w:rsidRPr="00B86C8B">
              <w:rPr>
                <w:sz w:val="22"/>
                <w:vertAlign w:val="superscript"/>
              </w:rPr>
              <w:t>*</w:t>
            </w:r>
          </w:p>
        </w:tc>
        <w:tc>
          <w:tcPr>
            <w:tcW w:w="720" w:type="dxa"/>
            <w:tcBorders>
              <w:right w:val="nil"/>
            </w:tcBorders>
            <w:vAlign w:val="center"/>
          </w:tcPr>
          <w:p w14:paraId="0E9E2CA0" w14:textId="77777777" w:rsidR="008953F5" w:rsidRPr="00057738" w:rsidRDefault="008953F5" w:rsidP="00206DB3">
            <w:pPr>
              <w:jc w:val="center"/>
              <w:rPr>
                <w:sz w:val="22"/>
              </w:rPr>
            </w:pPr>
            <w:r>
              <w:rPr>
                <w:sz w:val="22"/>
              </w:rPr>
              <w:t>--</w:t>
            </w:r>
          </w:p>
        </w:tc>
        <w:tc>
          <w:tcPr>
            <w:tcW w:w="1177" w:type="dxa"/>
            <w:tcBorders>
              <w:top w:val="nil"/>
              <w:left w:val="nil"/>
              <w:bottom w:val="nil"/>
              <w:right w:val="nil"/>
            </w:tcBorders>
            <w:vAlign w:val="center"/>
          </w:tcPr>
          <w:p w14:paraId="6522A87A" w14:textId="77777777" w:rsidR="008953F5" w:rsidRPr="00057738" w:rsidRDefault="008953F5" w:rsidP="00206DB3">
            <w:pPr>
              <w:jc w:val="center"/>
              <w:rPr>
                <w:sz w:val="22"/>
              </w:rPr>
            </w:pPr>
            <w:r>
              <w:rPr>
                <w:sz w:val="22"/>
              </w:rPr>
              <w:t>--</w:t>
            </w:r>
          </w:p>
        </w:tc>
      </w:tr>
      <w:tr w:rsidR="008953F5" w:rsidRPr="00057738" w14:paraId="1B212CA8" w14:textId="77777777" w:rsidTr="00206DB3">
        <w:tc>
          <w:tcPr>
            <w:tcW w:w="3060" w:type="dxa"/>
            <w:vAlign w:val="center"/>
          </w:tcPr>
          <w:p w14:paraId="6B08346D" w14:textId="77777777" w:rsidR="008953F5" w:rsidRPr="000F7257" w:rsidRDefault="008953F5" w:rsidP="00206DB3">
            <w:pPr>
              <w:ind w:left="255"/>
              <w:rPr>
                <w:sz w:val="22"/>
              </w:rPr>
            </w:pPr>
            <w:r w:rsidRPr="000F7257">
              <w:rPr>
                <w:sz w:val="22"/>
              </w:rPr>
              <w:t>Rumination</w:t>
            </w:r>
          </w:p>
        </w:tc>
        <w:tc>
          <w:tcPr>
            <w:tcW w:w="180" w:type="dxa"/>
            <w:vAlign w:val="center"/>
          </w:tcPr>
          <w:p w14:paraId="34D028B8" w14:textId="77777777" w:rsidR="008953F5" w:rsidRPr="000F7257" w:rsidRDefault="008953F5" w:rsidP="00206DB3">
            <w:pPr>
              <w:rPr>
                <w:sz w:val="22"/>
              </w:rPr>
            </w:pPr>
          </w:p>
        </w:tc>
        <w:tc>
          <w:tcPr>
            <w:tcW w:w="455" w:type="dxa"/>
            <w:vAlign w:val="center"/>
          </w:tcPr>
          <w:p w14:paraId="30B6DCB5" w14:textId="77777777" w:rsidR="008953F5" w:rsidRPr="000F7257" w:rsidRDefault="008953F5" w:rsidP="00206DB3">
            <w:pPr>
              <w:jc w:val="center"/>
              <w:rPr>
                <w:sz w:val="22"/>
              </w:rPr>
            </w:pPr>
            <w:r w:rsidRPr="000F7257">
              <w:rPr>
                <w:sz w:val="22"/>
              </w:rPr>
              <w:t>5</w:t>
            </w:r>
          </w:p>
        </w:tc>
        <w:tc>
          <w:tcPr>
            <w:tcW w:w="798" w:type="dxa"/>
            <w:vAlign w:val="center"/>
          </w:tcPr>
          <w:p w14:paraId="723DD8A1" w14:textId="77777777" w:rsidR="008953F5" w:rsidRPr="000F7257" w:rsidRDefault="008953F5" w:rsidP="00206DB3">
            <w:pPr>
              <w:jc w:val="center"/>
              <w:rPr>
                <w:sz w:val="22"/>
              </w:rPr>
            </w:pPr>
            <w:r w:rsidRPr="000F7257">
              <w:rPr>
                <w:sz w:val="22"/>
              </w:rPr>
              <w:t>3.73</w:t>
            </w:r>
          </w:p>
        </w:tc>
        <w:tc>
          <w:tcPr>
            <w:tcW w:w="1170" w:type="dxa"/>
            <w:tcBorders>
              <w:right w:val="nil"/>
            </w:tcBorders>
            <w:vAlign w:val="center"/>
          </w:tcPr>
          <w:p w14:paraId="49AC8044" w14:textId="77777777" w:rsidR="008953F5" w:rsidRPr="000F7257" w:rsidRDefault="008953F5" w:rsidP="00206DB3">
            <w:pPr>
              <w:jc w:val="center"/>
              <w:rPr>
                <w:sz w:val="22"/>
              </w:rPr>
            </w:pPr>
            <w:r w:rsidRPr="000F7257">
              <w:rPr>
                <w:sz w:val="22"/>
              </w:rPr>
              <w:t>1.86, 7.49</w:t>
            </w:r>
          </w:p>
        </w:tc>
        <w:tc>
          <w:tcPr>
            <w:tcW w:w="270" w:type="dxa"/>
            <w:tcBorders>
              <w:top w:val="nil"/>
              <w:left w:val="nil"/>
              <w:bottom w:val="nil"/>
              <w:right w:val="nil"/>
            </w:tcBorders>
            <w:vAlign w:val="center"/>
          </w:tcPr>
          <w:p w14:paraId="79C17A34" w14:textId="77777777" w:rsidR="008953F5" w:rsidRPr="000F7257" w:rsidRDefault="008953F5" w:rsidP="00206DB3">
            <w:pPr>
              <w:rPr>
                <w:sz w:val="22"/>
              </w:rPr>
            </w:pPr>
          </w:p>
        </w:tc>
        <w:tc>
          <w:tcPr>
            <w:tcW w:w="450" w:type="dxa"/>
            <w:tcBorders>
              <w:top w:val="nil"/>
              <w:left w:val="nil"/>
              <w:bottom w:val="nil"/>
            </w:tcBorders>
            <w:vAlign w:val="center"/>
          </w:tcPr>
          <w:p w14:paraId="0E7A245D" w14:textId="77777777" w:rsidR="008953F5" w:rsidRPr="000F7257" w:rsidRDefault="008953F5" w:rsidP="00206DB3">
            <w:pPr>
              <w:jc w:val="center"/>
              <w:rPr>
                <w:sz w:val="22"/>
              </w:rPr>
            </w:pPr>
            <w:r w:rsidRPr="000F7257">
              <w:rPr>
                <w:sz w:val="22"/>
              </w:rPr>
              <w:t>1</w:t>
            </w:r>
            <w:r w:rsidRPr="00B86C8B">
              <w:rPr>
                <w:sz w:val="22"/>
                <w:vertAlign w:val="superscript"/>
              </w:rPr>
              <w:t>*</w:t>
            </w:r>
          </w:p>
        </w:tc>
        <w:tc>
          <w:tcPr>
            <w:tcW w:w="720" w:type="dxa"/>
            <w:vAlign w:val="center"/>
          </w:tcPr>
          <w:p w14:paraId="7ED1C6D8" w14:textId="77777777" w:rsidR="008953F5" w:rsidRPr="000F7257" w:rsidRDefault="008953F5" w:rsidP="00206DB3">
            <w:pPr>
              <w:jc w:val="center"/>
              <w:rPr>
                <w:sz w:val="22"/>
              </w:rPr>
            </w:pPr>
            <w:r w:rsidRPr="000F7257">
              <w:rPr>
                <w:sz w:val="22"/>
              </w:rPr>
              <w:t>--</w:t>
            </w:r>
          </w:p>
        </w:tc>
        <w:tc>
          <w:tcPr>
            <w:tcW w:w="1260" w:type="dxa"/>
            <w:tcBorders>
              <w:right w:val="nil"/>
            </w:tcBorders>
            <w:vAlign w:val="center"/>
          </w:tcPr>
          <w:p w14:paraId="50C63C1C" w14:textId="77777777" w:rsidR="008953F5" w:rsidRPr="000F7257" w:rsidRDefault="008953F5" w:rsidP="00206DB3">
            <w:pPr>
              <w:jc w:val="center"/>
              <w:rPr>
                <w:sz w:val="22"/>
              </w:rPr>
            </w:pPr>
            <w:r w:rsidRPr="000F7257">
              <w:rPr>
                <w:sz w:val="22"/>
              </w:rPr>
              <w:t>--</w:t>
            </w:r>
          </w:p>
        </w:tc>
        <w:tc>
          <w:tcPr>
            <w:tcW w:w="270" w:type="dxa"/>
            <w:tcBorders>
              <w:top w:val="nil"/>
              <w:left w:val="nil"/>
              <w:bottom w:val="nil"/>
              <w:right w:val="nil"/>
            </w:tcBorders>
            <w:vAlign w:val="center"/>
          </w:tcPr>
          <w:p w14:paraId="5FFCF0E3" w14:textId="77777777" w:rsidR="008953F5" w:rsidRPr="00057738" w:rsidRDefault="008953F5" w:rsidP="00206DB3">
            <w:pPr>
              <w:jc w:val="center"/>
              <w:rPr>
                <w:sz w:val="22"/>
              </w:rPr>
            </w:pPr>
          </w:p>
        </w:tc>
        <w:tc>
          <w:tcPr>
            <w:tcW w:w="450" w:type="dxa"/>
            <w:tcBorders>
              <w:left w:val="nil"/>
            </w:tcBorders>
            <w:vAlign w:val="center"/>
          </w:tcPr>
          <w:p w14:paraId="05B211D4" w14:textId="77777777" w:rsidR="008953F5" w:rsidRPr="00057738" w:rsidRDefault="008953F5" w:rsidP="00206DB3">
            <w:pPr>
              <w:jc w:val="center"/>
              <w:rPr>
                <w:sz w:val="22"/>
              </w:rPr>
            </w:pPr>
            <w:r>
              <w:rPr>
                <w:sz w:val="22"/>
              </w:rPr>
              <w:t>1</w:t>
            </w:r>
            <w:r w:rsidRPr="00B86C8B">
              <w:rPr>
                <w:sz w:val="22"/>
                <w:vertAlign w:val="superscript"/>
              </w:rPr>
              <w:t>*</w:t>
            </w:r>
          </w:p>
        </w:tc>
        <w:tc>
          <w:tcPr>
            <w:tcW w:w="720" w:type="dxa"/>
            <w:tcBorders>
              <w:right w:val="nil"/>
            </w:tcBorders>
            <w:vAlign w:val="center"/>
          </w:tcPr>
          <w:p w14:paraId="1B62B1EF" w14:textId="77777777" w:rsidR="008953F5" w:rsidRPr="00057738" w:rsidRDefault="008953F5" w:rsidP="00206DB3">
            <w:pPr>
              <w:jc w:val="center"/>
              <w:rPr>
                <w:sz w:val="22"/>
              </w:rPr>
            </w:pPr>
            <w:r>
              <w:rPr>
                <w:sz w:val="22"/>
              </w:rPr>
              <w:t>--</w:t>
            </w:r>
          </w:p>
        </w:tc>
        <w:tc>
          <w:tcPr>
            <w:tcW w:w="1177" w:type="dxa"/>
            <w:tcBorders>
              <w:top w:val="nil"/>
              <w:left w:val="nil"/>
              <w:bottom w:val="nil"/>
              <w:right w:val="nil"/>
            </w:tcBorders>
            <w:vAlign w:val="center"/>
          </w:tcPr>
          <w:p w14:paraId="3450CEFA" w14:textId="77777777" w:rsidR="008953F5" w:rsidRPr="00057738" w:rsidRDefault="008953F5" w:rsidP="00206DB3">
            <w:pPr>
              <w:jc w:val="center"/>
              <w:rPr>
                <w:sz w:val="22"/>
              </w:rPr>
            </w:pPr>
            <w:r>
              <w:rPr>
                <w:sz w:val="22"/>
              </w:rPr>
              <w:t>--</w:t>
            </w:r>
          </w:p>
        </w:tc>
      </w:tr>
      <w:tr w:rsidR="008953F5" w:rsidRPr="00057738" w14:paraId="5DDD1AED" w14:textId="77777777" w:rsidTr="00206DB3">
        <w:tc>
          <w:tcPr>
            <w:tcW w:w="3060" w:type="dxa"/>
            <w:vAlign w:val="center"/>
          </w:tcPr>
          <w:p w14:paraId="62BAE8B8" w14:textId="77777777" w:rsidR="008953F5" w:rsidRDefault="008953F5" w:rsidP="00206DB3">
            <w:pPr>
              <w:ind w:left="255"/>
              <w:rPr>
                <w:sz w:val="22"/>
              </w:rPr>
            </w:pPr>
            <w:r>
              <w:rPr>
                <w:sz w:val="22"/>
              </w:rPr>
              <w:t>Social/Interpersonal problems</w:t>
            </w:r>
          </w:p>
        </w:tc>
        <w:tc>
          <w:tcPr>
            <w:tcW w:w="180" w:type="dxa"/>
            <w:vAlign w:val="center"/>
          </w:tcPr>
          <w:p w14:paraId="377EC3D2" w14:textId="77777777" w:rsidR="008953F5" w:rsidRPr="00057738" w:rsidRDefault="008953F5" w:rsidP="00206DB3">
            <w:pPr>
              <w:rPr>
                <w:sz w:val="22"/>
              </w:rPr>
            </w:pPr>
          </w:p>
        </w:tc>
        <w:tc>
          <w:tcPr>
            <w:tcW w:w="455" w:type="dxa"/>
            <w:vAlign w:val="center"/>
          </w:tcPr>
          <w:p w14:paraId="152B1520" w14:textId="77777777" w:rsidR="008953F5" w:rsidRDefault="008953F5" w:rsidP="00206DB3">
            <w:pPr>
              <w:jc w:val="center"/>
              <w:rPr>
                <w:sz w:val="22"/>
              </w:rPr>
            </w:pPr>
            <w:r>
              <w:rPr>
                <w:sz w:val="22"/>
              </w:rPr>
              <w:t>12</w:t>
            </w:r>
          </w:p>
        </w:tc>
        <w:tc>
          <w:tcPr>
            <w:tcW w:w="798" w:type="dxa"/>
            <w:vAlign w:val="center"/>
          </w:tcPr>
          <w:p w14:paraId="30D62B31" w14:textId="77777777" w:rsidR="008953F5" w:rsidRDefault="008953F5" w:rsidP="00206DB3">
            <w:pPr>
              <w:jc w:val="center"/>
              <w:rPr>
                <w:sz w:val="22"/>
              </w:rPr>
            </w:pPr>
            <w:r>
              <w:rPr>
                <w:sz w:val="22"/>
              </w:rPr>
              <w:t>1.59</w:t>
            </w:r>
          </w:p>
        </w:tc>
        <w:tc>
          <w:tcPr>
            <w:tcW w:w="1170" w:type="dxa"/>
            <w:tcBorders>
              <w:right w:val="nil"/>
            </w:tcBorders>
            <w:vAlign w:val="center"/>
          </w:tcPr>
          <w:p w14:paraId="2343C3FB" w14:textId="77777777" w:rsidR="008953F5" w:rsidRDefault="008953F5" w:rsidP="00206DB3">
            <w:pPr>
              <w:jc w:val="center"/>
              <w:rPr>
                <w:sz w:val="22"/>
              </w:rPr>
            </w:pPr>
            <w:r>
              <w:rPr>
                <w:sz w:val="22"/>
              </w:rPr>
              <w:t>1.30, 1.95</w:t>
            </w:r>
          </w:p>
        </w:tc>
        <w:tc>
          <w:tcPr>
            <w:tcW w:w="270" w:type="dxa"/>
            <w:tcBorders>
              <w:top w:val="nil"/>
              <w:left w:val="nil"/>
              <w:bottom w:val="single" w:sz="4" w:space="0" w:color="auto"/>
              <w:right w:val="nil"/>
            </w:tcBorders>
            <w:vAlign w:val="center"/>
          </w:tcPr>
          <w:p w14:paraId="79C22B1A" w14:textId="77777777" w:rsidR="008953F5" w:rsidRPr="00057738" w:rsidRDefault="008953F5" w:rsidP="00206DB3">
            <w:pPr>
              <w:rPr>
                <w:sz w:val="22"/>
              </w:rPr>
            </w:pPr>
          </w:p>
        </w:tc>
        <w:tc>
          <w:tcPr>
            <w:tcW w:w="450" w:type="dxa"/>
            <w:tcBorders>
              <w:top w:val="nil"/>
              <w:left w:val="nil"/>
              <w:bottom w:val="single" w:sz="4" w:space="0" w:color="auto"/>
            </w:tcBorders>
            <w:vAlign w:val="center"/>
          </w:tcPr>
          <w:p w14:paraId="28FC8A1E" w14:textId="77777777" w:rsidR="008953F5" w:rsidRDefault="008953F5" w:rsidP="00206DB3">
            <w:pPr>
              <w:jc w:val="center"/>
              <w:rPr>
                <w:sz w:val="22"/>
              </w:rPr>
            </w:pPr>
            <w:r>
              <w:rPr>
                <w:sz w:val="22"/>
              </w:rPr>
              <w:t>11</w:t>
            </w:r>
          </w:p>
        </w:tc>
        <w:tc>
          <w:tcPr>
            <w:tcW w:w="720" w:type="dxa"/>
            <w:vAlign w:val="center"/>
          </w:tcPr>
          <w:p w14:paraId="7B4B7C88" w14:textId="77777777" w:rsidR="008953F5" w:rsidRDefault="008953F5" w:rsidP="00206DB3">
            <w:pPr>
              <w:jc w:val="center"/>
              <w:rPr>
                <w:sz w:val="22"/>
              </w:rPr>
            </w:pPr>
            <w:r>
              <w:rPr>
                <w:sz w:val="22"/>
              </w:rPr>
              <w:t>1.46</w:t>
            </w:r>
          </w:p>
        </w:tc>
        <w:tc>
          <w:tcPr>
            <w:tcW w:w="1260" w:type="dxa"/>
            <w:tcBorders>
              <w:right w:val="nil"/>
            </w:tcBorders>
            <w:vAlign w:val="center"/>
          </w:tcPr>
          <w:p w14:paraId="19F5733B" w14:textId="77777777" w:rsidR="008953F5" w:rsidRDefault="008953F5" w:rsidP="00206DB3">
            <w:pPr>
              <w:jc w:val="center"/>
              <w:rPr>
                <w:sz w:val="22"/>
              </w:rPr>
            </w:pPr>
            <w:r>
              <w:rPr>
                <w:sz w:val="22"/>
              </w:rPr>
              <w:t>1.25, 1.70</w:t>
            </w:r>
          </w:p>
        </w:tc>
        <w:tc>
          <w:tcPr>
            <w:tcW w:w="270" w:type="dxa"/>
            <w:tcBorders>
              <w:top w:val="nil"/>
              <w:left w:val="nil"/>
              <w:bottom w:val="single" w:sz="4" w:space="0" w:color="auto"/>
              <w:right w:val="nil"/>
            </w:tcBorders>
            <w:vAlign w:val="center"/>
          </w:tcPr>
          <w:p w14:paraId="785261CB" w14:textId="77777777" w:rsidR="008953F5" w:rsidRPr="00057738" w:rsidRDefault="008953F5" w:rsidP="00206DB3">
            <w:pPr>
              <w:jc w:val="center"/>
              <w:rPr>
                <w:sz w:val="22"/>
              </w:rPr>
            </w:pPr>
          </w:p>
        </w:tc>
        <w:tc>
          <w:tcPr>
            <w:tcW w:w="450" w:type="dxa"/>
            <w:tcBorders>
              <w:left w:val="nil"/>
            </w:tcBorders>
            <w:vAlign w:val="center"/>
          </w:tcPr>
          <w:p w14:paraId="0B7E8DE7" w14:textId="77777777" w:rsidR="008953F5" w:rsidRPr="00057738" w:rsidRDefault="008953F5" w:rsidP="00206DB3">
            <w:pPr>
              <w:jc w:val="center"/>
              <w:rPr>
                <w:sz w:val="22"/>
              </w:rPr>
            </w:pPr>
            <w:r>
              <w:rPr>
                <w:sz w:val="22"/>
              </w:rPr>
              <w:t>6</w:t>
            </w:r>
          </w:p>
        </w:tc>
        <w:tc>
          <w:tcPr>
            <w:tcW w:w="720" w:type="dxa"/>
            <w:tcBorders>
              <w:right w:val="nil"/>
            </w:tcBorders>
            <w:vAlign w:val="center"/>
          </w:tcPr>
          <w:p w14:paraId="111692CA" w14:textId="77777777" w:rsidR="008953F5" w:rsidRPr="00057738" w:rsidRDefault="008953F5" w:rsidP="00206DB3">
            <w:pPr>
              <w:jc w:val="center"/>
              <w:rPr>
                <w:sz w:val="22"/>
              </w:rPr>
            </w:pPr>
            <w:r>
              <w:rPr>
                <w:sz w:val="22"/>
              </w:rPr>
              <w:t>1.32</w:t>
            </w:r>
          </w:p>
        </w:tc>
        <w:tc>
          <w:tcPr>
            <w:tcW w:w="1177" w:type="dxa"/>
            <w:tcBorders>
              <w:top w:val="nil"/>
              <w:left w:val="nil"/>
              <w:bottom w:val="single" w:sz="4" w:space="0" w:color="auto"/>
              <w:right w:val="nil"/>
            </w:tcBorders>
            <w:vAlign w:val="center"/>
          </w:tcPr>
          <w:p w14:paraId="2A0A07E1" w14:textId="77777777" w:rsidR="008953F5" w:rsidRPr="00057738" w:rsidRDefault="008953F5" w:rsidP="00206DB3">
            <w:pPr>
              <w:jc w:val="center"/>
              <w:rPr>
                <w:sz w:val="22"/>
              </w:rPr>
            </w:pPr>
            <w:r>
              <w:rPr>
                <w:sz w:val="22"/>
              </w:rPr>
              <w:t>1.01, 1.73</w:t>
            </w:r>
          </w:p>
        </w:tc>
      </w:tr>
    </w:tbl>
    <w:p w14:paraId="065EEE49" w14:textId="77777777" w:rsidR="008953F5" w:rsidRDefault="008953F5" w:rsidP="008953F5">
      <w:pPr>
        <w:rPr>
          <w:sz w:val="22"/>
        </w:rPr>
      </w:pPr>
      <w:r w:rsidRPr="00CC4F82">
        <w:rPr>
          <w:i/>
          <w:sz w:val="22"/>
        </w:rPr>
        <w:t>Note.</w:t>
      </w:r>
      <w:r w:rsidRPr="00CC4F82">
        <w:rPr>
          <w:sz w:val="22"/>
        </w:rPr>
        <w:t xml:space="preserve"> </w:t>
      </w:r>
      <w:r w:rsidRPr="00B86C8B">
        <w:rPr>
          <w:sz w:val="22"/>
        </w:rPr>
        <w:t xml:space="preserve">*Estimates are not reported for analyses involving 3 or fewer cases, as the small number of cases compromise the reliability of estimates; Risk Factor categories with fewer than 3 cases across all three outcomes are not listed in the table; n=number of prediction cases; </w:t>
      </w:r>
      <w:proofErr w:type="spellStart"/>
      <w:r>
        <w:rPr>
          <w:sz w:val="22"/>
        </w:rPr>
        <w:t>w</w:t>
      </w:r>
      <w:r w:rsidRPr="00B86C8B">
        <w:rPr>
          <w:sz w:val="22"/>
        </w:rPr>
        <w:t>OR</w:t>
      </w:r>
      <w:proofErr w:type="spellEnd"/>
      <w:r w:rsidRPr="00B86C8B">
        <w:rPr>
          <w:sz w:val="22"/>
        </w:rPr>
        <w:t>=weighted mean odds ratio; 95% CI = 95% confide</w:t>
      </w:r>
      <w:r>
        <w:rPr>
          <w:sz w:val="22"/>
        </w:rPr>
        <w:t>nce interval; Dashes (i.e., “--”</w:t>
      </w:r>
      <w:r w:rsidRPr="00B86C8B">
        <w:rPr>
          <w:sz w:val="22"/>
        </w:rPr>
        <w:t>) indicate that information was not av</w:t>
      </w:r>
      <w:r>
        <w:rPr>
          <w:sz w:val="22"/>
        </w:rPr>
        <w:t xml:space="preserve">ailable. </w:t>
      </w:r>
    </w:p>
    <w:p w14:paraId="02E8277D" w14:textId="77777777" w:rsidR="008953F5" w:rsidRDefault="008953F5" w:rsidP="008953F5">
      <w:pPr>
        <w:spacing w:line="480" w:lineRule="auto"/>
        <w:rPr>
          <w:rFonts w:cs="Times New Roman"/>
          <w:b/>
          <w:szCs w:val="24"/>
        </w:rPr>
      </w:pPr>
    </w:p>
    <w:p w14:paraId="3DF0420C" w14:textId="08B4DC68" w:rsidR="00E42300" w:rsidRDefault="00B27DC0" w:rsidP="004D619C">
      <w:pPr>
        <w:spacing w:line="480" w:lineRule="auto"/>
        <w:rPr>
          <w:rFonts w:cs="Times New Roman"/>
          <w:b/>
          <w:szCs w:val="24"/>
        </w:rPr>
      </w:pPr>
      <w:r>
        <w:rPr>
          <w:rFonts w:cs="Times New Roman"/>
          <w:b/>
          <w:szCs w:val="24"/>
        </w:rPr>
        <w:t>Supplementa</w:t>
      </w:r>
      <w:r w:rsidR="00E42300">
        <w:rPr>
          <w:rFonts w:cs="Times New Roman"/>
          <w:b/>
          <w:szCs w:val="24"/>
        </w:rPr>
        <w:t xml:space="preserve">ry </w:t>
      </w:r>
      <w:r w:rsidR="008953F5">
        <w:rPr>
          <w:rFonts w:cs="Times New Roman"/>
          <w:b/>
          <w:szCs w:val="24"/>
        </w:rPr>
        <w:t>D</w:t>
      </w:r>
      <w:r w:rsidR="00E42300">
        <w:rPr>
          <w:rFonts w:cs="Times New Roman"/>
          <w:b/>
          <w:szCs w:val="24"/>
        </w:rPr>
        <w:t>ata 1</w:t>
      </w:r>
    </w:p>
    <w:p w14:paraId="596EC6AF" w14:textId="77777777" w:rsidR="00E42300" w:rsidRPr="008C7FF3" w:rsidRDefault="00E42300" w:rsidP="00E42300">
      <w:pPr>
        <w:pStyle w:val="Default"/>
        <w:spacing w:line="480" w:lineRule="auto"/>
        <w:ind w:left="810" w:hanging="810"/>
        <w:contextualSpacing/>
        <w:jc w:val="center"/>
        <w:outlineLvl w:val="0"/>
        <w:rPr>
          <w:rFonts w:ascii="Times New Roman" w:eastAsia="Times New Roman" w:hAnsi="Times New Roman" w:cs="Times New Roman"/>
          <w:color w:val="auto"/>
          <w:sz w:val="24"/>
          <w:szCs w:val="24"/>
          <w:lang w:val="en-US"/>
        </w:rPr>
      </w:pPr>
      <w:r w:rsidRPr="008C7FF3">
        <w:rPr>
          <w:rFonts w:ascii="Times New Roman" w:eastAsia="Times New Roman" w:hAnsi="Times New Roman" w:cs="Times New Roman"/>
          <w:b/>
          <w:color w:val="auto"/>
          <w:sz w:val="24"/>
          <w:szCs w:val="24"/>
          <w:lang w:val="en-US"/>
        </w:rPr>
        <w:t>References of Studies Included in Meta-Analysis</w:t>
      </w:r>
    </w:p>
    <w:p w14:paraId="09C909CF" w14:textId="77777777" w:rsidR="00E42300" w:rsidRPr="008C7FF3" w:rsidRDefault="00E42300" w:rsidP="00E42300">
      <w:pPr>
        <w:pStyle w:val="ListParagraph"/>
        <w:numPr>
          <w:ilvl w:val="0"/>
          <w:numId w:val="1"/>
        </w:numPr>
        <w:spacing w:line="480" w:lineRule="auto"/>
        <w:ind w:left="720"/>
      </w:pPr>
      <w:proofErr w:type="spellStart"/>
      <w:r w:rsidRPr="008C7FF3">
        <w:t>Agerbo</w:t>
      </w:r>
      <w:proofErr w:type="spellEnd"/>
      <w:r w:rsidRPr="008C7FF3">
        <w:t xml:space="preserve"> E. Midlife suicide risk, partner’s psychiatric illness, spouse and child bereavement by suicide or other modes of death: a gender specific study. </w:t>
      </w:r>
      <w:r w:rsidRPr="008C7FF3">
        <w:rPr>
          <w:i/>
        </w:rPr>
        <w:t>J Epidemiol Community Heal</w:t>
      </w:r>
      <w:r w:rsidRPr="008C7FF3">
        <w:t xml:space="preserve"> 2005;</w:t>
      </w:r>
      <w:r w:rsidRPr="008C7FF3">
        <w:rPr>
          <w:b/>
        </w:rPr>
        <w:t>59</w:t>
      </w:r>
      <w:r w:rsidRPr="008C7FF3">
        <w:t xml:space="preserve">(5):407–12. </w:t>
      </w:r>
    </w:p>
    <w:p w14:paraId="008A02B3" w14:textId="77777777" w:rsidR="00E42300" w:rsidRPr="008C7FF3" w:rsidRDefault="00E42300" w:rsidP="00E42300">
      <w:pPr>
        <w:pStyle w:val="ListParagraph"/>
        <w:numPr>
          <w:ilvl w:val="0"/>
          <w:numId w:val="1"/>
        </w:numPr>
        <w:spacing w:line="480" w:lineRule="auto"/>
        <w:ind w:left="720"/>
      </w:pPr>
      <w:proofErr w:type="spellStart"/>
      <w:r w:rsidRPr="008C7FF3">
        <w:t>Allgulander</w:t>
      </w:r>
      <w:proofErr w:type="spellEnd"/>
      <w:r w:rsidRPr="008C7FF3">
        <w:t xml:space="preserve"> C, </w:t>
      </w:r>
      <w:proofErr w:type="spellStart"/>
      <w:r w:rsidRPr="008C7FF3">
        <w:t>Allebeck</w:t>
      </w:r>
      <w:proofErr w:type="spellEnd"/>
      <w:r w:rsidRPr="008C7FF3">
        <w:t xml:space="preserve"> P, </w:t>
      </w:r>
      <w:proofErr w:type="spellStart"/>
      <w:r w:rsidRPr="008C7FF3">
        <w:t>Przybeck</w:t>
      </w:r>
      <w:proofErr w:type="spellEnd"/>
      <w:r w:rsidRPr="008C7FF3">
        <w:t xml:space="preserve"> TR, Rice JP. Risk of suicide by psychiatric diagnosis in Stockholm County. </w:t>
      </w:r>
      <w:proofErr w:type="spellStart"/>
      <w:r w:rsidRPr="008C7FF3">
        <w:rPr>
          <w:i/>
        </w:rPr>
        <w:t>Eur</w:t>
      </w:r>
      <w:proofErr w:type="spellEnd"/>
      <w:r w:rsidRPr="008C7FF3">
        <w:rPr>
          <w:i/>
        </w:rPr>
        <w:t xml:space="preserve"> Arch Psychiatry </w:t>
      </w:r>
      <w:proofErr w:type="spellStart"/>
      <w:r w:rsidRPr="008C7FF3">
        <w:rPr>
          <w:i/>
        </w:rPr>
        <w:t>Clin</w:t>
      </w:r>
      <w:proofErr w:type="spellEnd"/>
      <w:r w:rsidRPr="008C7FF3">
        <w:rPr>
          <w:i/>
        </w:rPr>
        <w:t xml:space="preserve"> </w:t>
      </w:r>
      <w:proofErr w:type="spellStart"/>
      <w:r w:rsidRPr="008C7FF3">
        <w:rPr>
          <w:i/>
        </w:rPr>
        <w:t>Neurosci</w:t>
      </w:r>
      <w:proofErr w:type="spellEnd"/>
      <w:r w:rsidRPr="008C7FF3">
        <w:t xml:space="preserve"> 1992;</w:t>
      </w:r>
      <w:r w:rsidRPr="008C7FF3">
        <w:rPr>
          <w:b/>
        </w:rPr>
        <w:t>241</w:t>
      </w:r>
      <w:r w:rsidRPr="008C7FF3">
        <w:t xml:space="preserve">(5):323–6. </w:t>
      </w:r>
    </w:p>
    <w:p w14:paraId="49963EDB" w14:textId="77777777" w:rsidR="00E42300" w:rsidRPr="008C7FF3" w:rsidRDefault="00E42300" w:rsidP="00E42300">
      <w:pPr>
        <w:pStyle w:val="ListParagraph"/>
        <w:numPr>
          <w:ilvl w:val="0"/>
          <w:numId w:val="1"/>
        </w:numPr>
        <w:spacing w:line="480" w:lineRule="auto"/>
        <w:ind w:left="720"/>
      </w:pPr>
      <w:proofErr w:type="spellStart"/>
      <w:r w:rsidRPr="008C7FF3">
        <w:t>Allgulander</w:t>
      </w:r>
      <w:proofErr w:type="spellEnd"/>
      <w:r w:rsidRPr="008C7FF3">
        <w:t xml:space="preserve"> C, Fisher LD. Clinical predictors of completed suicide and repeated self-poisoning in 8895 self-poisoning patients. </w:t>
      </w:r>
      <w:proofErr w:type="spellStart"/>
      <w:r w:rsidRPr="008C7FF3">
        <w:rPr>
          <w:i/>
        </w:rPr>
        <w:t>Eur</w:t>
      </w:r>
      <w:proofErr w:type="spellEnd"/>
      <w:r w:rsidRPr="008C7FF3">
        <w:rPr>
          <w:i/>
        </w:rPr>
        <w:t xml:space="preserve"> Arch Psychiatry </w:t>
      </w:r>
      <w:proofErr w:type="spellStart"/>
      <w:r w:rsidRPr="008C7FF3">
        <w:rPr>
          <w:i/>
        </w:rPr>
        <w:t>Neurol</w:t>
      </w:r>
      <w:proofErr w:type="spellEnd"/>
      <w:r w:rsidRPr="008C7FF3">
        <w:rPr>
          <w:i/>
        </w:rPr>
        <w:t xml:space="preserve"> Sci</w:t>
      </w:r>
      <w:r w:rsidRPr="008C7FF3">
        <w:t xml:space="preserve"> 1990;</w:t>
      </w:r>
      <w:r w:rsidRPr="008C7FF3">
        <w:rPr>
          <w:b/>
        </w:rPr>
        <w:t>239</w:t>
      </w:r>
      <w:r w:rsidRPr="008C7FF3">
        <w:t xml:space="preserve">(4):270–6. </w:t>
      </w:r>
    </w:p>
    <w:p w14:paraId="23F62962" w14:textId="77777777" w:rsidR="00E42300" w:rsidRPr="008C7FF3" w:rsidRDefault="00E42300" w:rsidP="00E42300">
      <w:pPr>
        <w:pStyle w:val="ListParagraph"/>
        <w:numPr>
          <w:ilvl w:val="0"/>
          <w:numId w:val="1"/>
        </w:numPr>
        <w:spacing w:line="480" w:lineRule="auto"/>
        <w:ind w:left="720"/>
      </w:pPr>
      <w:r w:rsidRPr="008C7FF3">
        <w:t xml:space="preserve">Alonso P, </w:t>
      </w:r>
      <w:proofErr w:type="spellStart"/>
      <w:r w:rsidRPr="008C7FF3">
        <w:t>Segalàs</w:t>
      </w:r>
      <w:proofErr w:type="spellEnd"/>
      <w:r w:rsidRPr="008C7FF3">
        <w:t xml:space="preserve"> C, Real E, </w:t>
      </w:r>
      <w:proofErr w:type="spellStart"/>
      <w:r w:rsidRPr="008C7FF3">
        <w:t>Pertusa</w:t>
      </w:r>
      <w:proofErr w:type="spellEnd"/>
      <w:r w:rsidRPr="008C7FF3">
        <w:t xml:space="preserve"> A, </w:t>
      </w:r>
      <w:proofErr w:type="spellStart"/>
      <w:r w:rsidRPr="008C7FF3">
        <w:t>Labad</w:t>
      </w:r>
      <w:proofErr w:type="spellEnd"/>
      <w:r w:rsidRPr="008C7FF3">
        <w:t xml:space="preserve"> J, Jiménez-Murcia S, et al. Suicide in patients treated for obsessive-compulsive disorder: A prospective follow-up study. </w:t>
      </w:r>
      <w:r w:rsidRPr="008C7FF3">
        <w:rPr>
          <w:i/>
        </w:rPr>
        <w:t xml:space="preserve">J Affect </w:t>
      </w:r>
      <w:proofErr w:type="spellStart"/>
      <w:r w:rsidRPr="008C7FF3">
        <w:rPr>
          <w:i/>
        </w:rPr>
        <w:t>Disord</w:t>
      </w:r>
      <w:proofErr w:type="spellEnd"/>
      <w:r w:rsidRPr="008C7FF3">
        <w:t xml:space="preserve"> 2010;</w:t>
      </w:r>
      <w:r w:rsidRPr="008C7FF3">
        <w:rPr>
          <w:b/>
        </w:rPr>
        <w:t>124</w:t>
      </w:r>
      <w:r w:rsidRPr="008C7FF3">
        <w:t xml:space="preserve">(3):300–8. </w:t>
      </w:r>
    </w:p>
    <w:p w14:paraId="359E6108" w14:textId="77777777" w:rsidR="00E42300" w:rsidRPr="008C7FF3" w:rsidRDefault="00E42300" w:rsidP="00E42300">
      <w:pPr>
        <w:pStyle w:val="ListParagraph"/>
        <w:numPr>
          <w:ilvl w:val="0"/>
          <w:numId w:val="1"/>
        </w:numPr>
        <w:spacing w:line="480" w:lineRule="auto"/>
        <w:ind w:left="720"/>
      </w:pPr>
      <w:r w:rsidRPr="008C7FF3">
        <w:lastRenderedPageBreak/>
        <w:t xml:space="preserve">Anderson HD. Suicide ideation, depressive symptoms, and out-of-home placement among youth in the U.S. child welfare system. </w:t>
      </w:r>
      <w:r w:rsidRPr="008C7FF3">
        <w:rPr>
          <w:i/>
        </w:rPr>
        <w:t xml:space="preserve">J </w:t>
      </w:r>
      <w:proofErr w:type="spellStart"/>
      <w:r w:rsidRPr="008C7FF3">
        <w:rPr>
          <w:i/>
        </w:rPr>
        <w:t>Clin</w:t>
      </w:r>
      <w:proofErr w:type="spellEnd"/>
      <w:r w:rsidRPr="008C7FF3">
        <w:rPr>
          <w:i/>
        </w:rPr>
        <w:t xml:space="preserve"> Child </w:t>
      </w:r>
      <w:proofErr w:type="spellStart"/>
      <w:r w:rsidRPr="008C7FF3">
        <w:rPr>
          <w:i/>
        </w:rPr>
        <w:t>Adolesc</w:t>
      </w:r>
      <w:proofErr w:type="spellEnd"/>
      <w:r w:rsidRPr="008C7FF3">
        <w:rPr>
          <w:i/>
        </w:rPr>
        <w:t xml:space="preserve"> </w:t>
      </w:r>
      <w:proofErr w:type="spellStart"/>
      <w:r w:rsidRPr="008C7FF3">
        <w:rPr>
          <w:i/>
        </w:rPr>
        <w:t>Psychol</w:t>
      </w:r>
      <w:proofErr w:type="spellEnd"/>
      <w:r w:rsidRPr="008C7FF3">
        <w:t xml:space="preserve"> 2011;</w:t>
      </w:r>
      <w:r w:rsidRPr="008C7FF3">
        <w:rPr>
          <w:b/>
        </w:rPr>
        <w:t>40</w:t>
      </w:r>
      <w:r w:rsidRPr="008C7FF3">
        <w:t xml:space="preserve">(6):790–796. </w:t>
      </w:r>
    </w:p>
    <w:p w14:paraId="17FD2DE0" w14:textId="77777777" w:rsidR="00E42300" w:rsidRPr="008C7FF3" w:rsidRDefault="00E42300" w:rsidP="00E42300">
      <w:pPr>
        <w:pStyle w:val="ListParagraph"/>
        <w:numPr>
          <w:ilvl w:val="0"/>
          <w:numId w:val="1"/>
        </w:numPr>
        <w:spacing w:line="480" w:lineRule="auto"/>
        <w:ind w:left="720"/>
      </w:pPr>
      <w:r w:rsidRPr="008C7FF3">
        <w:t xml:space="preserve">Angst J, Clayton PJ. Personality, smoking and suicide: A prospective study. </w:t>
      </w:r>
      <w:r w:rsidRPr="008C7FF3">
        <w:rPr>
          <w:i/>
        </w:rPr>
        <w:t xml:space="preserve">J Affect </w:t>
      </w:r>
      <w:proofErr w:type="spellStart"/>
      <w:r w:rsidRPr="008C7FF3">
        <w:rPr>
          <w:i/>
        </w:rPr>
        <w:t>Disord</w:t>
      </w:r>
      <w:proofErr w:type="spellEnd"/>
      <w:r w:rsidRPr="008C7FF3">
        <w:t xml:space="preserve"> 1998;</w:t>
      </w:r>
      <w:r w:rsidRPr="008C7FF3">
        <w:rPr>
          <w:b/>
        </w:rPr>
        <w:t>51</w:t>
      </w:r>
      <w:r w:rsidRPr="008C7FF3">
        <w:t xml:space="preserve">(1):55–62. </w:t>
      </w:r>
    </w:p>
    <w:p w14:paraId="66D5A62A" w14:textId="77777777" w:rsidR="00E42300" w:rsidRPr="008C7FF3" w:rsidRDefault="00E42300" w:rsidP="00E42300">
      <w:pPr>
        <w:pStyle w:val="ListParagraph"/>
        <w:numPr>
          <w:ilvl w:val="0"/>
          <w:numId w:val="1"/>
        </w:numPr>
        <w:spacing w:line="480" w:lineRule="auto"/>
        <w:ind w:left="720"/>
      </w:pPr>
      <w:r w:rsidRPr="008C7FF3">
        <w:t xml:space="preserve">Bakken K VP. Predictors of suicide attempters in substance-dependent patients: a six-year prospective follow-up. </w:t>
      </w:r>
      <w:proofErr w:type="spellStart"/>
      <w:r w:rsidRPr="008C7FF3">
        <w:rPr>
          <w:i/>
        </w:rPr>
        <w:t>Clin</w:t>
      </w:r>
      <w:proofErr w:type="spellEnd"/>
      <w:r w:rsidRPr="008C7FF3">
        <w:rPr>
          <w:i/>
        </w:rPr>
        <w:t xml:space="preserve"> </w:t>
      </w:r>
      <w:proofErr w:type="spellStart"/>
      <w:r w:rsidRPr="008C7FF3">
        <w:rPr>
          <w:i/>
        </w:rPr>
        <w:t>Pract</w:t>
      </w:r>
      <w:proofErr w:type="spellEnd"/>
      <w:r w:rsidRPr="008C7FF3">
        <w:rPr>
          <w:i/>
        </w:rPr>
        <w:t xml:space="preserve"> Epidemiol </w:t>
      </w:r>
      <w:proofErr w:type="spellStart"/>
      <w:r w:rsidRPr="008C7FF3">
        <w:rPr>
          <w:i/>
        </w:rPr>
        <w:t>Ment</w:t>
      </w:r>
      <w:proofErr w:type="spellEnd"/>
      <w:r w:rsidRPr="008C7FF3">
        <w:rPr>
          <w:i/>
        </w:rPr>
        <w:t xml:space="preserve"> Heal</w:t>
      </w:r>
      <w:r w:rsidRPr="008C7FF3">
        <w:t xml:space="preserve"> </w:t>
      </w:r>
      <w:proofErr w:type="gramStart"/>
      <w:r w:rsidRPr="008C7FF3">
        <w:t>2007;</w:t>
      </w:r>
      <w:r w:rsidRPr="008C7FF3">
        <w:rPr>
          <w:b/>
        </w:rPr>
        <w:t>3</w:t>
      </w:r>
      <w:r w:rsidRPr="008C7FF3">
        <w:t>:20</w:t>
      </w:r>
      <w:proofErr w:type="gramEnd"/>
      <w:r w:rsidRPr="008C7FF3">
        <w:t xml:space="preserve">. </w:t>
      </w:r>
    </w:p>
    <w:p w14:paraId="2D549783" w14:textId="77777777" w:rsidR="00E42300" w:rsidRPr="008C7FF3" w:rsidRDefault="00E42300" w:rsidP="00E42300">
      <w:pPr>
        <w:pStyle w:val="ListParagraph"/>
        <w:numPr>
          <w:ilvl w:val="0"/>
          <w:numId w:val="1"/>
        </w:numPr>
        <w:spacing w:line="480" w:lineRule="auto"/>
        <w:ind w:left="720"/>
      </w:pPr>
      <w:proofErr w:type="spellStart"/>
      <w:r w:rsidRPr="008C7FF3">
        <w:t>Beautrais</w:t>
      </w:r>
      <w:proofErr w:type="spellEnd"/>
      <w:r w:rsidRPr="008C7FF3">
        <w:t xml:space="preserve"> AL. Further suicidal behavior among medically serious suicide attempters. </w:t>
      </w:r>
      <w:r w:rsidRPr="008C7FF3">
        <w:rPr>
          <w:i/>
        </w:rPr>
        <w:t xml:space="preserve">Suicide Life-Threat </w:t>
      </w:r>
      <w:proofErr w:type="spellStart"/>
      <w:r w:rsidRPr="008C7FF3">
        <w:rPr>
          <w:i/>
        </w:rPr>
        <w:t>Behav</w:t>
      </w:r>
      <w:proofErr w:type="spellEnd"/>
      <w:r w:rsidRPr="008C7FF3">
        <w:t xml:space="preserve"> 2004;</w:t>
      </w:r>
      <w:r w:rsidRPr="008C7FF3">
        <w:rPr>
          <w:b/>
        </w:rPr>
        <w:t>34</w:t>
      </w:r>
      <w:r w:rsidRPr="008C7FF3">
        <w:t xml:space="preserve">(1):1–11. </w:t>
      </w:r>
    </w:p>
    <w:p w14:paraId="214558E7" w14:textId="77777777" w:rsidR="00E42300" w:rsidRPr="008C7FF3" w:rsidRDefault="00E42300" w:rsidP="00E42300">
      <w:pPr>
        <w:pStyle w:val="ListParagraph"/>
        <w:numPr>
          <w:ilvl w:val="0"/>
          <w:numId w:val="1"/>
        </w:numPr>
        <w:spacing w:line="480" w:lineRule="auto"/>
        <w:ind w:left="720"/>
      </w:pPr>
      <w:r w:rsidRPr="008C7FF3">
        <w:t xml:space="preserve">Beck AT, Steer R a, Kovacs M, Garrison B. Hopelessness and eventual suicide: A 10-year prospective study of patients hospitalized with suicidal ideation. </w:t>
      </w:r>
      <w:r w:rsidRPr="008C7FF3">
        <w:rPr>
          <w:i/>
        </w:rPr>
        <w:t>Am J Psychiatry</w:t>
      </w:r>
      <w:r w:rsidRPr="008C7FF3">
        <w:t xml:space="preserve"> 1985;</w:t>
      </w:r>
      <w:r w:rsidRPr="008C7FF3">
        <w:rPr>
          <w:b/>
        </w:rPr>
        <w:t>142</w:t>
      </w:r>
      <w:r w:rsidRPr="008C7FF3">
        <w:t xml:space="preserve">(5):559–63. </w:t>
      </w:r>
    </w:p>
    <w:p w14:paraId="7C70675D" w14:textId="77777777" w:rsidR="00E42300" w:rsidRPr="008C7FF3" w:rsidRDefault="00E42300" w:rsidP="00E42300">
      <w:pPr>
        <w:pStyle w:val="ListParagraph"/>
        <w:numPr>
          <w:ilvl w:val="0"/>
          <w:numId w:val="1"/>
        </w:numPr>
        <w:spacing w:line="480" w:lineRule="auto"/>
        <w:ind w:left="720"/>
      </w:pPr>
      <w:r w:rsidRPr="008C7FF3">
        <w:t xml:space="preserve">Beck AT, Steer RA, Trexler LD. Alcohol abuse and eventual suicide: A 5- to 10-year prospective study of alcohol-abusing suicide attempters. </w:t>
      </w:r>
      <w:r w:rsidRPr="008C7FF3">
        <w:rPr>
          <w:i/>
          <w:iCs/>
        </w:rPr>
        <w:t xml:space="preserve">Journal of Studies on Alcohol </w:t>
      </w:r>
      <w:r w:rsidRPr="008C7FF3">
        <w:rPr>
          <w:iCs/>
        </w:rPr>
        <w:t>1989;</w:t>
      </w:r>
      <w:r w:rsidRPr="008C7FF3">
        <w:rPr>
          <w:b/>
          <w:iCs/>
        </w:rPr>
        <w:t>50</w:t>
      </w:r>
      <w:r w:rsidRPr="008C7FF3">
        <w:t>(3): 202-209.</w:t>
      </w:r>
    </w:p>
    <w:p w14:paraId="7F3A45A1" w14:textId="77777777" w:rsidR="00E42300" w:rsidRPr="008C7FF3" w:rsidRDefault="00E42300" w:rsidP="00E42300">
      <w:pPr>
        <w:pStyle w:val="ListParagraph"/>
        <w:numPr>
          <w:ilvl w:val="0"/>
          <w:numId w:val="1"/>
        </w:numPr>
        <w:spacing w:line="480" w:lineRule="auto"/>
        <w:ind w:left="720"/>
      </w:pPr>
      <w:r w:rsidRPr="008C7FF3">
        <w:t xml:space="preserve">Beck AT, Brown G, Steer RA. Prediction of eventual suicide in psychiatric inpatients by clinical ratings of hopelessness. </w:t>
      </w:r>
      <w:r w:rsidRPr="008C7FF3">
        <w:rPr>
          <w:i/>
        </w:rPr>
        <w:t xml:space="preserve">J Consult </w:t>
      </w:r>
      <w:proofErr w:type="spellStart"/>
      <w:r w:rsidRPr="008C7FF3">
        <w:rPr>
          <w:i/>
        </w:rPr>
        <w:t>Clin</w:t>
      </w:r>
      <w:proofErr w:type="spellEnd"/>
      <w:r w:rsidRPr="008C7FF3">
        <w:rPr>
          <w:i/>
        </w:rPr>
        <w:t xml:space="preserve"> </w:t>
      </w:r>
      <w:proofErr w:type="spellStart"/>
      <w:r w:rsidRPr="008C7FF3">
        <w:rPr>
          <w:i/>
        </w:rPr>
        <w:t>Psychol</w:t>
      </w:r>
      <w:proofErr w:type="spellEnd"/>
      <w:r w:rsidRPr="008C7FF3">
        <w:rPr>
          <w:i/>
        </w:rPr>
        <w:t xml:space="preserve"> </w:t>
      </w:r>
      <w:r w:rsidRPr="008C7FF3">
        <w:t>1989;</w:t>
      </w:r>
      <w:r w:rsidRPr="008C7FF3">
        <w:rPr>
          <w:b/>
        </w:rPr>
        <w:t>57</w:t>
      </w:r>
      <w:r w:rsidRPr="008C7FF3">
        <w:t>(2):309.</w:t>
      </w:r>
    </w:p>
    <w:p w14:paraId="798E3296" w14:textId="77777777" w:rsidR="00E42300" w:rsidRPr="008C7FF3" w:rsidRDefault="00E42300" w:rsidP="00E42300">
      <w:pPr>
        <w:pStyle w:val="ListParagraph"/>
        <w:numPr>
          <w:ilvl w:val="0"/>
          <w:numId w:val="1"/>
        </w:numPr>
        <w:spacing w:line="480" w:lineRule="auto"/>
        <w:ind w:left="720"/>
      </w:pPr>
      <w:r w:rsidRPr="008C7FF3">
        <w:t xml:space="preserve">Berglund M. Suicide in Alcoholism: A prospective study of 88 suicides: The multidimensional diagnosis at first admission. </w:t>
      </w:r>
      <w:r w:rsidRPr="008C7FF3">
        <w:rPr>
          <w:i/>
        </w:rPr>
        <w:t>Arch Gen Psychiatry</w:t>
      </w:r>
      <w:r w:rsidRPr="008C7FF3">
        <w:t xml:space="preserve"> </w:t>
      </w:r>
      <w:proofErr w:type="gramStart"/>
      <w:r w:rsidRPr="008C7FF3">
        <w:t>1984;</w:t>
      </w:r>
      <w:r w:rsidRPr="008C7FF3">
        <w:rPr>
          <w:b/>
        </w:rPr>
        <w:t>41</w:t>
      </w:r>
      <w:r w:rsidRPr="008C7FF3">
        <w:t>:888</w:t>
      </w:r>
      <w:proofErr w:type="gramEnd"/>
      <w:r w:rsidRPr="008C7FF3">
        <w:t xml:space="preserve">–91. </w:t>
      </w:r>
    </w:p>
    <w:p w14:paraId="5F37A37E" w14:textId="77777777" w:rsidR="00E42300" w:rsidRPr="008C7FF3" w:rsidRDefault="00E42300" w:rsidP="00E42300">
      <w:pPr>
        <w:pStyle w:val="ListParagraph"/>
        <w:numPr>
          <w:ilvl w:val="0"/>
          <w:numId w:val="1"/>
        </w:numPr>
        <w:spacing w:line="480" w:lineRule="auto"/>
        <w:ind w:left="720"/>
      </w:pPr>
      <w:r w:rsidRPr="008C7FF3">
        <w:t xml:space="preserve">Berglund M, Nilsson K. Mortality in severe depression: A prospective study including 103 suicides. </w:t>
      </w:r>
      <w:r w:rsidRPr="008C7FF3">
        <w:rPr>
          <w:i/>
        </w:rPr>
        <w:t xml:space="preserve">Acta </w:t>
      </w:r>
      <w:proofErr w:type="spellStart"/>
      <w:r w:rsidRPr="008C7FF3">
        <w:rPr>
          <w:i/>
        </w:rPr>
        <w:t>Psychiatr</w:t>
      </w:r>
      <w:proofErr w:type="spellEnd"/>
      <w:r w:rsidRPr="008C7FF3">
        <w:rPr>
          <w:i/>
        </w:rPr>
        <w:t xml:space="preserve"> </w:t>
      </w:r>
      <w:proofErr w:type="spellStart"/>
      <w:r w:rsidRPr="008C7FF3">
        <w:rPr>
          <w:i/>
        </w:rPr>
        <w:t>Scand</w:t>
      </w:r>
      <w:proofErr w:type="spellEnd"/>
      <w:r w:rsidRPr="008C7FF3">
        <w:t xml:space="preserve"> 1987;</w:t>
      </w:r>
      <w:r w:rsidRPr="008C7FF3">
        <w:rPr>
          <w:b/>
        </w:rPr>
        <w:t>76</w:t>
      </w:r>
      <w:r w:rsidRPr="008C7FF3">
        <w:t xml:space="preserve">(9):372–80. </w:t>
      </w:r>
    </w:p>
    <w:p w14:paraId="7488147A"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Bhaskaran</w:t>
      </w:r>
      <w:proofErr w:type="spellEnd"/>
      <w:r w:rsidRPr="008C7FF3">
        <w:t xml:space="preserve"> J., Wang Y., Roos L., </w:t>
      </w:r>
      <w:proofErr w:type="spellStart"/>
      <w:r w:rsidRPr="008C7FF3">
        <w:t>Sareen</w:t>
      </w:r>
      <w:proofErr w:type="spellEnd"/>
      <w:r w:rsidRPr="008C7FF3">
        <w:t xml:space="preserve"> J., </w:t>
      </w:r>
      <w:proofErr w:type="spellStart"/>
      <w:r w:rsidRPr="008C7FF3">
        <w:t>Skakum</w:t>
      </w:r>
      <w:proofErr w:type="spellEnd"/>
      <w:r w:rsidRPr="008C7FF3">
        <w:t xml:space="preserve"> K. BJ. Method of suicide attempt and reaction to survival as predictors of repeat suicide attempts: a longitudinal analysis. </w:t>
      </w:r>
      <w:r w:rsidRPr="008C7FF3">
        <w:rPr>
          <w:i/>
        </w:rPr>
        <w:t xml:space="preserve">J </w:t>
      </w:r>
      <w:proofErr w:type="spellStart"/>
      <w:r w:rsidRPr="008C7FF3">
        <w:rPr>
          <w:i/>
        </w:rPr>
        <w:t>Clin</w:t>
      </w:r>
      <w:proofErr w:type="spellEnd"/>
      <w:r w:rsidRPr="008C7FF3">
        <w:rPr>
          <w:i/>
        </w:rPr>
        <w:t xml:space="preserve"> Psychiatry</w:t>
      </w:r>
      <w:r w:rsidRPr="008C7FF3">
        <w:t xml:space="preserve"> 2014;</w:t>
      </w:r>
      <w:r w:rsidRPr="008C7FF3">
        <w:rPr>
          <w:b/>
        </w:rPr>
        <w:t>75</w:t>
      </w:r>
      <w:r w:rsidRPr="008C7FF3">
        <w:t xml:space="preserve">(8):802–8. </w:t>
      </w:r>
    </w:p>
    <w:p w14:paraId="23868841" w14:textId="77777777" w:rsidR="00E42300" w:rsidRPr="008C7FF3" w:rsidRDefault="00E42300" w:rsidP="00E42300">
      <w:pPr>
        <w:pStyle w:val="ListParagraph"/>
        <w:numPr>
          <w:ilvl w:val="0"/>
          <w:numId w:val="1"/>
        </w:numPr>
        <w:spacing w:line="480" w:lineRule="auto"/>
        <w:ind w:left="720"/>
      </w:pPr>
      <w:r w:rsidRPr="008C7FF3">
        <w:t xml:space="preserve">Black DW., Monahan PO. WG. The relationship between DST results and suicidal behavior. </w:t>
      </w:r>
      <w:r w:rsidRPr="008C7FF3">
        <w:rPr>
          <w:i/>
        </w:rPr>
        <w:t xml:space="preserve">Ann </w:t>
      </w:r>
      <w:proofErr w:type="spellStart"/>
      <w:r w:rsidRPr="008C7FF3">
        <w:rPr>
          <w:i/>
        </w:rPr>
        <w:t>Clin</w:t>
      </w:r>
      <w:proofErr w:type="spellEnd"/>
      <w:r w:rsidRPr="008C7FF3">
        <w:rPr>
          <w:i/>
        </w:rPr>
        <w:t xml:space="preserve"> Psychiatry</w:t>
      </w:r>
      <w:r w:rsidRPr="008C7FF3">
        <w:t xml:space="preserve"> 2002;</w:t>
      </w:r>
      <w:r w:rsidRPr="008C7FF3">
        <w:rPr>
          <w:b/>
        </w:rPr>
        <w:t>14</w:t>
      </w:r>
      <w:r w:rsidRPr="008C7FF3">
        <w:t xml:space="preserve">(2):83–8. </w:t>
      </w:r>
    </w:p>
    <w:p w14:paraId="7B25E9DF" w14:textId="77777777" w:rsidR="00E42300" w:rsidRPr="008C7FF3" w:rsidRDefault="00E42300" w:rsidP="00E42300">
      <w:pPr>
        <w:pStyle w:val="ListParagraph"/>
        <w:numPr>
          <w:ilvl w:val="0"/>
          <w:numId w:val="1"/>
        </w:numPr>
        <w:spacing w:line="480" w:lineRule="auto"/>
        <w:ind w:left="720"/>
      </w:pPr>
      <w:r w:rsidRPr="008C7FF3">
        <w:t xml:space="preserve">Blumenthal S., Bell V., Neumann NU., </w:t>
      </w:r>
      <w:proofErr w:type="spellStart"/>
      <w:r w:rsidRPr="008C7FF3">
        <w:t>Schuttler</w:t>
      </w:r>
      <w:proofErr w:type="spellEnd"/>
      <w:r w:rsidRPr="008C7FF3">
        <w:t xml:space="preserve"> R. VR. Mortality and rate of suicide of first admission psychiatric patients. </w:t>
      </w:r>
      <w:r w:rsidRPr="008C7FF3">
        <w:rPr>
          <w:i/>
        </w:rPr>
        <w:t>Psychopathology</w:t>
      </w:r>
      <w:r w:rsidRPr="008C7FF3">
        <w:t xml:space="preserve"> 1989;</w:t>
      </w:r>
      <w:r w:rsidRPr="008C7FF3">
        <w:rPr>
          <w:b/>
        </w:rPr>
        <w:t>22</w:t>
      </w:r>
      <w:r w:rsidRPr="008C7FF3">
        <w:t xml:space="preserve">(1):50–6. </w:t>
      </w:r>
    </w:p>
    <w:p w14:paraId="7889FC0E" w14:textId="77777777" w:rsidR="00E42300" w:rsidRPr="008C7FF3" w:rsidRDefault="00E42300" w:rsidP="00E42300">
      <w:pPr>
        <w:pStyle w:val="ListParagraph"/>
        <w:numPr>
          <w:ilvl w:val="0"/>
          <w:numId w:val="1"/>
        </w:numPr>
        <w:spacing w:line="480" w:lineRule="auto"/>
        <w:ind w:left="720"/>
      </w:pPr>
      <w:proofErr w:type="spellStart"/>
      <w:r w:rsidRPr="008C7FF3">
        <w:t>Bohman</w:t>
      </w:r>
      <w:proofErr w:type="spellEnd"/>
      <w:r w:rsidRPr="008C7FF3">
        <w:t xml:space="preserve"> H, Jonsson U, </w:t>
      </w:r>
      <w:proofErr w:type="spellStart"/>
      <w:r w:rsidRPr="008C7FF3">
        <w:t>Päären</w:t>
      </w:r>
      <w:proofErr w:type="spellEnd"/>
      <w:r w:rsidRPr="008C7FF3">
        <w:t xml:space="preserve"> A, von </w:t>
      </w:r>
      <w:proofErr w:type="spellStart"/>
      <w:r w:rsidRPr="008C7FF3">
        <w:t>Knorring</w:t>
      </w:r>
      <w:proofErr w:type="spellEnd"/>
      <w:r w:rsidRPr="008C7FF3">
        <w:t xml:space="preserve"> L, Olsson G, von </w:t>
      </w:r>
      <w:proofErr w:type="spellStart"/>
      <w:r w:rsidRPr="008C7FF3">
        <w:t>Knorring</w:t>
      </w:r>
      <w:proofErr w:type="spellEnd"/>
      <w:r w:rsidRPr="008C7FF3">
        <w:t xml:space="preserve"> A-L. Prognostic significance of functional somatic symptoms in adolescence: a 15-year community-based follow-up study of adolescents with depression compared with healthy peers. </w:t>
      </w:r>
      <w:r w:rsidRPr="008C7FF3">
        <w:rPr>
          <w:i/>
        </w:rPr>
        <w:t>BMC Psychiatry</w:t>
      </w:r>
      <w:r w:rsidRPr="008C7FF3">
        <w:t xml:space="preserve"> 2012;</w:t>
      </w:r>
      <w:r w:rsidRPr="008C7FF3">
        <w:rPr>
          <w:b/>
        </w:rPr>
        <w:t>12</w:t>
      </w:r>
      <w:r w:rsidRPr="008C7FF3">
        <w:t xml:space="preserve">(1):90. </w:t>
      </w:r>
    </w:p>
    <w:p w14:paraId="6097A297" w14:textId="77777777" w:rsidR="00E42300" w:rsidRPr="008C7FF3" w:rsidRDefault="00E42300" w:rsidP="00E42300">
      <w:pPr>
        <w:pStyle w:val="ListParagraph"/>
        <w:numPr>
          <w:ilvl w:val="0"/>
          <w:numId w:val="1"/>
        </w:numPr>
        <w:spacing w:line="480" w:lineRule="auto"/>
        <w:ind w:left="720"/>
      </w:pPr>
      <w:r w:rsidRPr="008C7FF3">
        <w:t xml:space="preserve">Bolton JM, </w:t>
      </w:r>
      <w:proofErr w:type="spellStart"/>
      <w:r w:rsidRPr="008C7FF3">
        <w:t>Pagura</w:t>
      </w:r>
      <w:proofErr w:type="spellEnd"/>
      <w:r w:rsidRPr="008C7FF3">
        <w:t xml:space="preserve"> J, Enns MW, Grant B, </w:t>
      </w:r>
      <w:proofErr w:type="spellStart"/>
      <w:r w:rsidRPr="008C7FF3">
        <w:t>Sareen</w:t>
      </w:r>
      <w:proofErr w:type="spellEnd"/>
      <w:r w:rsidRPr="008C7FF3">
        <w:t xml:space="preserve"> J. A population-based longitudinal study of risk factors for suicide attempts in major depressive disorder. </w:t>
      </w:r>
      <w:r w:rsidRPr="008C7FF3">
        <w:rPr>
          <w:i/>
        </w:rPr>
        <w:t xml:space="preserve">J </w:t>
      </w:r>
      <w:proofErr w:type="spellStart"/>
      <w:r w:rsidRPr="008C7FF3">
        <w:rPr>
          <w:i/>
        </w:rPr>
        <w:t>Psychiatr</w:t>
      </w:r>
      <w:proofErr w:type="spellEnd"/>
      <w:r w:rsidRPr="008C7FF3">
        <w:rPr>
          <w:i/>
        </w:rPr>
        <w:t xml:space="preserve"> Res</w:t>
      </w:r>
      <w:r w:rsidRPr="008C7FF3">
        <w:t xml:space="preserve"> 2010;</w:t>
      </w:r>
      <w:r w:rsidRPr="008C7FF3">
        <w:rPr>
          <w:b/>
        </w:rPr>
        <w:t>44</w:t>
      </w:r>
      <w:r w:rsidRPr="008C7FF3">
        <w:t xml:space="preserve">(13):817–26. </w:t>
      </w:r>
    </w:p>
    <w:p w14:paraId="34455E49" w14:textId="77777777" w:rsidR="00E42300" w:rsidRPr="008C7FF3" w:rsidRDefault="00E42300" w:rsidP="00E42300">
      <w:pPr>
        <w:pStyle w:val="ListParagraph"/>
        <w:numPr>
          <w:ilvl w:val="0"/>
          <w:numId w:val="1"/>
        </w:numPr>
        <w:spacing w:line="480" w:lineRule="auto"/>
        <w:ind w:left="720"/>
      </w:pPr>
      <w:r w:rsidRPr="008C7FF3">
        <w:t xml:space="preserve">Borg SE. SM. Prediction of suicide. </w:t>
      </w:r>
      <w:r w:rsidRPr="008C7FF3">
        <w:rPr>
          <w:i/>
        </w:rPr>
        <w:t xml:space="preserve">Acta </w:t>
      </w:r>
      <w:proofErr w:type="spellStart"/>
      <w:r w:rsidRPr="008C7FF3">
        <w:rPr>
          <w:i/>
        </w:rPr>
        <w:t>Psychiatr</w:t>
      </w:r>
      <w:proofErr w:type="spellEnd"/>
      <w:r w:rsidRPr="008C7FF3">
        <w:rPr>
          <w:i/>
        </w:rPr>
        <w:t xml:space="preserve"> </w:t>
      </w:r>
      <w:proofErr w:type="spellStart"/>
      <w:r w:rsidRPr="008C7FF3">
        <w:rPr>
          <w:i/>
        </w:rPr>
        <w:t>Scand</w:t>
      </w:r>
      <w:proofErr w:type="spellEnd"/>
      <w:r w:rsidRPr="008C7FF3">
        <w:t xml:space="preserve"> 1982;</w:t>
      </w:r>
      <w:r w:rsidRPr="008C7FF3">
        <w:rPr>
          <w:b/>
        </w:rPr>
        <w:t>65</w:t>
      </w:r>
      <w:r w:rsidRPr="008C7FF3">
        <w:t xml:space="preserve">(3):221–32. </w:t>
      </w:r>
    </w:p>
    <w:p w14:paraId="643EF1C8" w14:textId="77777777" w:rsidR="00E42300" w:rsidRPr="008C7FF3" w:rsidRDefault="00E42300" w:rsidP="00E42300">
      <w:pPr>
        <w:pStyle w:val="ListParagraph"/>
        <w:numPr>
          <w:ilvl w:val="0"/>
          <w:numId w:val="1"/>
        </w:numPr>
        <w:spacing w:line="480" w:lineRule="auto"/>
        <w:ind w:left="720"/>
      </w:pPr>
      <w:r w:rsidRPr="008C7FF3">
        <w:t xml:space="preserve">Borges G, Angst J, Nock MK, </w:t>
      </w:r>
      <w:proofErr w:type="spellStart"/>
      <w:r w:rsidRPr="008C7FF3">
        <w:t>Ruscio</w:t>
      </w:r>
      <w:proofErr w:type="spellEnd"/>
      <w:r w:rsidRPr="008C7FF3">
        <w:t xml:space="preserve"> AM, Kessler RC. Risk factors for the incidence and persistence of suicide-related outcomes: A 10-year follow-up study using the National Comorbidity Surveys. </w:t>
      </w:r>
      <w:r w:rsidRPr="008C7FF3">
        <w:rPr>
          <w:i/>
        </w:rPr>
        <w:t xml:space="preserve">J Affect </w:t>
      </w:r>
      <w:proofErr w:type="spellStart"/>
      <w:r w:rsidRPr="008C7FF3">
        <w:rPr>
          <w:i/>
        </w:rPr>
        <w:t>Disord</w:t>
      </w:r>
      <w:proofErr w:type="spellEnd"/>
      <w:r w:rsidRPr="008C7FF3">
        <w:t xml:space="preserve"> 2008;</w:t>
      </w:r>
      <w:r w:rsidRPr="008C7FF3">
        <w:rPr>
          <w:b/>
        </w:rPr>
        <w:t>105</w:t>
      </w:r>
      <w:r w:rsidRPr="008C7FF3">
        <w:t xml:space="preserve">(1–3):25–33. </w:t>
      </w:r>
    </w:p>
    <w:p w14:paraId="5DCE68A3" w14:textId="77777777" w:rsidR="00E42300" w:rsidRPr="008C7FF3" w:rsidRDefault="00E42300" w:rsidP="00E42300">
      <w:pPr>
        <w:pStyle w:val="ListParagraph"/>
        <w:numPr>
          <w:ilvl w:val="0"/>
          <w:numId w:val="1"/>
        </w:numPr>
        <w:spacing w:line="480" w:lineRule="auto"/>
        <w:ind w:left="720"/>
      </w:pPr>
      <w:proofErr w:type="spellStart"/>
      <w:r w:rsidRPr="008C7FF3">
        <w:t>Brådvik</w:t>
      </w:r>
      <w:proofErr w:type="spellEnd"/>
      <w:r w:rsidRPr="008C7FF3">
        <w:t xml:space="preserve"> L, Berglund M. Repetition of suicide attempts across episodes of severe depression. </w:t>
      </w:r>
      <w:proofErr w:type="spellStart"/>
      <w:r w:rsidRPr="008C7FF3">
        <w:t>Behavioural</w:t>
      </w:r>
      <w:proofErr w:type="spellEnd"/>
      <w:r w:rsidRPr="008C7FF3">
        <w:t xml:space="preserve"> </w:t>
      </w:r>
      <w:proofErr w:type="spellStart"/>
      <w:r w:rsidRPr="008C7FF3">
        <w:t>sensitisation</w:t>
      </w:r>
      <w:proofErr w:type="spellEnd"/>
      <w:r w:rsidRPr="008C7FF3">
        <w:t xml:space="preserve"> found in suicide group but not in controls. </w:t>
      </w:r>
      <w:r w:rsidRPr="008C7FF3">
        <w:rPr>
          <w:i/>
        </w:rPr>
        <w:t>BMC Psychiatry</w:t>
      </w:r>
      <w:r w:rsidRPr="008C7FF3">
        <w:t>. 2011;</w:t>
      </w:r>
      <w:r w:rsidRPr="008C7FF3">
        <w:rPr>
          <w:b/>
        </w:rPr>
        <w:t>11</w:t>
      </w:r>
      <w:r w:rsidRPr="008C7FF3">
        <w:t xml:space="preserve">(5). </w:t>
      </w:r>
    </w:p>
    <w:p w14:paraId="52910D08" w14:textId="77777777" w:rsidR="00E42300" w:rsidRPr="008C7FF3" w:rsidRDefault="00E42300" w:rsidP="00E42300">
      <w:pPr>
        <w:pStyle w:val="ListParagraph"/>
        <w:numPr>
          <w:ilvl w:val="0"/>
          <w:numId w:val="1"/>
        </w:numPr>
        <w:spacing w:line="480" w:lineRule="auto"/>
        <w:ind w:left="720"/>
        <w:rPr>
          <w:rFonts w:cs="Times New Roman"/>
          <w:sz w:val="32"/>
        </w:rPr>
      </w:pPr>
      <w:proofErr w:type="spellStart"/>
      <w:r w:rsidRPr="008C7FF3">
        <w:rPr>
          <w:rFonts w:cs="Times New Roman"/>
          <w:color w:val="222222"/>
          <w:szCs w:val="20"/>
          <w:shd w:val="clear" w:color="auto" w:fill="FFFFFF"/>
        </w:rPr>
        <w:lastRenderedPageBreak/>
        <w:t>Brådvik</w:t>
      </w:r>
      <w:proofErr w:type="spellEnd"/>
      <w:r w:rsidRPr="008C7FF3">
        <w:rPr>
          <w:rFonts w:cs="Times New Roman"/>
          <w:color w:val="222222"/>
          <w:szCs w:val="20"/>
          <w:shd w:val="clear" w:color="auto" w:fill="FFFFFF"/>
        </w:rPr>
        <w:t xml:space="preserve"> L, </w:t>
      </w:r>
      <w:proofErr w:type="spellStart"/>
      <w:r w:rsidRPr="008C7FF3">
        <w:rPr>
          <w:rFonts w:cs="Times New Roman"/>
          <w:color w:val="222222"/>
          <w:szCs w:val="20"/>
          <w:shd w:val="clear" w:color="auto" w:fill="FFFFFF"/>
        </w:rPr>
        <w:t>Mattisson</w:t>
      </w:r>
      <w:proofErr w:type="spellEnd"/>
      <w:r w:rsidRPr="008C7FF3">
        <w:rPr>
          <w:rFonts w:cs="Times New Roman"/>
          <w:color w:val="222222"/>
          <w:szCs w:val="20"/>
          <w:shd w:val="clear" w:color="auto" w:fill="FFFFFF"/>
        </w:rPr>
        <w:t xml:space="preserve"> C, </w:t>
      </w:r>
      <w:proofErr w:type="spellStart"/>
      <w:r w:rsidRPr="008C7FF3">
        <w:rPr>
          <w:rFonts w:cs="Times New Roman"/>
          <w:color w:val="222222"/>
          <w:szCs w:val="20"/>
          <w:shd w:val="clear" w:color="auto" w:fill="FFFFFF"/>
        </w:rPr>
        <w:t>Bogren</w:t>
      </w:r>
      <w:proofErr w:type="spellEnd"/>
      <w:r w:rsidRPr="008C7FF3">
        <w:rPr>
          <w:rFonts w:cs="Times New Roman"/>
          <w:color w:val="222222"/>
          <w:szCs w:val="20"/>
          <w:shd w:val="clear" w:color="auto" w:fill="FFFFFF"/>
        </w:rPr>
        <w:t xml:space="preserve"> M, </w:t>
      </w:r>
      <w:proofErr w:type="spellStart"/>
      <w:r w:rsidRPr="008C7FF3">
        <w:rPr>
          <w:rFonts w:cs="Times New Roman"/>
          <w:color w:val="222222"/>
          <w:szCs w:val="20"/>
          <w:shd w:val="clear" w:color="auto" w:fill="FFFFFF"/>
        </w:rPr>
        <w:t>Nettelbladt</w:t>
      </w:r>
      <w:proofErr w:type="spellEnd"/>
      <w:r w:rsidRPr="008C7FF3">
        <w:rPr>
          <w:rFonts w:cs="Times New Roman"/>
          <w:color w:val="222222"/>
          <w:szCs w:val="20"/>
          <w:shd w:val="clear" w:color="auto" w:fill="FFFFFF"/>
        </w:rPr>
        <w:t xml:space="preserve"> P. Long</w:t>
      </w:r>
      <w:r w:rsidRPr="008C7FF3">
        <w:rPr>
          <w:rFonts w:ascii="Cambria Math" w:hAnsi="Cambria Math" w:cs="Cambria Math"/>
          <w:color w:val="222222"/>
          <w:szCs w:val="20"/>
          <w:shd w:val="clear" w:color="auto" w:fill="FFFFFF"/>
        </w:rPr>
        <w:t>‐</w:t>
      </w:r>
      <w:r w:rsidRPr="008C7FF3">
        <w:rPr>
          <w:rFonts w:cs="Times New Roman"/>
          <w:color w:val="222222"/>
          <w:szCs w:val="20"/>
          <w:shd w:val="clear" w:color="auto" w:fill="FFFFFF"/>
        </w:rPr>
        <w:t xml:space="preserve">term suicide risk of depression in the </w:t>
      </w:r>
      <w:proofErr w:type="spellStart"/>
      <w:r w:rsidRPr="008C7FF3">
        <w:rPr>
          <w:rFonts w:cs="Times New Roman"/>
          <w:color w:val="222222"/>
          <w:szCs w:val="20"/>
          <w:shd w:val="clear" w:color="auto" w:fill="FFFFFF"/>
        </w:rPr>
        <w:t>Lundby</w:t>
      </w:r>
      <w:proofErr w:type="spellEnd"/>
      <w:r w:rsidRPr="008C7FF3">
        <w:rPr>
          <w:rFonts w:cs="Times New Roman"/>
          <w:color w:val="222222"/>
          <w:szCs w:val="20"/>
          <w:shd w:val="clear" w:color="auto" w:fill="FFFFFF"/>
        </w:rPr>
        <w:t xml:space="preserve"> cohort 1947–1997–severity and gender. </w:t>
      </w:r>
      <w:r w:rsidRPr="008C7FF3">
        <w:rPr>
          <w:rFonts w:cs="Times New Roman"/>
          <w:i/>
          <w:color w:val="222222"/>
          <w:szCs w:val="20"/>
          <w:shd w:val="clear" w:color="auto" w:fill="FFFFFF"/>
        </w:rPr>
        <w:t xml:space="preserve">Acta </w:t>
      </w:r>
      <w:proofErr w:type="spellStart"/>
      <w:r w:rsidRPr="008C7FF3">
        <w:rPr>
          <w:rFonts w:cs="Times New Roman"/>
          <w:i/>
          <w:color w:val="222222"/>
          <w:szCs w:val="20"/>
          <w:shd w:val="clear" w:color="auto" w:fill="FFFFFF"/>
        </w:rPr>
        <w:t>Psychiatrica</w:t>
      </w:r>
      <w:proofErr w:type="spellEnd"/>
      <w:r w:rsidRPr="008C7FF3">
        <w:rPr>
          <w:rFonts w:cs="Times New Roman"/>
          <w:i/>
          <w:color w:val="222222"/>
          <w:szCs w:val="20"/>
          <w:shd w:val="clear" w:color="auto" w:fill="FFFFFF"/>
        </w:rPr>
        <w:t xml:space="preserve"> </w:t>
      </w:r>
      <w:proofErr w:type="spellStart"/>
      <w:r w:rsidRPr="008C7FF3">
        <w:rPr>
          <w:rFonts w:cs="Times New Roman"/>
          <w:i/>
          <w:color w:val="222222"/>
          <w:szCs w:val="20"/>
          <w:shd w:val="clear" w:color="auto" w:fill="FFFFFF"/>
        </w:rPr>
        <w:t>Scandinavica</w:t>
      </w:r>
      <w:proofErr w:type="spellEnd"/>
      <w:r w:rsidRPr="008C7FF3">
        <w:rPr>
          <w:rFonts w:cs="Times New Roman"/>
          <w:color w:val="222222"/>
          <w:szCs w:val="20"/>
          <w:shd w:val="clear" w:color="auto" w:fill="FFFFFF"/>
        </w:rPr>
        <w:t xml:space="preserve"> 2008;</w:t>
      </w:r>
      <w:r w:rsidRPr="008C7FF3">
        <w:rPr>
          <w:rFonts w:cs="Times New Roman"/>
          <w:b/>
          <w:color w:val="222222"/>
          <w:szCs w:val="20"/>
          <w:shd w:val="clear" w:color="auto" w:fill="FFFFFF"/>
        </w:rPr>
        <w:t>117</w:t>
      </w:r>
      <w:r w:rsidRPr="008C7FF3">
        <w:rPr>
          <w:rFonts w:cs="Times New Roman"/>
          <w:color w:val="222222"/>
          <w:szCs w:val="20"/>
          <w:shd w:val="clear" w:color="auto" w:fill="FFFFFF"/>
        </w:rPr>
        <w:t>(3):185-91.</w:t>
      </w:r>
    </w:p>
    <w:p w14:paraId="21ADC140" w14:textId="77777777" w:rsidR="00E42300" w:rsidRPr="008C7FF3" w:rsidRDefault="00E42300" w:rsidP="00E42300">
      <w:pPr>
        <w:pStyle w:val="ListParagraph"/>
        <w:numPr>
          <w:ilvl w:val="0"/>
          <w:numId w:val="1"/>
        </w:numPr>
        <w:spacing w:line="480" w:lineRule="auto"/>
        <w:ind w:left="720"/>
        <w:rPr>
          <w:rFonts w:cs="Times New Roman"/>
          <w:sz w:val="32"/>
        </w:rPr>
      </w:pPr>
      <w:r w:rsidRPr="008C7FF3">
        <w:t xml:space="preserve">Breslau N, Davis GC. Migraine physical health and psychiatric disorder: A prospective epidemiologic study in young adults. </w:t>
      </w:r>
      <w:r w:rsidRPr="008C7FF3">
        <w:rPr>
          <w:i/>
          <w:iCs/>
        </w:rPr>
        <w:t xml:space="preserve">Journal of Psychiatric Research </w:t>
      </w:r>
      <w:r w:rsidRPr="008C7FF3">
        <w:rPr>
          <w:iCs/>
        </w:rPr>
        <w:t>1993;</w:t>
      </w:r>
      <w:r w:rsidRPr="008C7FF3">
        <w:rPr>
          <w:b/>
          <w:iCs/>
        </w:rPr>
        <w:t xml:space="preserve"> 27</w:t>
      </w:r>
      <w:r w:rsidRPr="008C7FF3">
        <w:t>(2):211-221.</w:t>
      </w:r>
    </w:p>
    <w:p w14:paraId="21DB89D2" w14:textId="77777777" w:rsidR="00E42300" w:rsidRPr="008C7FF3" w:rsidRDefault="00E42300" w:rsidP="00E42300">
      <w:pPr>
        <w:pStyle w:val="ListParagraph"/>
        <w:numPr>
          <w:ilvl w:val="0"/>
          <w:numId w:val="1"/>
        </w:numPr>
        <w:spacing w:line="480" w:lineRule="auto"/>
        <w:ind w:left="720"/>
      </w:pPr>
      <w:r w:rsidRPr="008C7FF3">
        <w:t xml:space="preserve">Breslau N, Schultz L, Lipton R, Peterson E, Welch KMA. Migraine headaches and suicide attempt. </w:t>
      </w:r>
      <w:r w:rsidRPr="008C7FF3">
        <w:rPr>
          <w:i/>
        </w:rPr>
        <w:t>Headache J Head Face Pain</w:t>
      </w:r>
      <w:r w:rsidRPr="008C7FF3">
        <w:t xml:space="preserve"> 2012;</w:t>
      </w:r>
      <w:r w:rsidRPr="008C7FF3">
        <w:rPr>
          <w:b/>
        </w:rPr>
        <w:t>52</w:t>
      </w:r>
      <w:r w:rsidRPr="008C7FF3">
        <w:t xml:space="preserve">(5):723–31. </w:t>
      </w:r>
    </w:p>
    <w:p w14:paraId="7E430165" w14:textId="77777777" w:rsidR="00E42300" w:rsidRPr="008C7FF3" w:rsidRDefault="00E42300" w:rsidP="00E42300">
      <w:pPr>
        <w:pStyle w:val="ListParagraph"/>
        <w:numPr>
          <w:ilvl w:val="0"/>
          <w:numId w:val="1"/>
        </w:numPr>
        <w:spacing w:line="480" w:lineRule="auto"/>
        <w:ind w:left="720"/>
      </w:pPr>
      <w:r w:rsidRPr="008C7FF3">
        <w:t xml:space="preserve">Britton PC, Conner KR. Suicide attempts within 12 months of treatment for substance use disorders. </w:t>
      </w:r>
      <w:r w:rsidRPr="008C7FF3">
        <w:rPr>
          <w:i/>
        </w:rPr>
        <w:t xml:space="preserve">Suicide Life-Threat </w:t>
      </w:r>
      <w:proofErr w:type="spellStart"/>
      <w:r w:rsidRPr="008C7FF3">
        <w:rPr>
          <w:i/>
        </w:rPr>
        <w:t>Behav</w:t>
      </w:r>
      <w:proofErr w:type="spellEnd"/>
      <w:r w:rsidRPr="008C7FF3">
        <w:t xml:space="preserve"> 2010;</w:t>
      </w:r>
      <w:r w:rsidRPr="008C7FF3">
        <w:rPr>
          <w:b/>
        </w:rPr>
        <w:t>40</w:t>
      </w:r>
      <w:r w:rsidRPr="008C7FF3">
        <w:t xml:space="preserve">(1):14–21. </w:t>
      </w:r>
    </w:p>
    <w:p w14:paraId="6B99842A" w14:textId="77777777" w:rsidR="00E42300" w:rsidRPr="008C7FF3" w:rsidRDefault="00E42300" w:rsidP="00E42300">
      <w:pPr>
        <w:pStyle w:val="ListParagraph"/>
        <w:numPr>
          <w:ilvl w:val="0"/>
          <w:numId w:val="1"/>
        </w:numPr>
        <w:spacing w:line="480" w:lineRule="auto"/>
        <w:ind w:left="720"/>
      </w:pPr>
      <w:r w:rsidRPr="008C7FF3">
        <w:t xml:space="preserve">Britton PC, </w:t>
      </w:r>
      <w:proofErr w:type="spellStart"/>
      <w:r w:rsidRPr="008C7FF3">
        <w:t>Ilgen</w:t>
      </w:r>
      <w:proofErr w:type="spellEnd"/>
      <w:r w:rsidRPr="008C7FF3">
        <w:t xml:space="preserve"> MA, Rudd MD, Conner KR. Warning signs for suicide within a week of healthcare contact in veteran decedents. </w:t>
      </w:r>
      <w:r w:rsidRPr="008C7FF3">
        <w:rPr>
          <w:i/>
        </w:rPr>
        <w:t>Psychiatry Res</w:t>
      </w:r>
      <w:r w:rsidRPr="008C7FF3">
        <w:t xml:space="preserve"> 2012;</w:t>
      </w:r>
      <w:r w:rsidRPr="008C7FF3">
        <w:rPr>
          <w:b/>
        </w:rPr>
        <w:t>200</w:t>
      </w:r>
      <w:r w:rsidRPr="008C7FF3">
        <w:t xml:space="preserve">(2–3):395–9. </w:t>
      </w:r>
    </w:p>
    <w:p w14:paraId="7B701E7D" w14:textId="77777777" w:rsidR="00E42300" w:rsidRPr="008C7FF3" w:rsidRDefault="00E42300" w:rsidP="00E42300">
      <w:pPr>
        <w:pStyle w:val="ListParagraph"/>
        <w:numPr>
          <w:ilvl w:val="0"/>
          <w:numId w:val="1"/>
        </w:numPr>
        <w:spacing w:line="480" w:lineRule="auto"/>
        <w:ind w:left="720"/>
      </w:pPr>
      <w:r w:rsidRPr="008C7FF3">
        <w:t xml:space="preserve">Brown GK, Beck AT, Steer RA, Grisham JR. Risk factors for suicide in psychiatric outpatients: A 20-year prospective study. </w:t>
      </w:r>
      <w:r w:rsidRPr="008C7FF3">
        <w:rPr>
          <w:i/>
        </w:rPr>
        <w:t xml:space="preserve">J Consult </w:t>
      </w:r>
      <w:proofErr w:type="spellStart"/>
      <w:r w:rsidRPr="008C7FF3">
        <w:rPr>
          <w:i/>
        </w:rPr>
        <w:t>Clin</w:t>
      </w:r>
      <w:proofErr w:type="spellEnd"/>
      <w:r w:rsidRPr="008C7FF3">
        <w:rPr>
          <w:i/>
        </w:rPr>
        <w:t xml:space="preserve"> </w:t>
      </w:r>
      <w:proofErr w:type="spellStart"/>
      <w:r w:rsidRPr="008C7FF3">
        <w:rPr>
          <w:i/>
        </w:rPr>
        <w:t>Psychol</w:t>
      </w:r>
      <w:proofErr w:type="spellEnd"/>
      <w:r w:rsidRPr="008C7FF3">
        <w:t xml:space="preserve"> 2000;</w:t>
      </w:r>
      <w:r w:rsidRPr="008C7FF3">
        <w:rPr>
          <w:b/>
        </w:rPr>
        <w:t>68</w:t>
      </w:r>
      <w:r w:rsidRPr="008C7FF3">
        <w:t xml:space="preserve">(3):371–7. </w:t>
      </w:r>
    </w:p>
    <w:p w14:paraId="174E9C85" w14:textId="77777777" w:rsidR="00E42300" w:rsidRPr="008C7FF3" w:rsidRDefault="00E42300" w:rsidP="00E42300">
      <w:pPr>
        <w:pStyle w:val="ListParagraph"/>
        <w:numPr>
          <w:ilvl w:val="0"/>
          <w:numId w:val="1"/>
        </w:numPr>
        <w:spacing w:line="480" w:lineRule="auto"/>
        <w:ind w:left="720"/>
      </w:pPr>
      <w:r w:rsidRPr="008C7FF3">
        <w:t xml:space="preserve">Brown GK, Steer RA, Henriques GR, Beck AT. The internal struggle between the wish to die and the wish to live: A risk factor for suicide. </w:t>
      </w:r>
      <w:r w:rsidRPr="008C7FF3">
        <w:rPr>
          <w:i/>
        </w:rPr>
        <w:t>Am J Psychiatry</w:t>
      </w:r>
      <w:r w:rsidRPr="008C7FF3">
        <w:t xml:space="preserve"> 2005;</w:t>
      </w:r>
      <w:r w:rsidRPr="008C7FF3">
        <w:rPr>
          <w:b/>
        </w:rPr>
        <w:t>162</w:t>
      </w:r>
      <w:r w:rsidRPr="008C7FF3">
        <w:t xml:space="preserve">(10):1977–9. </w:t>
      </w:r>
    </w:p>
    <w:p w14:paraId="3DD75E94" w14:textId="77777777" w:rsidR="00E42300" w:rsidRPr="008C7FF3" w:rsidRDefault="00E42300" w:rsidP="00E42300">
      <w:pPr>
        <w:pStyle w:val="ListParagraph"/>
        <w:numPr>
          <w:ilvl w:val="0"/>
          <w:numId w:val="1"/>
        </w:numPr>
        <w:spacing w:line="480" w:lineRule="auto"/>
        <w:ind w:left="720"/>
      </w:pPr>
      <w:r w:rsidRPr="008C7FF3">
        <w:t xml:space="preserve">Bryan CJ, Rudd MD, </w:t>
      </w:r>
      <w:proofErr w:type="spellStart"/>
      <w:r w:rsidRPr="008C7FF3">
        <w:t>Wertenberger</w:t>
      </w:r>
      <w:proofErr w:type="spellEnd"/>
      <w:r w:rsidRPr="008C7FF3">
        <w:t xml:space="preserve"> E, Young-</w:t>
      </w:r>
      <w:proofErr w:type="spellStart"/>
      <w:r w:rsidRPr="008C7FF3">
        <w:t>Mccaughon</w:t>
      </w:r>
      <w:proofErr w:type="spellEnd"/>
      <w:r w:rsidRPr="008C7FF3">
        <w:t xml:space="preserve"> S, Peterson A. </w:t>
      </w:r>
      <w:proofErr w:type="spellStart"/>
      <w:r w:rsidRPr="008C7FF3">
        <w:t>Nonsuicidal</w:t>
      </w:r>
      <w:proofErr w:type="spellEnd"/>
      <w:r w:rsidRPr="008C7FF3">
        <w:t xml:space="preserve"> self-injury as a prospective predictor of suicide attempts in a clinical sample of military personnel. </w:t>
      </w:r>
      <w:proofErr w:type="spellStart"/>
      <w:r w:rsidRPr="008C7FF3">
        <w:rPr>
          <w:i/>
        </w:rPr>
        <w:t>Compr</w:t>
      </w:r>
      <w:proofErr w:type="spellEnd"/>
      <w:r w:rsidRPr="008C7FF3">
        <w:rPr>
          <w:i/>
        </w:rPr>
        <w:t xml:space="preserve"> Psychiatry</w:t>
      </w:r>
      <w:r w:rsidRPr="008C7FF3">
        <w:t xml:space="preserve"> </w:t>
      </w:r>
      <w:proofErr w:type="gramStart"/>
      <w:r w:rsidRPr="008C7FF3">
        <w:t>2015;</w:t>
      </w:r>
      <w:r w:rsidRPr="008C7FF3">
        <w:rPr>
          <w:b/>
        </w:rPr>
        <w:t>59</w:t>
      </w:r>
      <w:r w:rsidRPr="008C7FF3">
        <w:t>:1</w:t>
      </w:r>
      <w:proofErr w:type="gramEnd"/>
      <w:r w:rsidRPr="008C7FF3">
        <w:t xml:space="preserve">–7. </w:t>
      </w:r>
    </w:p>
    <w:p w14:paraId="0A541974" w14:textId="77777777" w:rsidR="00E42300" w:rsidRPr="008C7FF3" w:rsidRDefault="00E42300" w:rsidP="00E42300">
      <w:pPr>
        <w:pStyle w:val="ListParagraph"/>
        <w:numPr>
          <w:ilvl w:val="0"/>
          <w:numId w:val="1"/>
        </w:numPr>
        <w:spacing w:line="480" w:lineRule="auto"/>
        <w:ind w:left="720"/>
      </w:pPr>
      <w:proofErr w:type="spellStart"/>
      <w:r w:rsidRPr="008C7FF3">
        <w:t>Cedereke</w:t>
      </w:r>
      <w:proofErr w:type="spellEnd"/>
      <w:r w:rsidRPr="008C7FF3">
        <w:t xml:space="preserve">, M. OA. Prediction of repeated parasuicide after 1-12 months. </w:t>
      </w:r>
      <w:proofErr w:type="spellStart"/>
      <w:r w:rsidRPr="008C7FF3">
        <w:rPr>
          <w:i/>
        </w:rPr>
        <w:t>Eur</w:t>
      </w:r>
      <w:proofErr w:type="spellEnd"/>
      <w:r w:rsidRPr="008C7FF3">
        <w:rPr>
          <w:i/>
        </w:rPr>
        <w:t xml:space="preserve"> Psychiatry</w:t>
      </w:r>
      <w:r w:rsidRPr="008C7FF3">
        <w:t xml:space="preserve"> 2005;</w:t>
      </w:r>
      <w:r w:rsidRPr="008C7FF3">
        <w:rPr>
          <w:b/>
        </w:rPr>
        <w:t>20</w:t>
      </w:r>
      <w:r w:rsidRPr="008C7FF3">
        <w:t xml:space="preserve">(2):101–9. </w:t>
      </w:r>
    </w:p>
    <w:p w14:paraId="576127C5" w14:textId="77777777" w:rsidR="00E42300" w:rsidRPr="008C7FF3" w:rsidRDefault="00E42300" w:rsidP="00E42300">
      <w:pPr>
        <w:pStyle w:val="ListParagraph"/>
        <w:numPr>
          <w:ilvl w:val="0"/>
          <w:numId w:val="1"/>
        </w:numPr>
        <w:spacing w:line="480" w:lineRule="auto"/>
        <w:ind w:left="720"/>
      </w:pPr>
      <w:r w:rsidRPr="008C7FF3">
        <w:lastRenderedPageBreak/>
        <w:t xml:space="preserve">Cha C.B., </w:t>
      </w:r>
      <w:proofErr w:type="spellStart"/>
      <w:r w:rsidRPr="008C7FF3">
        <w:t>Najmi</w:t>
      </w:r>
      <w:proofErr w:type="spellEnd"/>
      <w:r w:rsidRPr="008C7FF3">
        <w:t xml:space="preserve"> S., Park J.M., Finn C.T. NMK. Attention bias toward suicide-related stimuli predicts </w:t>
      </w:r>
      <w:proofErr w:type="spellStart"/>
      <w:r w:rsidRPr="008C7FF3">
        <w:t>suicidial</w:t>
      </w:r>
      <w:proofErr w:type="spellEnd"/>
      <w:r w:rsidRPr="008C7FF3">
        <w:t xml:space="preserve"> behavior. </w:t>
      </w:r>
      <w:r w:rsidRPr="008C7FF3">
        <w:rPr>
          <w:i/>
        </w:rPr>
        <w:t xml:space="preserve">J </w:t>
      </w:r>
      <w:proofErr w:type="spellStart"/>
      <w:r w:rsidRPr="008C7FF3">
        <w:rPr>
          <w:i/>
        </w:rPr>
        <w:t>Abnorm</w:t>
      </w:r>
      <w:proofErr w:type="spellEnd"/>
      <w:r w:rsidRPr="008C7FF3">
        <w:rPr>
          <w:i/>
        </w:rPr>
        <w:t xml:space="preserve"> </w:t>
      </w:r>
      <w:proofErr w:type="spellStart"/>
      <w:r w:rsidRPr="008C7FF3">
        <w:rPr>
          <w:i/>
        </w:rPr>
        <w:t>Psychol</w:t>
      </w:r>
      <w:proofErr w:type="spellEnd"/>
      <w:r w:rsidRPr="008C7FF3">
        <w:t xml:space="preserve"> 2010;</w:t>
      </w:r>
      <w:r w:rsidRPr="008C7FF3">
        <w:rPr>
          <w:b/>
        </w:rPr>
        <w:t>199</w:t>
      </w:r>
      <w:r w:rsidRPr="008C7FF3">
        <w:t xml:space="preserve">(3):867–73. </w:t>
      </w:r>
    </w:p>
    <w:p w14:paraId="453F85FC" w14:textId="77777777" w:rsidR="00E42300" w:rsidRPr="008C7FF3" w:rsidRDefault="00E42300" w:rsidP="00E42300">
      <w:pPr>
        <w:pStyle w:val="ListParagraph"/>
        <w:numPr>
          <w:ilvl w:val="0"/>
          <w:numId w:val="1"/>
        </w:numPr>
        <w:spacing w:line="480" w:lineRule="auto"/>
        <w:ind w:left="720"/>
      </w:pPr>
      <w:r w:rsidRPr="008C7FF3">
        <w:t xml:space="preserve">Chan LF, Shamsul AS, </w:t>
      </w:r>
      <w:proofErr w:type="spellStart"/>
      <w:r w:rsidRPr="008C7FF3">
        <w:t>Maniam</w:t>
      </w:r>
      <w:proofErr w:type="spellEnd"/>
      <w:r w:rsidRPr="008C7FF3">
        <w:t xml:space="preserve"> T. Are predictors of future suicide attempts and the transition from suicidal ideation to suicide attempts shared or distinct: A 12-month prospective study among patients with depressive disorders. </w:t>
      </w:r>
      <w:r w:rsidRPr="008C7FF3">
        <w:rPr>
          <w:i/>
        </w:rPr>
        <w:t>Psychiatry Res</w:t>
      </w:r>
      <w:r w:rsidRPr="008C7FF3">
        <w:t xml:space="preserve"> 2014;</w:t>
      </w:r>
      <w:r w:rsidRPr="008C7FF3">
        <w:rPr>
          <w:b/>
        </w:rPr>
        <w:t>220</w:t>
      </w:r>
      <w:r w:rsidRPr="008C7FF3">
        <w:t xml:space="preserve">(3):867–73. </w:t>
      </w:r>
    </w:p>
    <w:p w14:paraId="3103F116" w14:textId="77777777" w:rsidR="00E42300" w:rsidRPr="008C7FF3" w:rsidRDefault="00E42300" w:rsidP="00E42300">
      <w:pPr>
        <w:pStyle w:val="ListParagraph"/>
        <w:numPr>
          <w:ilvl w:val="0"/>
          <w:numId w:val="1"/>
        </w:numPr>
        <w:spacing w:line="480" w:lineRule="auto"/>
        <w:ind w:left="720"/>
      </w:pPr>
      <w:r w:rsidRPr="008C7FF3">
        <w:t xml:space="preserve">Clark DB. Serum tryptophan ratio and suicidal behavior in adolescents: A prospective study. </w:t>
      </w:r>
      <w:r w:rsidRPr="008C7FF3">
        <w:rPr>
          <w:i/>
        </w:rPr>
        <w:t>Psychiatry Res</w:t>
      </w:r>
      <w:r w:rsidRPr="008C7FF3">
        <w:t xml:space="preserve"> 2003;</w:t>
      </w:r>
      <w:r w:rsidRPr="008C7FF3">
        <w:rPr>
          <w:b/>
        </w:rPr>
        <w:t>119</w:t>
      </w:r>
      <w:r w:rsidRPr="008C7FF3">
        <w:t xml:space="preserve">(3):199–204. </w:t>
      </w:r>
    </w:p>
    <w:p w14:paraId="7F4498FA" w14:textId="77777777" w:rsidR="00E42300" w:rsidRPr="008C7FF3" w:rsidRDefault="00E42300" w:rsidP="00E42300">
      <w:pPr>
        <w:pStyle w:val="ListParagraph"/>
        <w:numPr>
          <w:ilvl w:val="0"/>
          <w:numId w:val="1"/>
        </w:numPr>
        <w:spacing w:line="480" w:lineRule="auto"/>
        <w:ind w:left="720"/>
      </w:pPr>
      <w:r w:rsidRPr="008C7FF3">
        <w:t xml:space="preserve">Clarke DE, Eaton WW, </w:t>
      </w:r>
      <w:proofErr w:type="spellStart"/>
      <w:r w:rsidRPr="008C7FF3">
        <w:t>Petronis</w:t>
      </w:r>
      <w:proofErr w:type="spellEnd"/>
      <w:r w:rsidRPr="008C7FF3">
        <w:t xml:space="preserve"> KR, </w:t>
      </w:r>
      <w:proofErr w:type="spellStart"/>
      <w:r w:rsidRPr="008C7FF3">
        <w:t>Ko</w:t>
      </w:r>
      <w:proofErr w:type="spellEnd"/>
      <w:r w:rsidRPr="008C7FF3">
        <w:t xml:space="preserve"> JY, Chatterjee A, Anthony JC. Increased risk of suicidal ideation in smokers and former smokers compared to never smokers: evidence from the Baltimore ECA follow-up study. </w:t>
      </w:r>
      <w:r w:rsidRPr="008C7FF3">
        <w:rPr>
          <w:i/>
        </w:rPr>
        <w:t xml:space="preserve">Suicide Life-Threat </w:t>
      </w:r>
      <w:proofErr w:type="spellStart"/>
      <w:r w:rsidRPr="008C7FF3">
        <w:rPr>
          <w:i/>
        </w:rPr>
        <w:t>Behav</w:t>
      </w:r>
      <w:proofErr w:type="spellEnd"/>
      <w:r w:rsidRPr="008C7FF3">
        <w:t xml:space="preserve"> 2010;</w:t>
      </w:r>
      <w:r w:rsidRPr="008C7FF3">
        <w:rPr>
          <w:b/>
        </w:rPr>
        <w:t>40</w:t>
      </w:r>
      <w:r w:rsidRPr="008C7FF3">
        <w:t xml:space="preserve">(4):307–18. </w:t>
      </w:r>
    </w:p>
    <w:p w14:paraId="05ADB3AC" w14:textId="77777777" w:rsidR="00E42300" w:rsidRPr="008C7FF3" w:rsidRDefault="00E42300" w:rsidP="00E42300">
      <w:pPr>
        <w:pStyle w:val="ListParagraph"/>
        <w:numPr>
          <w:ilvl w:val="0"/>
          <w:numId w:val="1"/>
        </w:numPr>
        <w:spacing w:line="480" w:lineRule="auto"/>
        <w:ind w:left="720"/>
      </w:pPr>
      <w:r w:rsidRPr="008C7FF3">
        <w:t xml:space="preserve">Conner KR, McCarthy MD, </w:t>
      </w:r>
      <w:proofErr w:type="spellStart"/>
      <w:r w:rsidRPr="008C7FF3">
        <w:t>Bajorska</w:t>
      </w:r>
      <w:proofErr w:type="spellEnd"/>
      <w:r w:rsidRPr="008C7FF3">
        <w:t xml:space="preserve"> A, Caine ED, Tu XM, Knox KL. Mood, anxiety, and substance-use disorders and suicide risk in a military population cohort. </w:t>
      </w:r>
      <w:r w:rsidRPr="008C7FF3">
        <w:rPr>
          <w:i/>
        </w:rPr>
        <w:t xml:space="preserve">Suicide Life-Threat </w:t>
      </w:r>
      <w:proofErr w:type="spellStart"/>
      <w:r w:rsidRPr="008C7FF3">
        <w:rPr>
          <w:i/>
        </w:rPr>
        <w:t>Behav</w:t>
      </w:r>
      <w:proofErr w:type="spellEnd"/>
      <w:r w:rsidRPr="008C7FF3">
        <w:t xml:space="preserve"> 2012;</w:t>
      </w:r>
      <w:r w:rsidRPr="008C7FF3">
        <w:rPr>
          <w:b/>
        </w:rPr>
        <w:t>42</w:t>
      </w:r>
      <w:r w:rsidRPr="008C7FF3">
        <w:t xml:space="preserve">(6):699–708. </w:t>
      </w:r>
    </w:p>
    <w:p w14:paraId="73D282E8" w14:textId="77777777" w:rsidR="00E42300" w:rsidRPr="008C7FF3" w:rsidRDefault="00E42300" w:rsidP="00E42300">
      <w:pPr>
        <w:pStyle w:val="ListParagraph"/>
        <w:numPr>
          <w:ilvl w:val="0"/>
          <w:numId w:val="1"/>
        </w:numPr>
        <w:spacing w:line="480" w:lineRule="auto"/>
        <w:ind w:left="720"/>
      </w:pPr>
      <w:r w:rsidRPr="008C7FF3">
        <w:t xml:space="preserve">Coryell W, </w:t>
      </w:r>
      <w:proofErr w:type="spellStart"/>
      <w:r w:rsidRPr="008C7FF3">
        <w:t>Schlesser</w:t>
      </w:r>
      <w:proofErr w:type="spellEnd"/>
      <w:r w:rsidRPr="008C7FF3">
        <w:t xml:space="preserve"> M. The dexamethasone suppression test and suicide prediction. </w:t>
      </w:r>
      <w:r w:rsidRPr="008C7FF3">
        <w:rPr>
          <w:i/>
        </w:rPr>
        <w:t>Am J Psychiatry</w:t>
      </w:r>
      <w:r w:rsidRPr="008C7FF3">
        <w:t xml:space="preserve"> 2001;</w:t>
      </w:r>
      <w:r w:rsidRPr="008C7FF3">
        <w:rPr>
          <w:b/>
        </w:rPr>
        <w:t>158</w:t>
      </w:r>
      <w:r w:rsidRPr="008C7FF3">
        <w:t xml:space="preserve">(5):748–53. </w:t>
      </w:r>
    </w:p>
    <w:p w14:paraId="6DF4EBAD" w14:textId="77777777" w:rsidR="00E42300" w:rsidRPr="008C7FF3" w:rsidRDefault="00E42300" w:rsidP="00E42300">
      <w:pPr>
        <w:pStyle w:val="ListParagraph"/>
        <w:numPr>
          <w:ilvl w:val="0"/>
          <w:numId w:val="1"/>
        </w:numPr>
        <w:spacing w:line="480" w:lineRule="auto"/>
        <w:ind w:left="720"/>
      </w:pPr>
      <w:proofErr w:type="spellStart"/>
      <w:r w:rsidRPr="008C7FF3">
        <w:t>Cougle</w:t>
      </w:r>
      <w:proofErr w:type="spellEnd"/>
      <w:r w:rsidRPr="008C7FF3">
        <w:t xml:space="preserve"> JR, Resnick H, Kilpatrick DG. PTSD, depression, and their comorbidity in relation to suicidality: Cross-sectional and prospective analyses of a national probability sample of women. </w:t>
      </w:r>
      <w:r w:rsidRPr="008C7FF3">
        <w:rPr>
          <w:i/>
        </w:rPr>
        <w:t>Depress Anxiety</w:t>
      </w:r>
      <w:r w:rsidRPr="008C7FF3">
        <w:t xml:space="preserve"> 2009;</w:t>
      </w:r>
      <w:r w:rsidRPr="008C7FF3">
        <w:rPr>
          <w:b/>
        </w:rPr>
        <w:t>26</w:t>
      </w:r>
      <w:r w:rsidRPr="008C7FF3">
        <w:t xml:space="preserve">(12):1151–7. </w:t>
      </w:r>
    </w:p>
    <w:p w14:paraId="68022D2D" w14:textId="77777777" w:rsidR="00E42300" w:rsidRPr="008C7FF3" w:rsidRDefault="00E42300" w:rsidP="00E42300">
      <w:pPr>
        <w:pStyle w:val="ListParagraph"/>
        <w:numPr>
          <w:ilvl w:val="0"/>
          <w:numId w:val="1"/>
        </w:numPr>
        <w:spacing w:line="480" w:lineRule="auto"/>
        <w:ind w:left="720"/>
      </w:pPr>
      <w:proofErr w:type="spellStart"/>
      <w:r w:rsidRPr="008C7FF3">
        <w:t>Courtet</w:t>
      </w:r>
      <w:proofErr w:type="spellEnd"/>
      <w:r w:rsidRPr="008C7FF3">
        <w:t xml:space="preserve"> P, </w:t>
      </w:r>
      <w:proofErr w:type="spellStart"/>
      <w:r w:rsidRPr="008C7FF3">
        <w:t>Buresi</w:t>
      </w:r>
      <w:proofErr w:type="spellEnd"/>
      <w:r w:rsidRPr="008C7FF3">
        <w:t xml:space="preserve"> C, </w:t>
      </w:r>
      <w:proofErr w:type="spellStart"/>
      <w:r w:rsidRPr="008C7FF3">
        <w:t>Abbar</w:t>
      </w:r>
      <w:proofErr w:type="spellEnd"/>
      <w:r w:rsidRPr="008C7FF3">
        <w:t xml:space="preserve"> M, Baud P, </w:t>
      </w:r>
      <w:proofErr w:type="spellStart"/>
      <w:r w:rsidRPr="008C7FF3">
        <w:t>Boulenger</w:t>
      </w:r>
      <w:proofErr w:type="spellEnd"/>
      <w:r w:rsidRPr="008C7FF3">
        <w:t xml:space="preserve"> J-P, </w:t>
      </w:r>
      <w:proofErr w:type="spellStart"/>
      <w:r w:rsidRPr="008C7FF3">
        <w:t>Castelnau</w:t>
      </w:r>
      <w:proofErr w:type="spellEnd"/>
      <w:r w:rsidRPr="008C7FF3">
        <w:t xml:space="preserve"> D, et al. No association between non-violent suicidal behavior and the serotonin transporter promoter polymorphism. </w:t>
      </w:r>
      <w:r w:rsidRPr="008C7FF3">
        <w:rPr>
          <w:i/>
        </w:rPr>
        <w:t xml:space="preserve">Am J Med Genet B </w:t>
      </w:r>
      <w:proofErr w:type="spellStart"/>
      <w:r w:rsidRPr="008C7FF3">
        <w:rPr>
          <w:i/>
        </w:rPr>
        <w:t>Neuropsychiatr</w:t>
      </w:r>
      <w:proofErr w:type="spellEnd"/>
      <w:r w:rsidRPr="008C7FF3">
        <w:rPr>
          <w:i/>
        </w:rPr>
        <w:t xml:space="preserve"> Genet</w:t>
      </w:r>
      <w:r w:rsidRPr="008C7FF3">
        <w:t xml:space="preserve"> 2003;</w:t>
      </w:r>
      <w:r w:rsidRPr="008C7FF3">
        <w:rPr>
          <w:b/>
        </w:rPr>
        <w:t>116</w:t>
      </w:r>
      <w:proofErr w:type="gramStart"/>
      <w:r w:rsidRPr="008C7FF3">
        <w:rPr>
          <w:b/>
        </w:rPr>
        <w:t>B</w:t>
      </w:r>
      <w:r w:rsidRPr="008C7FF3">
        <w:t>(</w:t>
      </w:r>
      <w:proofErr w:type="gramEnd"/>
      <w:r w:rsidRPr="008C7FF3">
        <w:t xml:space="preserve">1):72–6. </w:t>
      </w:r>
    </w:p>
    <w:p w14:paraId="368C15C1"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Czyz</w:t>
      </w:r>
      <w:proofErr w:type="spellEnd"/>
      <w:r w:rsidRPr="008C7FF3">
        <w:t xml:space="preserve"> EK, </w:t>
      </w:r>
      <w:proofErr w:type="spellStart"/>
      <w:r w:rsidRPr="008C7FF3">
        <w:t>Berona</w:t>
      </w:r>
      <w:proofErr w:type="spellEnd"/>
      <w:r w:rsidRPr="008C7FF3">
        <w:t xml:space="preserve"> J, King CA. A prospective examination of the interpersonal-psychological theory of suicidal behavior among psychiatric adolescent inpatients. </w:t>
      </w:r>
      <w:r w:rsidRPr="008C7FF3">
        <w:rPr>
          <w:i/>
        </w:rPr>
        <w:t xml:space="preserve">Suicide Life-Threat </w:t>
      </w:r>
      <w:proofErr w:type="spellStart"/>
      <w:r w:rsidRPr="008C7FF3">
        <w:rPr>
          <w:i/>
        </w:rPr>
        <w:t>Behav</w:t>
      </w:r>
      <w:proofErr w:type="spellEnd"/>
      <w:r w:rsidRPr="008C7FF3">
        <w:t xml:space="preserve"> 2015;</w:t>
      </w:r>
      <w:r w:rsidRPr="008C7FF3">
        <w:rPr>
          <w:b/>
        </w:rPr>
        <w:t>45</w:t>
      </w:r>
      <w:r w:rsidRPr="008C7FF3">
        <w:t xml:space="preserve">(2):243–59. </w:t>
      </w:r>
    </w:p>
    <w:p w14:paraId="372B5100" w14:textId="77777777" w:rsidR="00E42300" w:rsidRPr="008C7FF3" w:rsidRDefault="00E42300" w:rsidP="00E42300">
      <w:pPr>
        <w:pStyle w:val="ListParagraph"/>
        <w:numPr>
          <w:ilvl w:val="0"/>
          <w:numId w:val="1"/>
        </w:numPr>
        <w:spacing w:line="480" w:lineRule="auto"/>
        <w:ind w:left="720"/>
      </w:pPr>
      <w:proofErr w:type="spellStart"/>
      <w:r w:rsidRPr="008C7FF3">
        <w:t>Dahlsgaard</w:t>
      </w:r>
      <w:proofErr w:type="spellEnd"/>
      <w:r w:rsidRPr="008C7FF3">
        <w:t xml:space="preserve"> KK, Beck AT, Brown GK. Inadequate response to therapy as a predictor of suicide. </w:t>
      </w:r>
      <w:r w:rsidRPr="008C7FF3">
        <w:rPr>
          <w:i/>
        </w:rPr>
        <w:t xml:space="preserve">Suicide Life-Threat </w:t>
      </w:r>
      <w:proofErr w:type="spellStart"/>
      <w:r w:rsidRPr="008C7FF3">
        <w:rPr>
          <w:i/>
        </w:rPr>
        <w:t>Behav</w:t>
      </w:r>
      <w:proofErr w:type="spellEnd"/>
      <w:r w:rsidRPr="008C7FF3">
        <w:t xml:space="preserve"> 1998;</w:t>
      </w:r>
      <w:r w:rsidRPr="008C7FF3">
        <w:rPr>
          <w:b/>
        </w:rPr>
        <w:t>28</w:t>
      </w:r>
      <w:r w:rsidRPr="008C7FF3">
        <w:t xml:space="preserve">(2):197–204. </w:t>
      </w:r>
    </w:p>
    <w:p w14:paraId="13CF3635" w14:textId="77777777" w:rsidR="00E42300" w:rsidRPr="008C7FF3" w:rsidRDefault="00E42300" w:rsidP="00E42300">
      <w:pPr>
        <w:pStyle w:val="ListParagraph"/>
        <w:numPr>
          <w:ilvl w:val="0"/>
          <w:numId w:val="1"/>
        </w:numPr>
        <w:spacing w:line="480" w:lineRule="auto"/>
        <w:ind w:left="720"/>
      </w:pPr>
      <w:proofErr w:type="spellStart"/>
      <w:r w:rsidRPr="008C7FF3">
        <w:t>Darke</w:t>
      </w:r>
      <w:proofErr w:type="spellEnd"/>
      <w:r w:rsidRPr="008C7FF3">
        <w:t xml:space="preserve"> S, Williamson A, Ross J, </w:t>
      </w:r>
      <w:proofErr w:type="spellStart"/>
      <w:r w:rsidRPr="008C7FF3">
        <w:t>Teesson</w:t>
      </w:r>
      <w:proofErr w:type="spellEnd"/>
      <w:r w:rsidRPr="008C7FF3">
        <w:t xml:space="preserve"> M. Attempted suicide among heroin users: 12-month outcomes from the Australian Treatment Outcome Study (ATOS). </w:t>
      </w:r>
      <w:r w:rsidRPr="008C7FF3">
        <w:rPr>
          <w:i/>
        </w:rPr>
        <w:t>Drug Alcohol Depend</w:t>
      </w:r>
      <w:r w:rsidRPr="008C7FF3">
        <w:t xml:space="preserve"> 2005;</w:t>
      </w:r>
      <w:r w:rsidRPr="008C7FF3">
        <w:rPr>
          <w:b/>
        </w:rPr>
        <w:t>78</w:t>
      </w:r>
      <w:r w:rsidRPr="008C7FF3">
        <w:t xml:space="preserve">(2):177–86. </w:t>
      </w:r>
    </w:p>
    <w:p w14:paraId="0F5F547E" w14:textId="77777777" w:rsidR="00E42300" w:rsidRPr="008C7FF3" w:rsidRDefault="00E42300" w:rsidP="00E42300">
      <w:pPr>
        <w:pStyle w:val="ListParagraph"/>
        <w:numPr>
          <w:ilvl w:val="0"/>
          <w:numId w:val="1"/>
        </w:numPr>
        <w:spacing w:line="480" w:lineRule="auto"/>
        <w:ind w:left="720"/>
      </w:pPr>
      <w:r w:rsidRPr="008C7FF3">
        <w:t xml:space="preserve">Desai RA, </w:t>
      </w:r>
      <w:proofErr w:type="spellStart"/>
      <w:r w:rsidRPr="008C7FF3">
        <w:t>Dausey</w:t>
      </w:r>
      <w:proofErr w:type="spellEnd"/>
      <w:r w:rsidRPr="008C7FF3">
        <w:t xml:space="preserve"> DJ, </w:t>
      </w:r>
      <w:proofErr w:type="spellStart"/>
      <w:r w:rsidRPr="008C7FF3">
        <w:t>Rosenheck</w:t>
      </w:r>
      <w:proofErr w:type="spellEnd"/>
      <w:r w:rsidRPr="008C7FF3">
        <w:t xml:space="preserve"> RA. Mental health service delivery and suicide risk: The role of individual patient and facility factors. </w:t>
      </w:r>
      <w:r w:rsidRPr="008C7FF3">
        <w:rPr>
          <w:i/>
        </w:rPr>
        <w:t>Am J Psychiatry</w:t>
      </w:r>
      <w:r w:rsidRPr="008C7FF3">
        <w:t xml:space="preserve"> 2005;</w:t>
      </w:r>
      <w:r w:rsidRPr="008C7FF3">
        <w:rPr>
          <w:b/>
        </w:rPr>
        <w:t>162</w:t>
      </w:r>
      <w:r w:rsidRPr="008C7FF3">
        <w:t xml:space="preserve">(2):311–8. </w:t>
      </w:r>
    </w:p>
    <w:p w14:paraId="573912F4" w14:textId="77777777" w:rsidR="00E42300" w:rsidRPr="008C7FF3" w:rsidRDefault="00E42300" w:rsidP="00E42300">
      <w:pPr>
        <w:pStyle w:val="ListParagraph"/>
        <w:numPr>
          <w:ilvl w:val="0"/>
          <w:numId w:val="1"/>
        </w:numPr>
        <w:spacing w:line="480" w:lineRule="auto"/>
        <w:ind w:left="720"/>
      </w:pPr>
      <w:proofErr w:type="spellStart"/>
      <w:r w:rsidRPr="008C7FF3">
        <w:t>Dieserud</w:t>
      </w:r>
      <w:proofErr w:type="spellEnd"/>
      <w:r w:rsidRPr="008C7FF3">
        <w:t xml:space="preserve"> G, </w:t>
      </w:r>
      <w:proofErr w:type="spellStart"/>
      <w:r w:rsidRPr="008C7FF3">
        <w:t>Røysamb</w:t>
      </w:r>
      <w:proofErr w:type="spellEnd"/>
      <w:r w:rsidRPr="008C7FF3">
        <w:t xml:space="preserve"> E, Braverman MT, </w:t>
      </w:r>
      <w:proofErr w:type="spellStart"/>
      <w:r w:rsidRPr="008C7FF3">
        <w:t>Dalgard</w:t>
      </w:r>
      <w:proofErr w:type="spellEnd"/>
      <w:r w:rsidRPr="008C7FF3">
        <w:t xml:space="preserve"> OS, </w:t>
      </w:r>
      <w:proofErr w:type="spellStart"/>
      <w:r w:rsidRPr="008C7FF3">
        <w:t>Ekeberg</w:t>
      </w:r>
      <w:proofErr w:type="spellEnd"/>
      <w:r w:rsidRPr="008C7FF3">
        <w:t xml:space="preserve"> Ø. Predicting repetition of suicide attempt: A prospective study of 50 suicide attempters. </w:t>
      </w:r>
      <w:r w:rsidRPr="008C7FF3">
        <w:rPr>
          <w:i/>
        </w:rPr>
        <w:t>Arch Suicide Res</w:t>
      </w:r>
      <w:r w:rsidRPr="008C7FF3">
        <w:t xml:space="preserve"> 2003;</w:t>
      </w:r>
      <w:r w:rsidRPr="008C7FF3">
        <w:rPr>
          <w:b/>
        </w:rPr>
        <w:t>7</w:t>
      </w:r>
      <w:r w:rsidRPr="008C7FF3">
        <w:t xml:space="preserve">(1):1–15. </w:t>
      </w:r>
    </w:p>
    <w:p w14:paraId="439908C9" w14:textId="77777777" w:rsidR="00E42300" w:rsidRPr="008C7FF3" w:rsidRDefault="00E42300" w:rsidP="00E42300">
      <w:pPr>
        <w:pStyle w:val="ListParagraph"/>
        <w:numPr>
          <w:ilvl w:val="0"/>
          <w:numId w:val="1"/>
        </w:numPr>
        <w:spacing w:line="480" w:lineRule="auto"/>
        <w:ind w:left="720"/>
      </w:pPr>
      <w:r w:rsidRPr="008C7FF3">
        <w:t xml:space="preserve">Dugas E, Low NCP, Rodriguez D, Burrows S, Contreras G, </w:t>
      </w:r>
      <w:proofErr w:type="spellStart"/>
      <w:r w:rsidRPr="008C7FF3">
        <w:t>Chaiton</w:t>
      </w:r>
      <w:proofErr w:type="spellEnd"/>
      <w:r w:rsidRPr="008C7FF3">
        <w:t xml:space="preserve"> M, et al. Early predictors of suicidal ideation in young adults. </w:t>
      </w:r>
      <w:r w:rsidRPr="008C7FF3">
        <w:rPr>
          <w:i/>
        </w:rPr>
        <w:t>Can J Psychiatry</w:t>
      </w:r>
      <w:r w:rsidRPr="008C7FF3">
        <w:t xml:space="preserve"> 2012;</w:t>
      </w:r>
      <w:r w:rsidRPr="008C7FF3">
        <w:rPr>
          <w:b/>
        </w:rPr>
        <w:t>57</w:t>
      </w:r>
      <w:r w:rsidRPr="008C7FF3">
        <w:t xml:space="preserve">(7):429–36. </w:t>
      </w:r>
    </w:p>
    <w:p w14:paraId="60F2E14E" w14:textId="77777777" w:rsidR="00E42300" w:rsidRPr="008C7FF3" w:rsidRDefault="00E42300" w:rsidP="00E42300">
      <w:pPr>
        <w:pStyle w:val="ListParagraph"/>
        <w:numPr>
          <w:ilvl w:val="0"/>
          <w:numId w:val="1"/>
        </w:numPr>
        <w:spacing w:line="480" w:lineRule="auto"/>
        <w:ind w:left="720"/>
      </w:pPr>
      <w:r w:rsidRPr="008C7FF3">
        <w:t xml:space="preserve">Fawcett J, </w:t>
      </w:r>
      <w:proofErr w:type="spellStart"/>
      <w:r w:rsidRPr="008C7FF3">
        <w:t>Scheftner</w:t>
      </w:r>
      <w:proofErr w:type="spellEnd"/>
      <w:r w:rsidRPr="008C7FF3">
        <w:t xml:space="preserve"> W, Fogg L, Clark DC, Young MA, </w:t>
      </w:r>
      <w:proofErr w:type="spellStart"/>
      <w:r w:rsidRPr="008C7FF3">
        <w:t>Hedeker</w:t>
      </w:r>
      <w:proofErr w:type="spellEnd"/>
      <w:r w:rsidRPr="008C7FF3">
        <w:t xml:space="preserve"> D, et al. Time related predictors of suicide in major affective disorder. </w:t>
      </w:r>
      <w:r w:rsidRPr="008C7FF3">
        <w:rPr>
          <w:i/>
        </w:rPr>
        <w:t>Am J Psychiatry</w:t>
      </w:r>
      <w:r w:rsidRPr="008C7FF3">
        <w:t xml:space="preserve"> 1990;</w:t>
      </w:r>
      <w:r w:rsidRPr="008C7FF3">
        <w:rPr>
          <w:b/>
        </w:rPr>
        <w:t>147</w:t>
      </w:r>
      <w:r w:rsidRPr="008C7FF3">
        <w:t xml:space="preserve">(9):1189–94. </w:t>
      </w:r>
    </w:p>
    <w:p w14:paraId="60BA68D1" w14:textId="77777777" w:rsidR="00E42300" w:rsidRPr="008C7FF3" w:rsidRDefault="00E42300" w:rsidP="00E42300">
      <w:pPr>
        <w:pStyle w:val="ListParagraph"/>
        <w:numPr>
          <w:ilvl w:val="0"/>
          <w:numId w:val="1"/>
        </w:numPr>
        <w:spacing w:line="480" w:lineRule="auto"/>
        <w:ind w:left="720"/>
      </w:pPr>
      <w:proofErr w:type="spellStart"/>
      <w:r w:rsidRPr="008C7FF3">
        <w:t>Fiedorowicz</w:t>
      </w:r>
      <w:proofErr w:type="spellEnd"/>
      <w:r w:rsidRPr="008C7FF3">
        <w:t xml:space="preserve"> JG, Leon AC, Keller MB, Solomon DA, Rice JP, Coryell WH. Do risk factors for suicidal behavior differ by affective disorder polarity? </w:t>
      </w:r>
      <w:proofErr w:type="spellStart"/>
      <w:r w:rsidRPr="008C7FF3">
        <w:rPr>
          <w:i/>
        </w:rPr>
        <w:t>Psychol</w:t>
      </w:r>
      <w:proofErr w:type="spellEnd"/>
      <w:r w:rsidRPr="008C7FF3">
        <w:rPr>
          <w:i/>
        </w:rPr>
        <w:t xml:space="preserve"> Med</w:t>
      </w:r>
      <w:r w:rsidRPr="008C7FF3">
        <w:t xml:space="preserve"> 2009;</w:t>
      </w:r>
      <w:r w:rsidRPr="008C7FF3">
        <w:rPr>
          <w:b/>
        </w:rPr>
        <w:t>39</w:t>
      </w:r>
      <w:r w:rsidRPr="008C7FF3">
        <w:t xml:space="preserve">(5):763–71. </w:t>
      </w:r>
    </w:p>
    <w:p w14:paraId="6A5400F3" w14:textId="77777777" w:rsidR="00E42300" w:rsidRPr="008C7FF3" w:rsidRDefault="00E42300" w:rsidP="00E42300">
      <w:pPr>
        <w:pStyle w:val="ListParagraph"/>
        <w:numPr>
          <w:ilvl w:val="0"/>
          <w:numId w:val="1"/>
        </w:numPr>
        <w:spacing w:line="480" w:lineRule="auto"/>
        <w:ind w:left="720"/>
      </w:pPr>
      <w:proofErr w:type="spellStart"/>
      <w:r w:rsidRPr="008C7FF3">
        <w:t>Fiedorowicz</w:t>
      </w:r>
      <w:proofErr w:type="spellEnd"/>
      <w:r w:rsidRPr="008C7FF3">
        <w:t xml:space="preserve"> JG., Mills JA., </w:t>
      </w:r>
      <w:proofErr w:type="spellStart"/>
      <w:r w:rsidRPr="008C7FF3">
        <w:t>Ruggle</w:t>
      </w:r>
      <w:proofErr w:type="spellEnd"/>
      <w:r w:rsidRPr="008C7FF3">
        <w:t xml:space="preserve"> A., Langbehn D. PJ&amp; P-HI of the HSG. Suicidal behavior in prodromal Huntington disease. </w:t>
      </w:r>
      <w:proofErr w:type="spellStart"/>
      <w:r w:rsidRPr="008C7FF3">
        <w:rPr>
          <w:i/>
        </w:rPr>
        <w:t>Neurodegener</w:t>
      </w:r>
      <w:proofErr w:type="spellEnd"/>
      <w:r w:rsidRPr="008C7FF3">
        <w:rPr>
          <w:i/>
        </w:rPr>
        <w:t xml:space="preserve"> Dis</w:t>
      </w:r>
      <w:r w:rsidRPr="008C7FF3">
        <w:t xml:space="preserve"> 2011;</w:t>
      </w:r>
      <w:r w:rsidRPr="008C7FF3">
        <w:rPr>
          <w:b/>
        </w:rPr>
        <w:t>8</w:t>
      </w:r>
      <w:r w:rsidRPr="008C7FF3">
        <w:t xml:space="preserve">(6):483–90. </w:t>
      </w:r>
    </w:p>
    <w:p w14:paraId="33B5611D" w14:textId="77777777" w:rsidR="00E42300" w:rsidRPr="008C7FF3" w:rsidRDefault="00E42300" w:rsidP="00E42300">
      <w:pPr>
        <w:pStyle w:val="ListParagraph"/>
        <w:numPr>
          <w:ilvl w:val="0"/>
          <w:numId w:val="1"/>
        </w:numPr>
        <w:spacing w:line="480" w:lineRule="auto"/>
        <w:ind w:left="720"/>
        <w:rPr>
          <w:rFonts w:cs="Times New Roman"/>
        </w:rPr>
      </w:pPr>
      <w:r w:rsidRPr="008C7FF3">
        <w:rPr>
          <w:rFonts w:cs="Times New Roman"/>
          <w:lang w:val="da-DK"/>
        </w:rPr>
        <w:lastRenderedPageBreak/>
        <w:t>Flensborg-Madsen, T., Knop, J., Mortensen, E. L., Becker, U., Sher, L., &amp; Gr</w:t>
      </w:r>
      <w:proofErr w:type="spellStart"/>
      <w:r w:rsidRPr="008C7FF3">
        <w:rPr>
          <w:rFonts w:cs="Times New Roman"/>
        </w:rPr>
        <w:t>ønbæk</w:t>
      </w:r>
      <w:proofErr w:type="spellEnd"/>
      <w:r w:rsidRPr="008C7FF3">
        <w:rPr>
          <w:rFonts w:cs="Times New Roman"/>
        </w:rPr>
        <w:t xml:space="preserve">, M. (2009). Alcohol use disorders increase the risk of completed suicide—Irrespective of other psychiatric disorders. A longitudinal cohort </w:t>
      </w:r>
      <w:proofErr w:type="gramStart"/>
      <w:r w:rsidRPr="008C7FF3">
        <w:rPr>
          <w:rFonts w:cs="Times New Roman"/>
        </w:rPr>
        <w:t>study</w:t>
      </w:r>
      <w:proofErr w:type="gramEnd"/>
      <w:r w:rsidRPr="008C7FF3">
        <w:rPr>
          <w:rFonts w:cs="Times New Roman"/>
        </w:rPr>
        <w:t xml:space="preserve">. </w:t>
      </w:r>
      <w:r w:rsidRPr="008C7FF3">
        <w:rPr>
          <w:rFonts w:cs="Times New Roman"/>
          <w:i/>
          <w:iCs/>
        </w:rPr>
        <w:t>Psychiatry Research</w:t>
      </w:r>
      <w:r w:rsidRPr="008C7FF3">
        <w:rPr>
          <w:rFonts w:cs="Times New Roman"/>
        </w:rPr>
        <w:t xml:space="preserve">, </w:t>
      </w:r>
      <w:r w:rsidRPr="008C7FF3">
        <w:rPr>
          <w:rFonts w:cs="Times New Roman"/>
          <w:i/>
          <w:iCs/>
        </w:rPr>
        <w:t xml:space="preserve">167, </w:t>
      </w:r>
      <w:r w:rsidRPr="008C7FF3">
        <w:rPr>
          <w:rFonts w:cs="Times New Roman"/>
        </w:rPr>
        <w:t xml:space="preserve">123-130. </w:t>
      </w:r>
    </w:p>
    <w:p w14:paraId="505B7285" w14:textId="77777777" w:rsidR="00E42300" w:rsidRPr="008C7FF3" w:rsidRDefault="00E42300" w:rsidP="00E42300">
      <w:pPr>
        <w:pStyle w:val="ListParagraph"/>
        <w:numPr>
          <w:ilvl w:val="0"/>
          <w:numId w:val="1"/>
        </w:numPr>
        <w:spacing w:line="480" w:lineRule="auto"/>
        <w:ind w:left="720"/>
        <w:rPr>
          <w:rFonts w:cs="Times New Roman"/>
        </w:rPr>
      </w:pPr>
      <w:r w:rsidRPr="008C7FF3">
        <w:t xml:space="preserve">Franko DL, Keel PK, </w:t>
      </w:r>
      <w:proofErr w:type="spellStart"/>
      <w:r w:rsidRPr="008C7FF3">
        <w:t>Dorer</w:t>
      </w:r>
      <w:proofErr w:type="spellEnd"/>
      <w:r w:rsidRPr="008C7FF3">
        <w:t xml:space="preserve"> DJ, </w:t>
      </w:r>
      <w:proofErr w:type="spellStart"/>
      <w:r w:rsidRPr="008C7FF3">
        <w:t>Blais</w:t>
      </w:r>
      <w:proofErr w:type="spellEnd"/>
      <w:r w:rsidRPr="008C7FF3">
        <w:t xml:space="preserve"> M a, </w:t>
      </w:r>
      <w:proofErr w:type="spellStart"/>
      <w:r w:rsidRPr="008C7FF3">
        <w:t>Delinsky</w:t>
      </w:r>
      <w:proofErr w:type="spellEnd"/>
      <w:r w:rsidRPr="008C7FF3">
        <w:t xml:space="preserve"> SS, Eddy KT, et al. What predicts suicide attempts in women with eating disorders? </w:t>
      </w:r>
      <w:proofErr w:type="spellStart"/>
      <w:r w:rsidRPr="008C7FF3">
        <w:rPr>
          <w:i/>
        </w:rPr>
        <w:t>Psychol</w:t>
      </w:r>
      <w:proofErr w:type="spellEnd"/>
      <w:r w:rsidRPr="008C7FF3">
        <w:rPr>
          <w:i/>
        </w:rPr>
        <w:t xml:space="preserve"> Med</w:t>
      </w:r>
      <w:r w:rsidRPr="008C7FF3">
        <w:t xml:space="preserve"> 2004;</w:t>
      </w:r>
      <w:r w:rsidRPr="008C7FF3">
        <w:rPr>
          <w:b/>
        </w:rPr>
        <w:t>34</w:t>
      </w:r>
      <w:r w:rsidRPr="008C7FF3">
        <w:t xml:space="preserve">(5):843–53. </w:t>
      </w:r>
    </w:p>
    <w:p w14:paraId="5F45421D" w14:textId="77777777" w:rsidR="00E42300" w:rsidRPr="008C7FF3" w:rsidRDefault="00E42300" w:rsidP="00E42300">
      <w:pPr>
        <w:pStyle w:val="ListParagraph"/>
        <w:numPr>
          <w:ilvl w:val="0"/>
          <w:numId w:val="1"/>
        </w:numPr>
        <w:spacing w:line="480" w:lineRule="auto"/>
        <w:ind w:left="720"/>
        <w:rPr>
          <w:rFonts w:cs="Times New Roman"/>
        </w:rPr>
      </w:pPr>
      <w:proofErr w:type="spellStart"/>
      <w:r w:rsidRPr="008C7FF3">
        <w:rPr>
          <w:rFonts w:cs="Times New Roman"/>
        </w:rPr>
        <w:t>Fridell</w:t>
      </w:r>
      <w:proofErr w:type="spellEnd"/>
      <w:r w:rsidRPr="008C7FF3">
        <w:rPr>
          <w:rFonts w:cs="Times New Roman"/>
        </w:rPr>
        <w:t xml:space="preserve">, EJ, </w:t>
      </w:r>
      <w:proofErr w:type="spellStart"/>
      <w:r w:rsidRPr="008C7FF3">
        <w:rPr>
          <w:rFonts w:cs="Times New Roman"/>
        </w:rPr>
        <w:t>Öjehagen</w:t>
      </w:r>
      <w:proofErr w:type="spellEnd"/>
      <w:r w:rsidRPr="008C7FF3">
        <w:rPr>
          <w:rFonts w:cs="Times New Roman"/>
        </w:rPr>
        <w:t xml:space="preserve"> A, </w:t>
      </w:r>
      <w:proofErr w:type="spellStart"/>
      <w:r w:rsidRPr="008C7FF3">
        <w:rPr>
          <w:rFonts w:cs="Times New Roman"/>
        </w:rPr>
        <w:t>Träskman</w:t>
      </w:r>
      <w:r w:rsidRPr="008C7FF3">
        <w:rPr>
          <w:rFonts w:ascii="Cambria Math" w:hAnsi="Cambria Math" w:cs="Cambria Math"/>
        </w:rPr>
        <w:t>‐</w:t>
      </w:r>
      <w:r w:rsidRPr="008C7FF3">
        <w:rPr>
          <w:rFonts w:cs="Times New Roman"/>
        </w:rPr>
        <w:t>Bendz</w:t>
      </w:r>
      <w:proofErr w:type="spellEnd"/>
      <w:r w:rsidRPr="008C7FF3">
        <w:rPr>
          <w:rFonts w:cs="Times New Roman"/>
        </w:rPr>
        <w:t xml:space="preserve"> I. A 5</w:t>
      </w:r>
      <w:r w:rsidRPr="008C7FF3">
        <w:rPr>
          <w:rFonts w:ascii="Cambria Math" w:hAnsi="Cambria Math" w:cs="Cambria Math"/>
        </w:rPr>
        <w:t>‐</w:t>
      </w:r>
      <w:r w:rsidRPr="008C7FF3">
        <w:rPr>
          <w:rFonts w:cs="Times New Roman"/>
        </w:rPr>
        <w:t>year follow</w:t>
      </w:r>
      <w:r w:rsidRPr="008C7FF3">
        <w:rPr>
          <w:rFonts w:ascii="Cambria Math" w:hAnsi="Cambria Math" w:cs="Cambria Math"/>
        </w:rPr>
        <w:t>‐</w:t>
      </w:r>
      <w:r w:rsidRPr="008C7FF3">
        <w:rPr>
          <w:rFonts w:cs="Times New Roman"/>
        </w:rPr>
        <w:t xml:space="preserve">up study of suicide attempts. </w:t>
      </w:r>
      <w:r w:rsidRPr="008C7FF3">
        <w:rPr>
          <w:rFonts w:cs="Times New Roman"/>
          <w:i/>
        </w:rPr>
        <w:t xml:space="preserve">Acta </w:t>
      </w:r>
      <w:proofErr w:type="spellStart"/>
      <w:r w:rsidRPr="008C7FF3">
        <w:rPr>
          <w:rFonts w:cs="Times New Roman"/>
          <w:i/>
        </w:rPr>
        <w:t>Psychiatrica</w:t>
      </w:r>
      <w:proofErr w:type="spellEnd"/>
      <w:r w:rsidRPr="008C7FF3">
        <w:rPr>
          <w:rFonts w:cs="Times New Roman"/>
          <w:i/>
        </w:rPr>
        <w:t xml:space="preserve"> </w:t>
      </w:r>
      <w:proofErr w:type="spellStart"/>
      <w:r w:rsidRPr="008C7FF3">
        <w:rPr>
          <w:rFonts w:cs="Times New Roman"/>
          <w:i/>
        </w:rPr>
        <w:t>Scandinavica</w:t>
      </w:r>
      <w:proofErr w:type="spellEnd"/>
      <w:r w:rsidRPr="008C7FF3">
        <w:rPr>
          <w:rFonts w:cs="Times New Roman"/>
        </w:rPr>
        <w:t xml:space="preserve"> 1996;</w:t>
      </w:r>
      <w:r w:rsidRPr="008C7FF3">
        <w:rPr>
          <w:rFonts w:cs="Times New Roman"/>
          <w:b/>
        </w:rPr>
        <w:t>93</w:t>
      </w:r>
      <w:r w:rsidRPr="008C7FF3">
        <w:rPr>
          <w:rFonts w:cs="Times New Roman"/>
        </w:rPr>
        <w:t>(3):151-157.</w:t>
      </w:r>
    </w:p>
    <w:p w14:paraId="7F063EA7" w14:textId="77777777" w:rsidR="00E42300" w:rsidRPr="008C7FF3" w:rsidRDefault="00E42300" w:rsidP="00E42300">
      <w:pPr>
        <w:pStyle w:val="ListParagraph"/>
        <w:numPr>
          <w:ilvl w:val="0"/>
          <w:numId w:val="1"/>
        </w:numPr>
        <w:spacing w:line="480" w:lineRule="auto"/>
        <w:ind w:left="720"/>
      </w:pPr>
      <w:r w:rsidRPr="008C7FF3">
        <w:t xml:space="preserve">Gallagher M, </w:t>
      </w:r>
      <w:proofErr w:type="spellStart"/>
      <w:r w:rsidRPr="008C7FF3">
        <w:t>Prinstein</w:t>
      </w:r>
      <w:proofErr w:type="spellEnd"/>
      <w:r w:rsidRPr="008C7FF3">
        <w:t xml:space="preserve"> MJ, Simon V, </w:t>
      </w:r>
      <w:proofErr w:type="spellStart"/>
      <w:r w:rsidRPr="008C7FF3">
        <w:t>Spirito</w:t>
      </w:r>
      <w:proofErr w:type="spellEnd"/>
      <w:r w:rsidRPr="008C7FF3">
        <w:t xml:space="preserve"> A. Social anxiety symptoms and suicidal ideation in a clinical sample of early adolescents: Examining loneliness and social support as longitudinal mediators. </w:t>
      </w:r>
      <w:r w:rsidRPr="008C7FF3">
        <w:rPr>
          <w:i/>
        </w:rPr>
        <w:t xml:space="preserve">J </w:t>
      </w:r>
      <w:proofErr w:type="spellStart"/>
      <w:r w:rsidRPr="008C7FF3">
        <w:rPr>
          <w:i/>
        </w:rPr>
        <w:t>Abnorm</w:t>
      </w:r>
      <w:proofErr w:type="spellEnd"/>
      <w:r w:rsidRPr="008C7FF3">
        <w:rPr>
          <w:i/>
        </w:rPr>
        <w:t xml:space="preserve"> Child </w:t>
      </w:r>
      <w:proofErr w:type="spellStart"/>
      <w:r w:rsidRPr="008C7FF3">
        <w:rPr>
          <w:i/>
        </w:rPr>
        <w:t>Psychol</w:t>
      </w:r>
      <w:proofErr w:type="spellEnd"/>
      <w:r w:rsidRPr="008C7FF3">
        <w:t xml:space="preserve"> 2014;</w:t>
      </w:r>
      <w:r w:rsidRPr="008C7FF3">
        <w:rPr>
          <w:b/>
        </w:rPr>
        <w:t>42</w:t>
      </w:r>
      <w:r w:rsidRPr="008C7FF3">
        <w:t xml:space="preserve">(6):871–83. </w:t>
      </w:r>
    </w:p>
    <w:p w14:paraId="2D9E90FE" w14:textId="77777777" w:rsidR="00E42300" w:rsidRPr="008C7FF3" w:rsidRDefault="00E42300" w:rsidP="00E42300">
      <w:pPr>
        <w:pStyle w:val="ListParagraph"/>
        <w:numPr>
          <w:ilvl w:val="0"/>
          <w:numId w:val="1"/>
        </w:numPr>
        <w:spacing w:line="480" w:lineRule="auto"/>
        <w:ind w:left="720"/>
      </w:pPr>
      <w:r w:rsidRPr="008C7FF3">
        <w:t xml:space="preserve">Gallant, DM. A prospective study of suicide in alcoholics. </w:t>
      </w:r>
      <w:r w:rsidRPr="008C7FF3">
        <w:rPr>
          <w:i/>
        </w:rPr>
        <w:t xml:space="preserve">Alcohol </w:t>
      </w:r>
      <w:proofErr w:type="spellStart"/>
      <w:r w:rsidRPr="008C7FF3">
        <w:rPr>
          <w:i/>
        </w:rPr>
        <w:t>Clin</w:t>
      </w:r>
      <w:proofErr w:type="spellEnd"/>
      <w:r w:rsidRPr="008C7FF3">
        <w:rPr>
          <w:i/>
        </w:rPr>
        <w:t xml:space="preserve"> </w:t>
      </w:r>
      <w:proofErr w:type="spellStart"/>
      <w:r w:rsidRPr="008C7FF3">
        <w:rPr>
          <w:i/>
        </w:rPr>
        <w:t>Exp</w:t>
      </w:r>
      <w:proofErr w:type="spellEnd"/>
      <w:r w:rsidRPr="008C7FF3">
        <w:rPr>
          <w:i/>
        </w:rPr>
        <w:t xml:space="preserve"> Res</w:t>
      </w:r>
      <w:r w:rsidRPr="008C7FF3">
        <w:t xml:space="preserve"> 1985;</w:t>
      </w:r>
      <w:r w:rsidRPr="008C7FF3">
        <w:rPr>
          <w:b/>
        </w:rPr>
        <w:t>9</w:t>
      </w:r>
      <w:r w:rsidRPr="008C7FF3">
        <w:t xml:space="preserve">(1):83–4. </w:t>
      </w:r>
    </w:p>
    <w:p w14:paraId="372D31B9" w14:textId="77777777" w:rsidR="00E42300" w:rsidRPr="008C7FF3" w:rsidRDefault="00E42300" w:rsidP="00E42300">
      <w:pPr>
        <w:pStyle w:val="ListParagraph"/>
        <w:numPr>
          <w:ilvl w:val="0"/>
          <w:numId w:val="1"/>
        </w:numPr>
        <w:spacing w:line="480" w:lineRule="auto"/>
        <w:ind w:left="720"/>
      </w:pPr>
      <w:r w:rsidRPr="008C7FF3">
        <w:t xml:space="preserve">Garrison CZ., Addy CL., Jackson KL., McKeown RE., Waller JL. A longitudinal study of suicidal ideation in young adolescents.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1991;</w:t>
      </w:r>
      <w:r w:rsidRPr="008C7FF3">
        <w:rPr>
          <w:b/>
        </w:rPr>
        <w:t>30</w:t>
      </w:r>
      <w:r w:rsidRPr="008C7FF3">
        <w:t xml:space="preserve">(4):597–603. </w:t>
      </w:r>
    </w:p>
    <w:p w14:paraId="5BD94AB1" w14:textId="77777777" w:rsidR="00E42300" w:rsidRPr="008C7FF3" w:rsidRDefault="00E42300" w:rsidP="00E42300">
      <w:pPr>
        <w:pStyle w:val="ListParagraph"/>
        <w:numPr>
          <w:ilvl w:val="0"/>
          <w:numId w:val="1"/>
        </w:numPr>
        <w:spacing w:line="480" w:lineRule="auto"/>
        <w:ind w:left="720"/>
      </w:pPr>
      <w:r w:rsidRPr="008C7FF3">
        <w:t xml:space="preserve">Goldstein RB., Black DW., Nasrallah A. WG. The prediction of suicide: sensitivity, specificity, and predictive value of a multivariate model applied to suicide among 1906 patients with affective disorders. </w:t>
      </w:r>
      <w:r w:rsidRPr="008C7FF3">
        <w:rPr>
          <w:i/>
        </w:rPr>
        <w:t>Arch Gen Psychiatry</w:t>
      </w:r>
      <w:r w:rsidRPr="008C7FF3">
        <w:t xml:space="preserve"> 1991;</w:t>
      </w:r>
      <w:r w:rsidRPr="008C7FF3">
        <w:rPr>
          <w:b/>
        </w:rPr>
        <w:t>48</w:t>
      </w:r>
      <w:r w:rsidRPr="008C7FF3">
        <w:t xml:space="preserve">(5):418–22. </w:t>
      </w:r>
    </w:p>
    <w:p w14:paraId="3A1342E4" w14:textId="77777777" w:rsidR="00E42300" w:rsidRPr="008C7FF3" w:rsidRDefault="00E42300" w:rsidP="00E42300">
      <w:pPr>
        <w:pStyle w:val="ListParagraph"/>
        <w:numPr>
          <w:ilvl w:val="0"/>
          <w:numId w:val="1"/>
        </w:numPr>
        <w:spacing w:line="480" w:lineRule="auto"/>
        <w:ind w:left="720"/>
      </w:pPr>
      <w:r w:rsidRPr="008C7FF3">
        <w:t xml:space="preserve">Goldstein TR, Ha W, Axelson DA, Goldstein BI, Liao F, Gill MK, et al. Predictors of prospectively examined suicide attempts among youth with bipolar disorder. </w:t>
      </w:r>
      <w:r w:rsidRPr="008C7FF3">
        <w:rPr>
          <w:i/>
        </w:rPr>
        <w:t>Arch Gen Psychiatry</w:t>
      </w:r>
      <w:r w:rsidRPr="008C7FF3">
        <w:t xml:space="preserve"> 2012;</w:t>
      </w:r>
      <w:r w:rsidRPr="008C7FF3">
        <w:rPr>
          <w:b/>
        </w:rPr>
        <w:t>69</w:t>
      </w:r>
      <w:r w:rsidRPr="008C7FF3">
        <w:t xml:space="preserve">(11):1113–22. </w:t>
      </w:r>
    </w:p>
    <w:p w14:paraId="0FF9EF76" w14:textId="77777777" w:rsidR="00E42300" w:rsidRPr="008C7FF3" w:rsidRDefault="00E42300" w:rsidP="00E42300">
      <w:pPr>
        <w:pStyle w:val="ListParagraph"/>
        <w:numPr>
          <w:ilvl w:val="0"/>
          <w:numId w:val="1"/>
        </w:numPr>
        <w:spacing w:line="480" w:lineRule="auto"/>
        <w:ind w:left="720"/>
      </w:pPr>
      <w:r w:rsidRPr="008C7FF3">
        <w:lastRenderedPageBreak/>
        <w:t xml:space="preserve">Goldston DB, Daniel SS, </w:t>
      </w:r>
      <w:proofErr w:type="spellStart"/>
      <w:r w:rsidRPr="008C7FF3">
        <w:t>Erkanli</w:t>
      </w:r>
      <w:proofErr w:type="spellEnd"/>
      <w:r w:rsidRPr="008C7FF3">
        <w:t xml:space="preserve"> A, </w:t>
      </w:r>
      <w:proofErr w:type="spellStart"/>
      <w:r w:rsidRPr="008C7FF3">
        <w:t>Reboussin</w:t>
      </w:r>
      <w:proofErr w:type="spellEnd"/>
      <w:r w:rsidRPr="008C7FF3">
        <w:t xml:space="preserve"> BA, Mayfield A, Frazier PH, et al. Psychiatric diagnoses as contemporaneous risk factors for suicide attempts among adolescents and young adults: Developmental changes. </w:t>
      </w:r>
      <w:r w:rsidRPr="008C7FF3">
        <w:rPr>
          <w:i/>
        </w:rPr>
        <w:t xml:space="preserve">J Consult </w:t>
      </w:r>
      <w:proofErr w:type="spellStart"/>
      <w:r w:rsidRPr="008C7FF3">
        <w:rPr>
          <w:i/>
        </w:rPr>
        <w:t>Clin</w:t>
      </w:r>
      <w:proofErr w:type="spellEnd"/>
      <w:r w:rsidRPr="008C7FF3">
        <w:rPr>
          <w:i/>
        </w:rPr>
        <w:t xml:space="preserve"> </w:t>
      </w:r>
      <w:proofErr w:type="spellStart"/>
      <w:r w:rsidRPr="008C7FF3">
        <w:rPr>
          <w:i/>
        </w:rPr>
        <w:t>Psychol</w:t>
      </w:r>
      <w:proofErr w:type="spellEnd"/>
      <w:r w:rsidRPr="008C7FF3">
        <w:t xml:space="preserve"> 2009;</w:t>
      </w:r>
      <w:r w:rsidRPr="008C7FF3">
        <w:rPr>
          <w:b/>
        </w:rPr>
        <w:t>77</w:t>
      </w:r>
      <w:r w:rsidRPr="008C7FF3">
        <w:t xml:space="preserve">(2):281–90. </w:t>
      </w:r>
    </w:p>
    <w:p w14:paraId="0264320D" w14:textId="77777777" w:rsidR="00E42300" w:rsidRPr="008C7FF3" w:rsidRDefault="00E42300" w:rsidP="00E42300">
      <w:pPr>
        <w:pStyle w:val="ListParagraph"/>
        <w:numPr>
          <w:ilvl w:val="0"/>
          <w:numId w:val="1"/>
        </w:numPr>
        <w:spacing w:line="480" w:lineRule="auto"/>
        <w:ind w:left="720"/>
      </w:pPr>
      <w:r w:rsidRPr="008C7FF3">
        <w:t xml:space="preserve">Goodwin RD, Eaton WW. Asthma, suicidal ideation, and suicide attempts: Findings from the Baltimore Epidemiologic Catchment Area follow-up. </w:t>
      </w:r>
      <w:r w:rsidRPr="008C7FF3">
        <w:rPr>
          <w:i/>
        </w:rPr>
        <w:t>Am J Public Health</w:t>
      </w:r>
      <w:r w:rsidRPr="008C7FF3">
        <w:t xml:space="preserve"> 2005;</w:t>
      </w:r>
      <w:r w:rsidRPr="008C7FF3">
        <w:rPr>
          <w:b/>
        </w:rPr>
        <w:t>95</w:t>
      </w:r>
      <w:r w:rsidRPr="008C7FF3">
        <w:t xml:space="preserve">(4):717. </w:t>
      </w:r>
    </w:p>
    <w:p w14:paraId="58E0C854" w14:textId="77777777" w:rsidR="00E42300" w:rsidRPr="008C7FF3" w:rsidRDefault="00E42300" w:rsidP="00E42300">
      <w:pPr>
        <w:pStyle w:val="ListParagraph"/>
        <w:numPr>
          <w:ilvl w:val="0"/>
          <w:numId w:val="1"/>
        </w:numPr>
        <w:spacing w:line="480" w:lineRule="auto"/>
        <w:ind w:left="720"/>
      </w:pPr>
      <w:r w:rsidRPr="008C7FF3">
        <w:t xml:space="preserve">Greer S, Bagley C. Effect of psychiatric intervention in attempted suicide: A controlled study. </w:t>
      </w:r>
      <w:r w:rsidRPr="008C7FF3">
        <w:rPr>
          <w:i/>
        </w:rPr>
        <w:t>BMJ Br Med J</w:t>
      </w:r>
      <w:r w:rsidRPr="008C7FF3">
        <w:t xml:space="preserve"> 1971;</w:t>
      </w:r>
      <w:r w:rsidRPr="008C7FF3">
        <w:rPr>
          <w:b/>
        </w:rPr>
        <w:t>1</w:t>
      </w:r>
      <w:r w:rsidRPr="008C7FF3">
        <w:t xml:space="preserve">(5744):310–2. </w:t>
      </w:r>
    </w:p>
    <w:p w14:paraId="427233C8" w14:textId="77777777" w:rsidR="00E42300" w:rsidRPr="008C7FF3" w:rsidRDefault="00E42300" w:rsidP="00E42300">
      <w:pPr>
        <w:pStyle w:val="ListParagraph"/>
        <w:numPr>
          <w:ilvl w:val="0"/>
          <w:numId w:val="1"/>
        </w:numPr>
        <w:spacing w:line="480" w:lineRule="auto"/>
        <w:ind w:left="720"/>
      </w:pPr>
      <w:r w:rsidRPr="008C7FF3">
        <w:t xml:space="preserve">Hayashi N, Igarashi M, Imai A, Yoshizawa Y, </w:t>
      </w:r>
      <w:proofErr w:type="spellStart"/>
      <w:r w:rsidRPr="008C7FF3">
        <w:t>Utsumi</w:t>
      </w:r>
      <w:proofErr w:type="spellEnd"/>
      <w:r w:rsidRPr="008C7FF3">
        <w:t xml:space="preserve"> K, Ishikawa Y, et al. Post-hospitalization course and predictive signs of suicidal behavior of suicidal patients admitted to a psychiatric hospital: a 2-year prospective follow-up study. </w:t>
      </w:r>
      <w:r w:rsidRPr="008C7FF3">
        <w:rPr>
          <w:i/>
        </w:rPr>
        <w:t>BMC Psychiatry</w:t>
      </w:r>
      <w:r w:rsidRPr="008C7FF3">
        <w:t xml:space="preserve"> 2012;</w:t>
      </w:r>
      <w:r w:rsidRPr="008C7FF3">
        <w:rPr>
          <w:b/>
        </w:rPr>
        <w:t>12</w:t>
      </w:r>
      <w:r w:rsidRPr="008C7FF3">
        <w:t xml:space="preserve">(1):186. </w:t>
      </w:r>
    </w:p>
    <w:p w14:paraId="32395467" w14:textId="77777777" w:rsidR="00E42300" w:rsidRPr="008C7FF3" w:rsidRDefault="00E42300" w:rsidP="00E42300">
      <w:pPr>
        <w:pStyle w:val="ListParagraph"/>
        <w:numPr>
          <w:ilvl w:val="0"/>
          <w:numId w:val="1"/>
        </w:numPr>
        <w:spacing w:line="480" w:lineRule="auto"/>
        <w:ind w:left="720"/>
      </w:pPr>
      <w:r w:rsidRPr="008C7FF3">
        <w:t xml:space="preserve">Hills AL, Afifi TO, Cox BJ, </w:t>
      </w:r>
      <w:proofErr w:type="spellStart"/>
      <w:r w:rsidRPr="008C7FF3">
        <w:t>Bienvenu</w:t>
      </w:r>
      <w:proofErr w:type="spellEnd"/>
      <w:r w:rsidRPr="008C7FF3">
        <w:t xml:space="preserve"> OJ SJ. Externalizing psychopathology and risk for suicide attempt: cross-sectional and longitudinal findings from the Baltimore Epidemiologic </w:t>
      </w:r>
      <w:proofErr w:type="spellStart"/>
      <w:r w:rsidRPr="008C7FF3">
        <w:t>Catchement</w:t>
      </w:r>
      <w:proofErr w:type="spellEnd"/>
      <w:r w:rsidRPr="008C7FF3">
        <w:t xml:space="preserve"> Area Study. </w:t>
      </w:r>
      <w:r w:rsidRPr="008C7FF3">
        <w:rPr>
          <w:i/>
        </w:rPr>
        <w:t xml:space="preserve">J </w:t>
      </w:r>
      <w:proofErr w:type="spellStart"/>
      <w:r w:rsidRPr="008C7FF3">
        <w:rPr>
          <w:i/>
        </w:rPr>
        <w:t>Nerv</w:t>
      </w:r>
      <w:proofErr w:type="spellEnd"/>
      <w:r w:rsidRPr="008C7FF3">
        <w:rPr>
          <w:i/>
        </w:rPr>
        <w:t xml:space="preserve"> </w:t>
      </w:r>
      <w:proofErr w:type="spellStart"/>
      <w:r w:rsidRPr="008C7FF3">
        <w:rPr>
          <w:i/>
        </w:rPr>
        <w:t>Ment</w:t>
      </w:r>
      <w:proofErr w:type="spellEnd"/>
      <w:r w:rsidRPr="008C7FF3">
        <w:rPr>
          <w:i/>
        </w:rPr>
        <w:t xml:space="preserve"> Dis</w:t>
      </w:r>
      <w:r w:rsidRPr="008C7FF3">
        <w:t xml:space="preserve"> 2009;</w:t>
      </w:r>
      <w:r w:rsidRPr="008C7FF3">
        <w:rPr>
          <w:b/>
        </w:rPr>
        <w:t>197</w:t>
      </w:r>
      <w:r w:rsidRPr="008C7FF3">
        <w:t xml:space="preserve">(5):293–7. </w:t>
      </w:r>
    </w:p>
    <w:p w14:paraId="5C67B79A" w14:textId="77777777" w:rsidR="00E42300" w:rsidRPr="008C7FF3" w:rsidRDefault="00E42300" w:rsidP="00E42300">
      <w:pPr>
        <w:pStyle w:val="ListParagraph"/>
        <w:numPr>
          <w:ilvl w:val="0"/>
          <w:numId w:val="1"/>
        </w:numPr>
        <w:spacing w:line="480" w:lineRule="auto"/>
        <w:ind w:left="720"/>
      </w:pPr>
      <w:proofErr w:type="spellStart"/>
      <w:r w:rsidRPr="008C7FF3">
        <w:t>Holma</w:t>
      </w:r>
      <w:proofErr w:type="spellEnd"/>
      <w:r w:rsidRPr="008C7FF3">
        <w:t xml:space="preserve"> KM, </w:t>
      </w:r>
      <w:proofErr w:type="spellStart"/>
      <w:r w:rsidRPr="008C7FF3">
        <w:t>Haukka</w:t>
      </w:r>
      <w:proofErr w:type="spellEnd"/>
      <w:r w:rsidRPr="008C7FF3">
        <w:t xml:space="preserve"> J, </w:t>
      </w:r>
      <w:proofErr w:type="spellStart"/>
      <w:r w:rsidRPr="008C7FF3">
        <w:t>Suominen</w:t>
      </w:r>
      <w:proofErr w:type="spellEnd"/>
      <w:r w:rsidRPr="008C7FF3">
        <w:t xml:space="preserve"> K, </w:t>
      </w:r>
      <w:proofErr w:type="spellStart"/>
      <w:r w:rsidRPr="008C7FF3">
        <w:t>Valtonen</w:t>
      </w:r>
      <w:proofErr w:type="spellEnd"/>
      <w:r w:rsidRPr="008C7FF3">
        <w:t xml:space="preserve"> HM, </w:t>
      </w:r>
      <w:proofErr w:type="spellStart"/>
      <w:r w:rsidRPr="008C7FF3">
        <w:t>Mantere</w:t>
      </w:r>
      <w:proofErr w:type="spellEnd"/>
      <w:r w:rsidRPr="008C7FF3">
        <w:t xml:space="preserve"> O, </w:t>
      </w:r>
      <w:proofErr w:type="spellStart"/>
      <w:r w:rsidRPr="008C7FF3">
        <w:t>Melartin</w:t>
      </w:r>
      <w:proofErr w:type="spellEnd"/>
      <w:r w:rsidRPr="008C7FF3">
        <w:t xml:space="preserve"> TK, et al. Differences in incidence of suicide attempts between bipolar I and II disorders and major depressive disorder. </w:t>
      </w:r>
      <w:r w:rsidRPr="008C7FF3">
        <w:rPr>
          <w:i/>
        </w:rPr>
        <w:t xml:space="preserve">Bipolar </w:t>
      </w:r>
      <w:proofErr w:type="spellStart"/>
      <w:r w:rsidRPr="008C7FF3">
        <w:rPr>
          <w:i/>
        </w:rPr>
        <w:t>Disord</w:t>
      </w:r>
      <w:proofErr w:type="spellEnd"/>
      <w:r w:rsidRPr="008C7FF3">
        <w:t xml:space="preserve"> 2014;</w:t>
      </w:r>
      <w:r w:rsidRPr="008C7FF3">
        <w:rPr>
          <w:b/>
        </w:rPr>
        <w:t>16</w:t>
      </w:r>
      <w:r w:rsidRPr="008C7FF3">
        <w:t xml:space="preserve">(6):652–61. </w:t>
      </w:r>
    </w:p>
    <w:p w14:paraId="11FB7407" w14:textId="77777777" w:rsidR="00E42300" w:rsidRPr="008C7FF3" w:rsidRDefault="00E42300" w:rsidP="00E42300">
      <w:pPr>
        <w:pStyle w:val="ListParagraph"/>
        <w:numPr>
          <w:ilvl w:val="0"/>
          <w:numId w:val="1"/>
        </w:numPr>
        <w:spacing w:line="480" w:lineRule="auto"/>
        <w:ind w:left="720"/>
      </w:pPr>
      <w:proofErr w:type="spellStart"/>
      <w:r w:rsidRPr="008C7FF3">
        <w:t>Holma</w:t>
      </w:r>
      <w:proofErr w:type="spellEnd"/>
      <w:r w:rsidRPr="008C7FF3">
        <w:t xml:space="preserve"> KM, </w:t>
      </w:r>
      <w:proofErr w:type="spellStart"/>
      <w:r w:rsidRPr="008C7FF3">
        <w:t>Melartin</w:t>
      </w:r>
      <w:proofErr w:type="spellEnd"/>
      <w:r w:rsidRPr="008C7FF3">
        <w:t xml:space="preserve"> TK, </w:t>
      </w:r>
      <w:proofErr w:type="spellStart"/>
      <w:r w:rsidRPr="008C7FF3">
        <w:t>Haukka</w:t>
      </w:r>
      <w:proofErr w:type="spellEnd"/>
      <w:r w:rsidRPr="008C7FF3">
        <w:t xml:space="preserve"> J, </w:t>
      </w:r>
      <w:proofErr w:type="spellStart"/>
      <w:r w:rsidRPr="008C7FF3">
        <w:t>Holma</w:t>
      </w:r>
      <w:proofErr w:type="spellEnd"/>
      <w:r w:rsidRPr="008C7FF3">
        <w:t xml:space="preserve"> IAK, </w:t>
      </w:r>
      <w:proofErr w:type="spellStart"/>
      <w:r w:rsidRPr="008C7FF3">
        <w:t>Sokero</w:t>
      </w:r>
      <w:proofErr w:type="spellEnd"/>
      <w:r w:rsidRPr="008C7FF3">
        <w:t xml:space="preserve"> TP, </w:t>
      </w:r>
      <w:proofErr w:type="spellStart"/>
      <w:r w:rsidRPr="008C7FF3">
        <w:t>Isometsä</w:t>
      </w:r>
      <w:proofErr w:type="spellEnd"/>
      <w:r w:rsidRPr="008C7FF3">
        <w:t xml:space="preserve"> ET. Incidence and predictors of suicide attempts in DSM-IV major depressive </w:t>
      </w:r>
      <w:proofErr w:type="gramStart"/>
      <w:r w:rsidRPr="008C7FF3">
        <w:t>disorder :</w:t>
      </w:r>
      <w:proofErr w:type="gramEnd"/>
      <w:r w:rsidRPr="008C7FF3">
        <w:t xml:space="preserve"> A five-year prospective study. </w:t>
      </w:r>
      <w:hyperlink r:id="rId5" w:history="1">
        <w:r w:rsidRPr="008C7FF3">
          <w:rPr>
            <w:rStyle w:val="Hyperlink3"/>
            <w:rFonts w:cs="Times New Roman"/>
          </w:rPr>
          <w:t>The American Journal of Psychiatry</w:t>
        </w:r>
      </w:hyperlink>
      <w:r w:rsidRPr="008C7FF3">
        <w:t xml:space="preserve"> </w:t>
      </w:r>
      <w:proofErr w:type="gramStart"/>
      <w:r w:rsidRPr="008C7FF3">
        <w:t>2010;</w:t>
      </w:r>
      <w:r w:rsidRPr="008C7FF3">
        <w:rPr>
          <w:b/>
        </w:rPr>
        <w:t>167</w:t>
      </w:r>
      <w:r w:rsidRPr="008C7FF3">
        <w:t>:801</w:t>
      </w:r>
      <w:proofErr w:type="gramEnd"/>
      <w:r w:rsidRPr="008C7FF3">
        <w:t xml:space="preserve">–8. </w:t>
      </w:r>
    </w:p>
    <w:p w14:paraId="769EE54A"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Huth</w:t>
      </w:r>
      <w:proofErr w:type="spellEnd"/>
      <w:r w:rsidRPr="008C7FF3">
        <w:t xml:space="preserve">-Bocks AC, Kerr DCR, Ivey AZ, Kramer AC, King CA. Assessment of psychiatrically hospitalized suicidal adolescents: Self-report instruments as predictors of suicidal thoughts and behavior.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2007;</w:t>
      </w:r>
      <w:r w:rsidRPr="008C7FF3">
        <w:rPr>
          <w:b/>
        </w:rPr>
        <w:t>46</w:t>
      </w:r>
      <w:r w:rsidRPr="008C7FF3">
        <w:t xml:space="preserve">(3):387–95. </w:t>
      </w:r>
    </w:p>
    <w:p w14:paraId="48CF434A" w14:textId="77777777" w:rsidR="00E42300" w:rsidRPr="008C7FF3" w:rsidRDefault="00E42300" w:rsidP="00E42300">
      <w:pPr>
        <w:pStyle w:val="ListParagraph"/>
        <w:numPr>
          <w:ilvl w:val="0"/>
          <w:numId w:val="1"/>
        </w:numPr>
        <w:spacing w:line="480" w:lineRule="auto"/>
        <w:ind w:left="720"/>
      </w:pPr>
      <w:proofErr w:type="spellStart"/>
      <w:r w:rsidRPr="008C7FF3">
        <w:t>Ialongo</w:t>
      </w:r>
      <w:proofErr w:type="spellEnd"/>
      <w:r w:rsidRPr="008C7FF3">
        <w:t xml:space="preserve"> NS, </w:t>
      </w:r>
      <w:proofErr w:type="spellStart"/>
      <w:r w:rsidRPr="008C7FF3">
        <w:t>Mcnaught</w:t>
      </w:r>
      <w:proofErr w:type="spellEnd"/>
      <w:r w:rsidRPr="008C7FF3">
        <w:t xml:space="preserve"> ALK, Wagner BM, Pearson JL, </w:t>
      </w:r>
      <w:proofErr w:type="spellStart"/>
      <w:r w:rsidRPr="008C7FF3">
        <w:t>Mccreary</w:t>
      </w:r>
      <w:proofErr w:type="spellEnd"/>
      <w:r w:rsidRPr="008C7FF3">
        <w:t xml:space="preserve"> BK, </w:t>
      </w:r>
      <w:proofErr w:type="spellStart"/>
      <w:r w:rsidRPr="008C7FF3">
        <w:t>Poduska</w:t>
      </w:r>
      <w:proofErr w:type="spellEnd"/>
      <w:r w:rsidRPr="008C7FF3">
        <w:t xml:space="preserve"> J, et al. African American children’s reports of depressed mood, hopelessness, and suicidal ideation and later suicide attempts. </w:t>
      </w:r>
      <w:r w:rsidRPr="008C7FF3">
        <w:rPr>
          <w:i/>
        </w:rPr>
        <w:t xml:space="preserve">Suicide Life-Threat </w:t>
      </w:r>
      <w:proofErr w:type="spellStart"/>
      <w:r w:rsidRPr="008C7FF3">
        <w:rPr>
          <w:i/>
        </w:rPr>
        <w:t>Behav</w:t>
      </w:r>
      <w:proofErr w:type="spellEnd"/>
      <w:r w:rsidRPr="008C7FF3">
        <w:t xml:space="preserve"> 2004;</w:t>
      </w:r>
      <w:r w:rsidRPr="008C7FF3">
        <w:rPr>
          <w:b/>
        </w:rPr>
        <w:t>34</w:t>
      </w:r>
      <w:r w:rsidRPr="008C7FF3">
        <w:t xml:space="preserve">(4):395–407. </w:t>
      </w:r>
    </w:p>
    <w:p w14:paraId="52554E04" w14:textId="77777777" w:rsidR="00E42300" w:rsidRPr="008C7FF3" w:rsidRDefault="00E42300" w:rsidP="00E42300">
      <w:pPr>
        <w:pStyle w:val="ListParagraph"/>
        <w:numPr>
          <w:ilvl w:val="0"/>
          <w:numId w:val="1"/>
        </w:numPr>
        <w:spacing w:line="480" w:lineRule="auto"/>
        <w:ind w:left="720"/>
      </w:pPr>
      <w:r w:rsidRPr="008C7FF3">
        <w:t xml:space="preserve">Ivarsson T, Larsson B, </w:t>
      </w:r>
      <w:proofErr w:type="spellStart"/>
      <w:r w:rsidRPr="008C7FF3">
        <w:t>Gillberg</w:t>
      </w:r>
      <w:proofErr w:type="spellEnd"/>
      <w:r w:rsidRPr="008C7FF3">
        <w:t xml:space="preserve"> C. A 2-4 year follow up of depressive symptoms, suicidal ideation, and suicide attempts among adolescent psychiatric inpatients. </w:t>
      </w:r>
      <w:proofErr w:type="spellStart"/>
      <w:r w:rsidRPr="008C7FF3">
        <w:rPr>
          <w:i/>
        </w:rPr>
        <w:t>Eur</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1998;</w:t>
      </w:r>
      <w:r w:rsidRPr="008C7FF3">
        <w:rPr>
          <w:b/>
        </w:rPr>
        <w:t>7</w:t>
      </w:r>
      <w:r w:rsidRPr="008C7FF3">
        <w:t xml:space="preserve">(2):96–104. </w:t>
      </w:r>
    </w:p>
    <w:p w14:paraId="2D9ECB04" w14:textId="77777777" w:rsidR="00E42300" w:rsidRPr="008C7FF3" w:rsidRDefault="00E42300" w:rsidP="00E42300">
      <w:pPr>
        <w:pStyle w:val="ListParagraph"/>
        <w:numPr>
          <w:ilvl w:val="0"/>
          <w:numId w:val="1"/>
        </w:numPr>
        <w:spacing w:line="480" w:lineRule="auto"/>
        <w:ind w:left="720"/>
      </w:pPr>
      <w:proofErr w:type="spellStart"/>
      <w:r w:rsidRPr="008C7FF3">
        <w:t>Juon</w:t>
      </w:r>
      <w:proofErr w:type="spellEnd"/>
      <w:r w:rsidRPr="008C7FF3">
        <w:t xml:space="preserve"> HS, </w:t>
      </w:r>
      <w:proofErr w:type="spellStart"/>
      <w:r w:rsidRPr="008C7FF3">
        <w:t>Ensminger</w:t>
      </w:r>
      <w:proofErr w:type="spellEnd"/>
      <w:r w:rsidRPr="008C7FF3">
        <w:t xml:space="preserve"> ME. Childhood, adolescent, and young adult predictors of suicidal behaviors: a prospective study of African Americans. </w:t>
      </w:r>
      <w:r w:rsidRPr="008C7FF3">
        <w:rPr>
          <w:i/>
        </w:rPr>
        <w:t xml:space="preserve">J Child </w:t>
      </w:r>
      <w:proofErr w:type="spellStart"/>
      <w:r w:rsidRPr="008C7FF3">
        <w:rPr>
          <w:i/>
        </w:rPr>
        <w:t>Psychol</w:t>
      </w:r>
      <w:proofErr w:type="spellEnd"/>
      <w:r w:rsidRPr="008C7FF3">
        <w:rPr>
          <w:i/>
        </w:rPr>
        <w:t xml:space="preserve"> Psychiatry</w:t>
      </w:r>
      <w:r w:rsidRPr="008C7FF3">
        <w:t xml:space="preserve"> 1997;</w:t>
      </w:r>
      <w:r w:rsidRPr="008C7FF3">
        <w:rPr>
          <w:b/>
        </w:rPr>
        <w:t>38</w:t>
      </w:r>
      <w:r w:rsidRPr="008C7FF3">
        <w:t xml:space="preserve">(5):553–63. </w:t>
      </w:r>
    </w:p>
    <w:p w14:paraId="3FDF30F2" w14:textId="77777777" w:rsidR="00E42300" w:rsidRPr="008C7FF3" w:rsidRDefault="00E42300" w:rsidP="00E42300">
      <w:pPr>
        <w:pStyle w:val="ListParagraph"/>
        <w:numPr>
          <w:ilvl w:val="0"/>
          <w:numId w:val="1"/>
        </w:numPr>
        <w:spacing w:line="480" w:lineRule="auto"/>
        <w:ind w:left="720"/>
      </w:pPr>
      <w:proofErr w:type="spellStart"/>
      <w:r w:rsidRPr="008C7FF3">
        <w:t>Juurlink</w:t>
      </w:r>
      <w:proofErr w:type="spellEnd"/>
      <w:r w:rsidRPr="008C7FF3">
        <w:t xml:space="preserve"> DN, Herrmann N, </w:t>
      </w:r>
      <w:proofErr w:type="spellStart"/>
      <w:r w:rsidRPr="008C7FF3">
        <w:t>Szalai</w:t>
      </w:r>
      <w:proofErr w:type="spellEnd"/>
      <w:r w:rsidRPr="008C7FF3">
        <w:t xml:space="preserve"> JP, Kopp A, </w:t>
      </w:r>
      <w:proofErr w:type="spellStart"/>
      <w:r w:rsidRPr="008C7FF3">
        <w:t>Redelmeier</w:t>
      </w:r>
      <w:proofErr w:type="spellEnd"/>
      <w:r w:rsidRPr="008C7FF3">
        <w:t xml:space="preserve"> DA. Medical illness and the risk of suicide in the elderly. </w:t>
      </w:r>
      <w:r w:rsidRPr="008C7FF3">
        <w:rPr>
          <w:i/>
        </w:rPr>
        <w:t>Arch Intern Med</w:t>
      </w:r>
      <w:r w:rsidRPr="008C7FF3">
        <w:t xml:space="preserve"> 2004;</w:t>
      </w:r>
      <w:r w:rsidRPr="008C7FF3">
        <w:rPr>
          <w:b/>
        </w:rPr>
        <w:t>164</w:t>
      </w:r>
      <w:r w:rsidRPr="008C7FF3">
        <w:t xml:space="preserve">(11):1179–84. </w:t>
      </w:r>
    </w:p>
    <w:p w14:paraId="70657B3E" w14:textId="77777777" w:rsidR="00E42300" w:rsidRPr="008C7FF3" w:rsidRDefault="00E42300" w:rsidP="00E42300">
      <w:pPr>
        <w:pStyle w:val="ListParagraph"/>
        <w:numPr>
          <w:ilvl w:val="0"/>
          <w:numId w:val="1"/>
        </w:numPr>
        <w:spacing w:line="480" w:lineRule="auto"/>
        <w:ind w:left="720"/>
      </w:pPr>
      <w:r w:rsidRPr="008C7FF3">
        <w:t xml:space="preserve">Keane EM, Dick RW, Bechtold DW, Manson SM. Predictive and concurrent validity of the Suicidal Ideation Questionnaire among American Indian adolescents. </w:t>
      </w:r>
      <w:r w:rsidRPr="008C7FF3">
        <w:rPr>
          <w:i/>
        </w:rPr>
        <w:t xml:space="preserve">J </w:t>
      </w:r>
      <w:proofErr w:type="spellStart"/>
      <w:r w:rsidRPr="008C7FF3">
        <w:rPr>
          <w:i/>
        </w:rPr>
        <w:t>Abnorm</w:t>
      </w:r>
      <w:proofErr w:type="spellEnd"/>
      <w:r w:rsidRPr="008C7FF3">
        <w:rPr>
          <w:i/>
        </w:rPr>
        <w:t xml:space="preserve"> Child </w:t>
      </w:r>
      <w:proofErr w:type="spellStart"/>
      <w:r w:rsidRPr="008C7FF3">
        <w:rPr>
          <w:i/>
        </w:rPr>
        <w:t>Psychol</w:t>
      </w:r>
      <w:proofErr w:type="spellEnd"/>
      <w:r w:rsidRPr="008C7FF3">
        <w:t xml:space="preserve"> 1996;</w:t>
      </w:r>
      <w:r w:rsidRPr="008C7FF3">
        <w:rPr>
          <w:b/>
        </w:rPr>
        <w:t>24</w:t>
      </w:r>
      <w:r w:rsidRPr="008C7FF3">
        <w:t xml:space="preserve">(6):735–47. </w:t>
      </w:r>
    </w:p>
    <w:p w14:paraId="0035F6BC" w14:textId="77777777" w:rsidR="00E42300" w:rsidRPr="008C7FF3" w:rsidRDefault="00E42300" w:rsidP="00E42300">
      <w:pPr>
        <w:pStyle w:val="ListParagraph"/>
        <w:numPr>
          <w:ilvl w:val="0"/>
          <w:numId w:val="1"/>
        </w:numPr>
        <w:spacing w:line="480" w:lineRule="auto"/>
        <w:ind w:left="720"/>
      </w:pPr>
      <w:proofErr w:type="spellStart"/>
      <w:r w:rsidRPr="008C7FF3">
        <w:t>Keilp</w:t>
      </w:r>
      <w:proofErr w:type="spellEnd"/>
      <w:r w:rsidRPr="008C7FF3">
        <w:t xml:space="preserve"> JG, </w:t>
      </w:r>
      <w:proofErr w:type="spellStart"/>
      <w:r w:rsidRPr="008C7FF3">
        <w:t>Oquendo</w:t>
      </w:r>
      <w:proofErr w:type="spellEnd"/>
      <w:r w:rsidRPr="008C7FF3">
        <w:t xml:space="preserve"> MA, Stanley BH, Burke AK, Cooper TB, Malone KM, et al. Future suicide attempt and responses to serotonergic challenge. </w:t>
      </w:r>
      <w:r w:rsidRPr="008C7FF3">
        <w:rPr>
          <w:i/>
        </w:rPr>
        <w:t>Neuropsychopharmacology</w:t>
      </w:r>
      <w:r w:rsidRPr="008C7FF3">
        <w:t xml:space="preserve"> 2010;</w:t>
      </w:r>
      <w:r w:rsidRPr="008C7FF3">
        <w:rPr>
          <w:b/>
        </w:rPr>
        <w:t>35</w:t>
      </w:r>
      <w:r w:rsidRPr="008C7FF3">
        <w:t xml:space="preserve">(5):1063–72. </w:t>
      </w:r>
    </w:p>
    <w:p w14:paraId="31472B7E" w14:textId="77777777" w:rsidR="00E42300" w:rsidRPr="008C7FF3" w:rsidRDefault="00E42300" w:rsidP="00E42300">
      <w:pPr>
        <w:pStyle w:val="ListParagraph"/>
        <w:numPr>
          <w:ilvl w:val="0"/>
          <w:numId w:val="1"/>
        </w:numPr>
        <w:spacing w:line="480" w:lineRule="auto"/>
        <w:ind w:left="720"/>
      </w:pPr>
      <w:r w:rsidRPr="008C7FF3">
        <w:t xml:space="preserve">Keller F. WM. Hopelessness and the tendency to commit suicide in the course of depressive disorders. </w:t>
      </w:r>
      <w:proofErr w:type="spellStart"/>
      <w:r w:rsidRPr="008C7FF3">
        <w:rPr>
          <w:i/>
        </w:rPr>
        <w:t>Cris</w:t>
      </w:r>
      <w:proofErr w:type="spellEnd"/>
      <w:r w:rsidRPr="008C7FF3">
        <w:rPr>
          <w:i/>
        </w:rPr>
        <w:t xml:space="preserve"> J </w:t>
      </w:r>
      <w:proofErr w:type="spellStart"/>
      <w:r w:rsidRPr="008C7FF3">
        <w:rPr>
          <w:i/>
        </w:rPr>
        <w:t>Cris</w:t>
      </w:r>
      <w:proofErr w:type="spellEnd"/>
      <w:r w:rsidRPr="008C7FF3">
        <w:rPr>
          <w:i/>
        </w:rPr>
        <w:t xml:space="preserve"> </w:t>
      </w:r>
      <w:proofErr w:type="spellStart"/>
      <w:r w:rsidRPr="008C7FF3">
        <w:rPr>
          <w:i/>
        </w:rPr>
        <w:t>Interv</w:t>
      </w:r>
      <w:proofErr w:type="spellEnd"/>
      <w:r w:rsidRPr="008C7FF3">
        <w:rPr>
          <w:i/>
        </w:rPr>
        <w:t xml:space="preserve"> Suicide </w:t>
      </w:r>
      <w:proofErr w:type="spellStart"/>
      <w:r w:rsidRPr="008C7FF3">
        <w:rPr>
          <w:i/>
        </w:rPr>
        <w:t>Prev</w:t>
      </w:r>
      <w:proofErr w:type="spellEnd"/>
      <w:r w:rsidRPr="008C7FF3">
        <w:t xml:space="preserve"> 1993;</w:t>
      </w:r>
      <w:r w:rsidRPr="008C7FF3">
        <w:rPr>
          <w:b/>
        </w:rPr>
        <w:t>14</w:t>
      </w:r>
      <w:r w:rsidRPr="008C7FF3">
        <w:t xml:space="preserve">(4):173–7. </w:t>
      </w:r>
    </w:p>
    <w:p w14:paraId="125C4629" w14:textId="77777777" w:rsidR="00E42300" w:rsidRPr="008C7FF3" w:rsidRDefault="00E42300" w:rsidP="00E42300">
      <w:pPr>
        <w:pStyle w:val="ListParagraph"/>
        <w:numPr>
          <w:ilvl w:val="0"/>
          <w:numId w:val="1"/>
        </w:numPr>
        <w:spacing w:line="480" w:lineRule="auto"/>
        <w:ind w:left="720"/>
      </w:pPr>
      <w:r w:rsidRPr="008C7FF3">
        <w:lastRenderedPageBreak/>
        <w:t xml:space="preserve">Kidd SA, Henrich CC, Brookmeyer KA, Davidson L, King RA, </w:t>
      </w:r>
      <w:proofErr w:type="gramStart"/>
      <w:r w:rsidRPr="008C7FF3">
        <w:t>Shahar  B.</w:t>
      </w:r>
      <w:proofErr w:type="gramEnd"/>
      <w:r w:rsidRPr="008C7FF3">
        <w:t xml:space="preserve"> G, et al. The social context of adolescent suicide attempts: Interactive effects of parent, peer, and school social relations. </w:t>
      </w:r>
      <w:r w:rsidRPr="008C7FF3">
        <w:rPr>
          <w:i/>
        </w:rPr>
        <w:t xml:space="preserve">Suicide Life-Threat </w:t>
      </w:r>
      <w:proofErr w:type="spellStart"/>
      <w:r w:rsidRPr="008C7FF3">
        <w:rPr>
          <w:i/>
        </w:rPr>
        <w:t>Behav</w:t>
      </w:r>
      <w:proofErr w:type="spellEnd"/>
      <w:r w:rsidRPr="008C7FF3">
        <w:t xml:space="preserve"> 2006;</w:t>
      </w:r>
      <w:r w:rsidRPr="008C7FF3">
        <w:rPr>
          <w:b/>
        </w:rPr>
        <w:t>36</w:t>
      </w:r>
      <w:r w:rsidRPr="008C7FF3">
        <w:t xml:space="preserve">(4):386–95. </w:t>
      </w:r>
    </w:p>
    <w:p w14:paraId="78FC5C65" w14:textId="77777777" w:rsidR="00E42300" w:rsidRPr="008C7FF3" w:rsidRDefault="00E42300" w:rsidP="00E42300">
      <w:pPr>
        <w:pStyle w:val="ListParagraph"/>
        <w:numPr>
          <w:ilvl w:val="0"/>
          <w:numId w:val="1"/>
        </w:numPr>
        <w:spacing w:line="480" w:lineRule="auto"/>
        <w:ind w:left="720"/>
      </w:pPr>
      <w:proofErr w:type="spellStart"/>
      <w:r w:rsidRPr="008C7FF3">
        <w:t>Kishi</w:t>
      </w:r>
      <w:proofErr w:type="spellEnd"/>
      <w:r w:rsidRPr="008C7FF3">
        <w:t xml:space="preserve">, Y. Robinson R. Suicidal plans following spinal cord injury: A six-month study. </w:t>
      </w:r>
      <w:r w:rsidRPr="008C7FF3">
        <w:rPr>
          <w:i/>
        </w:rPr>
        <w:t>J Neuropsychiatry Neurosciences</w:t>
      </w:r>
      <w:r w:rsidRPr="008C7FF3">
        <w:t xml:space="preserve"> 1996;</w:t>
      </w:r>
      <w:r w:rsidRPr="008C7FF3">
        <w:rPr>
          <w:b/>
        </w:rPr>
        <w:t>8</w:t>
      </w:r>
      <w:r w:rsidRPr="008C7FF3">
        <w:t xml:space="preserve">(4):442–5. </w:t>
      </w:r>
    </w:p>
    <w:p w14:paraId="0471962A" w14:textId="77777777" w:rsidR="00E42300" w:rsidRPr="008C7FF3" w:rsidRDefault="00E42300" w:rsidP="00E42300">
      <w:pPr>
        <w:pStyle w:val="ListParagraph"/>
        <w:numPr>
          <w:ilvl w:val="0"/>
          <w:numId w:val="1"/>
        </w:numPr>
        <w:spacing w:line="480" w:lineRule="auto"/>
        <w:ind w:left="720"/>
      </w:pPr>
      <w:r w:rsidRPr="008C7FF3">
        <w:t xml:space="preserve">Kleiman EM, Liu RT. Prospective prediction of suicide in a nationally representative sample: Religious service attendance as a protective factor. </w:t>
      </w:r>
      <w:r w:rsidRPr="008C7FF3">
        <w:rPr>
          <w:i/>
        </w:rPr>
        <w:t>Br J Psychiatry</w:t>
      </w:r>
      <w:r w:rsidRPr="008C7FF3">
        <w:t xml:space="preserve"> 2014;</w:t>
      </w:r>
      <w:r w:rsidRPr="008C7FF3">
        <w:rPr>
          <w:b/>
        </w:rPr>
        <w:t>204</w:t>
      </w:r>
      <w:r w:rsidRPr="008C7FF3">
        <w:t xml:space="preserve">(4):262–6. </w:t>
      </w:r>
    </w:p>
    <w:p w14:paraId="149A8C52" w14:textId="77777777" w:rsidR="00E42300" w:rsidRPr="008C7FF3" w:rsidRDefault="00E42300" w:rsidP="00E42300">
      <w:pPr>
        <w:pStyle w:val="ListParagraph"/>
        <w:numPr>
          <w:ilvl w:val="0"/>
          <w:numId w:val="1"/>
        </w:numPr>
        <w:spacing w:line="480" w:lineRule="auto"/>
        <w:ind w:left="720"/>
      </w:pPr>
      <w:r w:rsidRPr="008C7FF3">
        <w:t xml:space="preserve">Kleiman EM, Liu RT, </w:t>
      </w:r>
      <w:proofErr w:type="spellStart"/>
      <w:r w:rsidRPr="008C7FF3">
        <w:t>Riskind</w:t>
      </w:r>
      <w:proofErr w:type="spellEnd"/>
      <w:r w:rsidRPr="008C7FF3">
        <w:t xml:space="preserve"> JH. Integrating the interpersonal psychological theory of suicide into the depression/suicidal ideation relationship: A short-term prospective study. </w:t>
      </w:r>
      <w:proofErr w:type="spellStart"/>
      <w:r w:rsidRPr="008C7FF3">
        <w:rPr>
          <w:i/>
        </w:rPr>
        <w:t>Behav</w:t>
      </w:r>
      <w:proofErr w:type="spellEnd"/>
      <w:r w:rsidRPr="008C7FF3">
        <w:rPr>
          <w:i/>
        </w:rPr>
        <w:t xml:space="preserve"> </w:t>
      </w:r>
      <w:proofErr w:type="spellStart"/>
      <w:r w:rsidRPr="008C7FF3">
        <w:rPr>
          <w:i/>
        </w:rPr>
        <w:t>Ther</w:t>
      </w:r>
      <w:proofErr w:type="spellEnd"/>
      <w:r w:rsidRPr="008C7FF3">
        <w:t xml:space="preserve"> 2014;</w:t>
      </w:r>
      <w:r w:rsidRPr="008C7FF3">
        <w:rPr>
          <w:b/>
        </w:rPr>
        <w:t>45</w:t>
      </w:r>
      <w:r w:rsidRPr="008C7FF3">
        <w:t>(2):212–21.</w:t>
      </w:r>
    </w:p>
    <w:p w14:paraId="0805EF13" w14:textId="77777777" w:rsidR="00E42300" w:rsidRPr="008C7FF3" w:rsidRDefault="00E42300" w:rsidP="00E42300">
      <w:pPr>
        <w:pStyle w:val="ListParagraph"/>
        <w:numPr>
          <w:ilvl w:val="0"/>
          <w:numId w:val="1"/>
        </w:numPr>
        <w:spacing w:line="480" w:lineRule="auto"/>
        <w:ind w:left="720"/>
      </w:pPr>
      <w:r w:rsidRPr="008C7FF3">
        <w:t xml:space="preserve">Klein DN, Schwartz JE, Rose S, Leader JB. Five-year course and outcome of dysthymic disorder: A prospective, naturalistic follow-up study. </w:t>
      </w:r>
      <w:r w:rsidRPr="008C7FF3">
        <w:rPr>
          <w:i/>
        </w:rPr>
        <w:t>Am J Psychiatry</w:t>
      </w:r>
      <w:r w:rsidRPr="008C7FF3">
        <w:t xml:space="preserve"> 2000;</w:t>
      </w:r>
      <w:r w:rsidRPr="008C7FF3">
        <w:rPr>
          <w:b/>
        </w:rPr>
        <w:t>157</w:t>
      </w:r>
      <w:r w:rsidRPr="008C7FF3">
        <w:t xml:space="preserve">(6):931–9. </w:t>
      </w:r>
    </w:p>
    <w:p w14:paraId="66B151BD" w14:textId="77777777" w:rsidR="00E42300" w:rsidRPr="008C7FF3" w:rsidRDefault="00E42300" w:rsidP="00E42300">
      <w:pPr>
        <w:pStyle w:val="ListParagraph"/>
        <w:numPr>
          <w:ilvl w:val="0"/>
          <w:numId w:val="1"/>
        </w:numPr>
        <w:spacing w:line="480" w:lineRule="auto"/>
        <w:ind w:left="720"/>
      </w:pPr>
      <w:r w:rsidRPr="008C7FF3">
        <w:t xml:space="preserve">Kovacs M, Goldston D, </w:t>
      </w:r>
      <w:proofErr w:type="spellStart"/>
      <w:r w:rsidRPr="008C7FF3">
        <w:t>Gatsonis</w:t>
      </w:r>
      <w:proofErr w:type="spellEnd"/>
      <w:r w:rsidRPr="008C7FF3">
        <w:t xml:space="preserve"> C. Suicidal behaviors and childhood-onset depressive disorders: A longitudinal investigation. </w:t>
      </w:r>
      <w:r w:rsidRPr="008C7FF3">
        <w:rPr>
          <w:i/>
        </w:rPr>
        <w:t>Journal of the American Academy of Child &amp; Adolescent Psychiatry</w:t>
      </w:r>
      <w:r w:rsidRPr="008C7FF3">
        <w:t xml:space="preserve"> 1993;</w:t>
      </w:r>
      <w:r w:rsidRPr="008C7FF3">
        <w:rPr>
          <w:b/>
        </w:rPr>
        <w:t>32</w:t>
      </w:r>
      <w:r w:rsidRPr="008C7FF3">
        <w:t xml:space="preserve">(1):8–20. </w:t>
      </w:r>
    </w:p>
    <w:p w14:paraId="3B99B573" w14:textId="77777777" w:rsidR="00E42300" w:rsidRPr="008C7FF3" w:rsidRDefault="00E42300" w:rsidP="00E42300">
      <w:pPr>
        <w:pStyle w:val="ListParagraph"/>
        <w:numPr>
          <w:ilvl w:val="0"/>
          <w:numId w:val="1"/>
        </w:numPr>
        <w:spacing w:line="480" w:lineRule="auto"/>
        <w:ind w:left="720"/>
      </w:pPr>
      <w:proofErr w:type="spellStart"/>
      <w:r w:rsidRPr="008C7FF3">
        <w:t>Kuo</w:t>
      </w:r>
      <w:proofErr w:type="spellEnd"/>
      <w:r w:rsidRPr="008C7FF3">
        <w:t xml:space="preserve"> CJ., Tsai SY., Lo CH., Wang YP. CC. Risk factors for completed suicide in schizophrenia. </w:t>
      </w:r>
      <w:r w:rsidRPr="008C7FF3">
        <w:rPr>
          <w:i/>
        </w:rPr>
        <w:t xml:space="preserve">J </w:t>
      </w:r>
      <w:proofErr w:type="spellStart"/>
      <w:r w:rsidRPr="008C7FF3">
        <w:rPr>
          <w:i/>
        </w:rPr>
        <w:t>Clin</w:t>
      </w:r>
      <w:proofErr w:type="spellEnd"/>
      <w:r w:rsidRPr="008C7FF3">
        <w:rPr>
          <w:i/>
        </w:rPr>
        <w:t xml:space="preserve"> Psychiatry</w:t>
      </w:r>
      <w:r w:rsidRPr="008C7FF3">
        <w:t xml:space="preserve"> 2005;</w:t>
      </w:r>
      <w:r w:rsidRPr="008C7FF3">
        <w:rPr>
          <w:b/>
        </w:rPr>
        <w:t>66</w:t>
      </w:r>
      <w:r w:rsidRPr="008C7FF3">
        <w:t xml:space="preserve">(5):579–85. </w:t>
      </w:r>
    </w:p>
    <w:p w14:paraId="12D2C4F0" w14:textId="77777777" w:rsidR="00E42300" w:rsidRPr="008C7FF3" w:rsidRDefault="00E42300" w:rsidP="00E42300">
      <w:pPr>
        <w:pStyle w:val="ListParagraph"/>
        <w:numPr>
          <w:ilvl w:val="0"/>
          <w:numId w:val="1"/>
        </w:numPr>
        <w:spacing w:line="480" w:lineRule="auto"/>
        <w:ind w:left="720"/>
      </w:pPr>
      <w:proofErr w:type="spellStart"/>
      <w:r w:rsidRPr="008C7FF3">
        <w:t>Kuramoto</w:t>
      </w:r>
      <w:proofErr w:type="spellEnd"/>
      <w:r w:rsidRPr="008C7FF3">
        <w:t xml:space="preserve"> SJ, Stuart EA, </w:t>
      </w:r>
      <w:proofErr w:type="spellStart"/>
      <w:r w:rsidRPr="008C7FF3">
        <w:t>Runeson</w:t>
      </w:r>
      <w:proofErr w:type="spellEnd"/>
      <w:r w:rsidRPr="008C7FF3">
        <w:t xml:space="preserve"> B, Lichtenstein P, </w:t>
      </w:r>
      <w:proofErr w:type="spellStart"/>
      <w:r w:rsidRPr="008C7FF3">
        <w:t>Langstrom</w:t>
      </w:r>
      <w:proofErr w:type="spellEnd"/>
      <w:r w:rsidRPr="008C7FF3">
        <w:t xml:space="preserve"> N, Wilcox HC. Maternal or paternal suicide and offspring’s psychiatric and suicide-attempt hospitalization risk. </w:t>
      </w:r>
      <w:r w:rsidRPr="008C7FF3">
        <w:rPr>
          <w:i/>
        </w:rPr>
        <w:t>Pediatrics</w:t>
      </w:r>
      <w:r w:rsidRPr="008C7FF3">
        <w:t xml:space="preserve"> 2010;</w:t>
      </w:r>
      <w:r w:rsidRPr="008C7FF3">
        <w:rPr>
          <w:b/>
        </w:rPr>
        <w:t>126</w:t>
      </w:r>
      <w:r w:rsidRPr="008C7FF3">
        <w:t>(5</w:t>
      </w:r>
      <w:proofErr w:type="gramStart"/>
      <w:r w:rsidRPr="008C7FF3">
        <w:t>):e</w:t>
      </w:r>
      <w:proofErr w:type="gramEnd"/>
      <w:r w:rsidRPr="008C7FF3">
        <w:t xml:space="preserve">1026–32. </w:t>
      </w:r>
    </w:p>
    <w:p w14:paraId="3AD9DB98"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Laan</w:t>
      </w:r>
      <w:proofErr w:type="spellEnd"/>
      <w:r w:rsidRPr="008C7FF3">
        <w:t xml:space="preserve"> W, </w:t>
      </w:r>
      <w:proofErr w:type="spellStart"/>
      <w:r w:rsidRPr="008C7FF3">
        <w:t>Termorshuizen</w:t>
      </w:r>
      <w:proofErr w:type="spellEnd"/>
      <w:r w:rsidRPr="008C7FF3">
        <w:t xml:space="preserve"> F, </w:t>
      </w:r>
      <w:proofErr w:type="spellStart"/>
      <w:r w:rsidRPr="008C7FF3">
        <w:t>Smeets</w:t>
      </w:r>
      <w:proofErr w:type="spellEnd"/>
      <w:r w:rsidRPr="008C7FF3">
        <w:t xml:space="preserve"> HM, Boks MPM, De Wit NJ, </w:t>
      </w:r>
      <w:proofErr w:type="spellStart"/>
      <w:r w:rsidRPr="008C7FF3">
        <w:t>Geerlings</w:t>
      </w:r>
      <w:proofErr w:type="spellEnd"/>
      <w:r w:rsidRPr="008C7FF3">
        <w:t xml:space="preserve"> MI. A comorbid anxiety disorder does not result in an excess risk of death among patients with a depressive disorder. </w:t>
      </w:r>
      <w:r w:rsidRPr="008C7FF3">
        <w:rPr>
          <w:i/>
        </w:rPr>
        <w:t xml:space="preserve">J Affect </w:t>
      </w:r>
      <w:proofErr w:type="spellStart"/>
      <w:r w:rsidRPr="008C7FF3">
        <w:rPr>
          <w:i/>
        </w:rPr>
        <w:t>Disord</w:t>
      </w:r>
      <w:proofErr w:type="spellEnd"/>
      <w:r w:rsidRPr="008C7FF3">
        <w:t xml:space="preserve"> 2011;</w:t>
      </w:r>
      <w:r w:rsidRPr="008C7FF3">
        <w:rPr>
          <w:b/>
        </w:rPr>
        <w:t>135</w:t>
      </w:r>
      <w:r w:rsidRPr="008C7FF3">
        <w:t xml:space="preserve">(1–3):284–91. </w:t>
      </w:r>
    </w:p>
    <w:p w14:paraId="52CA16BB" w14:textId="77777777" w:rsidR="00E42300" w:rsidRPr="008C7FF3" w:rsidRDefault="00E42300" w:rsidP="00E42300">
      <w:pPr>
        <w:pStyle w:val="ListParagraph"/>
        <w:numPr>
          <w:ilvl w:val="0"/>
          <w:numId w:val="1"/>
        </w:numPr>
        <w:spacing w:line="480" w:lineRule="auto"/>
        <w:ind w:left="720"/>
      </w:pPr>
      <w:r w:rsidRPr="008C7FF3">
        <w:t xml:space="preserve">Lambert SF, Copeland-Linder N, </w:t>
      </w:r>
      <w:proofErr w:type="spellStart"/>
      <w:r w:rsidRPr="008C7FF3">
        <w:t>Ialongo</w:t>
      </w:r>
      <w:proofErr w:type="spellEnd"/>
      <w:r w:rsidRPr="008C7FF3">
        <w:t xml:space="preserve"> NS. Longitudinal associations between community violence exposure and suicidality. </w:t>
      </w:r>
      <w:r w:rsidRPr="008C7FF3">
        <w:rPr>
          <w:i/>
        </w:rPr>
        <w:t xml:space="preserve">J </w:t>
      </w:r>
      <w:proofErr w:type="spellStart"/>
      <w:r w:rsidRPr="008C7FF3">
        <w:rPr>
          <w:i/>
        </w:rPr>
        <w:t>Adolesc</w:t>
      </w:r>
      <w:proofErr w:type="spellEnd"/>
      <w:r w:rsidRPr="008C7FF3">
        <w:rPr>
          <w:i/>
        </w:rPr>
        <w:t xml:space="preserve"> Heal</w:t>
      </w:r>
      <w:r w:rsidRPr="008C7FF3">
        <w:t xml:space="preserve"> 2008;</w:t>
      </w:r>
      <w:r w:rsidRPr="008C7FF3">
        <w:rPr>
          <w:b/>
        </w:rPr>
        <w:t>43</w:t>
      </w:r>
      <w:r w:rsidRPr="008C7FF3">
        <w:t xml:space="preserve">(4):380–6. </w:t>
      </w:r>
    </w:p>
    <w:p w14:paraId="2DD6ECD6" w14:textId="77777777" w:rsidR="00E42300" w:rsidRPr="008C7FF3" w:rsidRDefault="00E42300" w:rsidP="00E42300">
      <w:pPr>
        <w:pStyle w:val="ListParagraph"/>
        <w:numPr>
          <w:ilvl w:val="0"/>
          <w:numId w:val="1"/>
        </w:numPr>
        <w:spacing w:line="480" w:lineRule="auto"/>
        <w:ind w:left="720"/>
      </w:pPr>
      <w:r w:rsidRPr="008C7FF3">
        <w:t xml:space="preserve">Larsson, B., &amp; </w:t>
      </w:r>
      <w:proofErr w:type="spellStart"/>
      <w:r w:rsidRPr="008C7FF3">
        <w:t>Sund</w:t>
      </w:r>
      <w:proofErr w:type="spellEnd"/>
      <w:r w:rsidRPr="008C7FF3">
        <w:t xml:space="preserve"> A. Prevalence, course, incidence, and 1-year prediction of deliberate self-harm and suicide attempts in early Norwegian school adolescents. </w:t>
      </w:r>
      <w:r w:rsidRPr="008C7FF3">
        <w:rPr>
          <w:i/>
        </w:rPr>
        <w:t xml:space="preserve">Suicide Life-Threat </w:t>
      </w:r>
      <w:proofErr w:type="spellStart"/>
      <w:r w:rsidRPr="008C7FF3">
        <w:rPr>
          <w:i/>
        </w:rPr>
        <w:t>Behav</w:t>
      </w:r>
      <w:proofErr w:type="spellEnd"/>
      <w:r w:rsidRPr="008C7FF3">
        <w:t xml:space="preserve"> 2008;</w:t>
      </w:r>
      <w:r w:rsidRPr="008C7FF3">
        <w:rPr>
          <w:b/>
        </w:rPr>
        <w:t>28</w:t>
      </w:r>
      <w:r w:rsidRPr="008C7FF3">
        <w:t xml:space="preserve">(2):152–6. </w:t>
      </w:r>
    </w:p>
    <w:p w14:paraId="29488C9C" w14:textId="77777777" w:rsidR="00E42300" w:rsidRPr="008C7FF3" w:rsidRDefault="00E42300" w:rsidP="00E42300">
      <w:pPr>
        <w:pStyle w:val="ListParagraph"/>
        <w:numPr>
          <w:ilvl w:val="0"/>
          <w:numId w:val="1"/>
        </w:numPr>
        <w:spacing w:line="480" w:lineRule="auto"/>
        <w:ind w:left="720"/>
      </w:pPr>
      <w:proofErr w:type="spellStart"/>
      <w:r w:rsidRPr="008C7FF3">
        <w:t>Larzelere</w:t>
      </w:r>
      <w:proofErr w:type="spellEnd"/>
      <w:r w:rsidRPr="008C7FF3">
        <w:t xml:space="preserve">, RE., Smith GL., </w:t>
      </w:r>
      <w:proofErr w:type="spellStart"/>
      <w:r w:rsidRPr="008C7FF3">
        <w:t>Batenhorst</w:t>
      </w:r>
      <w:proofErr w:type="spellEnd"/>
      <w:r w:rsidRPr="008C7FF3">
        <w:t xml:space="preserve">, LM. KD. Predictive validity of the suicide probability scale among adolescents in group home treatment.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1996;</w:t>
      </w:r>
      <w:r w:rsidRPr="008C7FF3">
        <w:rPr>
          <w:b/>
        </w:rPr>
        <w:t>35</w:t>
      </w:r>
      <w:r w:rsidRPr="008C7FF3">
        <w:t xml:space="preserve">(2):166–72. </w:t>
      </w:r>
    </w:p>
    <w:p w14:paraId="5F46FF5B" w14:textId="77777777" w:rsidR="00E42300" w:rsidRPr="008C7FF3" w:rsidRDefault="00E42300" w:rsidP="00E42300">
      <w:pPr>
        <w:pStyle w:val="ListParagraph"/>
        <w:numPr>
          <w:ilvl w:val="0"/>
          <w:numId w:val="1"/>
        </w:numPr>
        <w:spacing w:line="480" w:lineRule="auto"/>
        <w:ind w:left="720"/>
      </w:pPr>
      <w:proofErr w:type="spellStart"/>
      <w:r w:rsidRPr="008C7FF3">
        <w:t>Lasgaard</w:t>
      </w:r>
      <w:proofErr w:type="spellEnd"/>
      <w:r w:rsidRPr="008C7FF3">
        <w:t xml:space="preserve"> M, </w:t>
      </w:r>
      <w:proofErr w:type="spellStart"/>
      <w:r w:rsidRPr="008C7FF3">
        <w:t>Goossens</w:t>
      </w:r>
      <w:proofErr w:type="spellEnd"/>
      <w:r w:rsidRPr="008C7FF3">
        <w:t xml:space="preserve"> L, </w:t>
      </w:r>
      <w:proofErr w:type="spellStart"/>
      <w:r w:rsidRPr="008C7FF3">
        <w:t>Elklit</w:t>
      </w:r>
      <w:proofErr w:type="spellEnd"/>
      <w:r w:rsidRPr="008C7FF3">
        <w:t xml:space="preserve"> A. Loneliness, depressive symptomatology, and suicide ideation in adolescence: Cross-sectional and longitudinal analyses. </w:t>
      </w:r>
      <w:r w:rsidRPr="008C7FF3">
        <w:rPr>
          <w:i/>
        </w:rPr>
        <w:t xml:space="preserve">J </w:t>
      </w:r>
      <w:proofErr w:type="spellStart"/>
      <w:r w:rsidRPr="008C7FF3">
        <w:rPr>
          <w:i/>
        </w:rPr>
        <w:t>Abnorm</w:t>
      </w:r>
      <w:proofErr w:type="spellEnd"/>
      <w:r w:rsidRPr="008C7FF3">
        <w:rPr>
          <w:i/>
        </w:rPr>
        <w:t xml:space="preserve"> Child </w:t>
      </w:r>
      <w:proofErr w:type="spellStart"/>
      <w:r w:rsidRPr="008C7FF3">
        <w:rPr>
          <w:i/>
        </w:rPr>
        <w:t>Psychol</w:t>
      </w:r>
      <w:proofErr w:type="spellEnd"/>
      <w:r w:rsidRPr="008C7FF3">
        <w:t xml:space="preserve"> 2011;</w:t>
      </w:r>
      <w:r w:rsidRPr="008C7FF3">
        <w:rPr>
          <w:b/>
        </w:rPr>
        <w:t>39</w:t>
      </w:r>
      <w:r w:rsidRPr="008C7FF3">
        <w:t xml:space="preserve">(1):137–50. </w:t>
      </w:r>
    </w:p>
    <w:p w14:paraId="41BF3939" w14:textId="77777777" w:rsidR="00E42300" w:rsidRPr="008C7FF3" w:rsidRDefault="00E42300" w:rsidP="00E42300">
      <w:pPr>
        <w:pStyle w:val="ListParagraph"/>
        <w:numPr>
          <w:ilvl w:val="0"/>
          <w:numId w:val="1"/>
        </w:numPr>
        <w:spacing w:line="480" w:lineRule="auto"/>
        <w:ind w:left="720"/>
      </w:pPr>
      <w:proofErr w:type="spellStart"/>
      <w:r w:rsidRPr="008C7FF3">
        <w:t>Leadholm</w:t>
      </w:r>
      <w:proofErr w:type="spellEnd"/>
      <w:r w:rsidRPr="008C7FF3">
        <w:t xml:space="preserve"> AKK, Rothschild AJ, Nielsen J, </w:t>
      </w:r>
      <w:proofErr w:type="spellStart"/>
      <w:r w:rsidRPr="008C7FF3">
        <w:t>Bech</w:t>
      </w:r>
      <w:proofErr w:type="spellEnd"/>
      <w:r w:rsidRPr="008C7FF3">
        <w:t xml:space="preserve"> P, </w:t>
      </w:r>
      <w:proofErr w:type="spellStart"/>
      <w:r w:rsidRPr="008C7FF3">
        <w:t>Østergaard</w:t>
      </w:r>
      <w:proofErr w:type="spellEnd"/>
      <w:r w:rsidRPr="008C7FF3">
        <w:t xml:space="preserve"> SD. Risk factors for suicide among 34,671 patients with psychotic and non-psychotic severe depression. </w:t>
      </w:r>
      <w:r w:rsidRPr="008C7FF3">
        <w:rPr>
          <w:i/>
        </w:rPr>
        <w:t xml:space="preserve">J Affect </w:t>
      </w:r>
      <w:proofErr w:type="spellStart"/>
      <w:r w:rsidRPr="008C7FF3">
        <w:rPr>
          <w:i/>
        </w:rPr>
        <w:t>Disord</w:t>
      </w:r>
      <w:proofErr w:type="spellEnd"/>
      <w:r w:rsidRPr="008C7FF3">
        <w:t xml:space="preserve"> </w:t>
      </w:r>
      <w:proofErr w:type="gramStart"/>
      <w:r w:rsidRPr="008C7FF3">
        <w:t>2014;</w:t>
      </w:r>
      <w:r w:rsidRPr="008C7FF3">
        <w:rPr>
          <w:b/>
        </w:rPr>
        <w:t>156</w:t>
      </w:r>
      <w:r w:rsidRPr="008C7FF3">
        <w:t>:119</w:t>
      </w:r>
      <w:proofErr w:type="gramEnd"/>
      <w:r w:rsidRPr="008C7FF3">
        <w:t xml:space="preserve">–25. </w:t>
      </w:r>
    </w:p>
    <w:p w14:paraId="60032083" w14:textId="77777777" w:rsidR="00E42300" w:rsidRPr="008C7FF3" w:rsidRDefault="00E42300" w:rsidP="00E42300">
      <w:pPr>
        <w:pStyle w:val="ListParagraph"/>
        <w:numPr>
          <w:ilvl w:val="0"/>
          <w:numId w:val="1"/>
        </w:numPr>
        <w:spacing w:line="480" w:lineRule="auto"/>
        <w:ind w:left="720"/>
      </w:pPr>
      <w:proofErr w:type="spellStart"/>
      <w:r w:rsidRPr="008C7FF3">
        <w:t>Lemogne</w:t>
      </w:r>
      <w:proofErr w:type="spellEnd"/>
      <w:r w:rsidRPr="008C7FF3">
        <w:t xml:space="preserve"> C, </w:t>
      </w:r>
      <w:proofErr w:type="spellStart"/>
      <w:r w:rsidRPr="008C7FF3">
        <w:t>Fossati</w:t>
      </w:r>
      <w:proofErr w:type="spellEnd"/>
      <w:r w:rsidRPr="008C7FF3">
        <w:t xml:space="preserve"> P, </w:t>
      </w:r>
      <w:proofErr w:type="spellStart"/>
      <w:r w:rsidRPr="008C7FF3">
        <w:t>Limosin</w:t>
      </w:r>
      <w:proofErr w:type="spellEnd"/>
      <w:r w:rsidRPr="008C7FF3">
        <w:t xml:space="preserve"> F, Nabi H, </w:t>
      </w:r>
      <w:proofErr w:type="spellStart"/>
      <w:r w:rsidRPr="008C7FF3">
        <w:t>Encrenaz</w:t>
      </w:r>
      <w:proofErr w:type="spellEnd"/>
      <w:r w:rsidRPr="008C7FF3">
        <w:t xml:space="preserve"> G, </w:t>
      </w:r>
      <w:proofErr w:type="spellStart"/>
      <w:r w:rsidRPr="008C7FF3">
        <w:t>Bonenfant</w:t>
      </w:r>
      <w:proofErr w:type="spellEnd"/>
      <w:r w:rsidRPr="008C7FF3">
        <w:t xml:space="preserve"> S, et al. Cognitive hostility and suicide. </w:t>
      </w:r>
      <w:r w:rsidRPr="008C7FF3">
        <w:rPr>
          <w:i/>
        </w:rPr>
        <w:t xml:space="preserve">Acta </w:t>
      </w:r>
      <w:proofErr w:type="spellStart"/>
      <w:r w:rsidRPr="008C7FF3">
        <w:rPr>
          <w:i/>
        </w:rPr>
        <w:t>Psychiatr</w:t>
      </w:r>
      <w:proofErr w:type="spellEnd"/>
      <w:r w:rsidRPr="008C7FF3">
        <w:rPr>
          <w:i/>
        </w:rPr>
        <w:t xml:space="preserve"> </w:t>
      </w:r>
      <w:proofErr w:type="spellStart"/>
      <w:r w:rsidRPr="008C7FF3">
        <w:rPr>
          <w:i/>
        </w:rPr>
        <w:t>Scand</w:t>
      </w:r>
      <w:proofErr w:type="spellEnd"/>
      <w:r w:rsidRPr="008C7FF3">
        <w:t xml:space="preserve"> 2011;</w:t>
      </w:r>
      <w:r w:rsidRPr="008C7FF3">
        <w:rPr>
          <w:b/>
        </w:rPr>
        <w:t>124</w:t>
      </w:r>
      <w:r w:rsidRPr="008C7FF3">
        <w:t xml:space="preserve">(1):62–9. </w:t>
      </w:r>
    </w:p>
    <w:p w14:paraId="73033580" w14:textId="77777777" w:rsidR="00E42300" w:rsidRPr="008C7FF3" w:rsidRDefault="00E42300" w:rsidP="00E42300">
      <w:pPr>
        <w:pStyle w:val="ListParagraph"/>
        <w:numPr>
          <w:ilvl w:val="0"/>
          <w:numId w:val="1"/>
        </w:numPr>
        <w:spacing w:line="480" w:lineRule="auto"/>
        <w:ind w:left="720"/>
      </w:pPr>
      <w:proofErr w:type="spellStart"/>
      <w:r w:rsidRPr="008C7FF3">
        <w:t>Lewinsohn</w:t>
      </w:r>
      <w:proofErr w:type="spellEnd"/>
      <w:r w:rsidRPr="008C7FF3">
        <w:t xml:space="preserve"> PM, Rohde P, Seeley JR. Psychosocial risk factors for future adolescent suicide attempts. </w:t>
      </w:r>
      <w:r w:rsidRPr="008C7FF3">
        <w:rPr>
          <w:i/>
        </w:rPr>
        <w:t xml:space="preserve">J Consult </w:t>
      </w:r>
      <w:proofErr w:type="spellStart"/>
      <w:r w:rsidRPr="008C7FF3">
        <w:rPr>
          <w:i/>
        </w:rPr>
        <w:t>Clin</w:t>
      </w:r>
      <w:proofErr w:type="spellEnd"/>
      <w:r w:rsidRPr="008C7FF3">
        <w:rPr>
          <w:i/>
        </w:rPr>
        <w:t xml:space="preserve"> </w:t>
      </w:r>
      <w:proofErr w:type="spellStart"/>
      <w:r w:rsidRPr="008C7FF3">
        <w:rPr>
          <w:i/>
        </w:rPr>
        <w:t>Psychol</w:t>
      </w:r>
      <w:proofErr w:type="spellEnd"/>
      <w:r w:rsidRPr="008C7FF3">
        <w:t xml:space="preserve"> 1994;</w:t>
      </w:r>
      <w:r w:rsidRPr="008C7FF3">
        <w:rPr>
          <w:b/>
        </w:rPr>
        <w:t>62</w:t>
      </w:r>
      <w:r w:rsidRPr="008C7FF3">
        <w:t xml:space="preserve">(2):297–305. </w:t>
      </w:r>
    </w:p>
    <w:p w14:paraId="5D286FA0"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Lewinsohn</w:t>
      </w:r>
      <w:proofErr w:type="spellEnd"/>
      <w:r w:rsidRPr="008C7FF3">
        <w:t xml:space="preserve"> PM, Rohde P, Seeley JR, Baldwin CL. Gender differences in suicide attempts from adolescence to young adulthood.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2001;</w:t>
      </w:r>
      <w:r w:rsidRPr="008C7FF3">
        <w:rPr>
          <w:b/>
        </w:rPr>
        <w:t>40</w:t>
      </w:r>
      <w:r w:rsidRPr="008C7FF3">
        <w:t xml:space="preserve">(4):427–34. </w:t>
      </w:r>
    </w:p>
    <w:p w14:paraId="734F3E57" w14:textId="77777777" w:rsidR="00E42300" w:rsidRPr="008C7FF3" w:rsidRDefault="00E42300" w:rsidP="00E42300">
      <w:pPr>
        <w:pStyle w:val="ListParagraph"/>
        <w:numPr>
          <w:ilvl w:val="0"/>
          <w:numId w:val="1"/>
        </w:numPr>
        <w:spacing w:line="480" w:lineRule="auto"/>
        <w:ind w:left="720"/>
      </w:pPr>
      <w:r w:rsidRPr="008C7FF3">
        <w:t xml:space="preserve">Links P, Nisenbaum R, </w:t>
      </w:r>
      <w:proofErr w:type="spellStart"/>
      <w:r w:rsidRPr="008C7FF3">
        <w:t>Ambreen</w:t>
      </w:r>
      <w:proofErr w:type="spellEnd"/>
      <w:r w:rsidRPr="008C7FF3">
        <w:t xml:space="preserve"> M, </w:t>
      </w:r>
      <w:proofErr w:type="spellStart"/>
      <w:r w:rsidRPr="008C7FF3">
        <w:t>Balderson</w:t>
      </w:r>
      <w:proofErr w:type="spellEnd"/>
      <w:r w:rsidRPr="008C7FF3">
        <w:t xml:space="preserve"> K, </w:t>
      </w:r>
      <w:proofErr w:type="spellStart"/>
      <w:r w:rsidRPr="008C7FF3">
        <w:t>Bergmans</w:t>
      </w:r>
      <w:proofErr w:type="spellEnd"/>
      <w:r w:rsidRPr="008C7FF3">
        <w:t xml:space="preserve"> Y, </w:t>
      </w:r>
      <w:proofErr w:type="spellStart"/>
      <w:r w:rsidRPr="008C7FF3">
        <w:t>Eynan</w:t>
      </w:r>
      <w:proofErr w:type="spellEnd"/>
      <w:r w:rsidRPr="008C7FF3">
        <w:t xml:space="preserve"> R, et al. Prospective study of risk factors for increased suicide ideation and behavior following recent discharge. </w:t>
      </w:r>
      <w:r w:rsidRPr="008C7FF3">
        <w:rPr>
          <w:i/>
        </w:rPr>
        <w:t>Gen Hosp Psychiatry</w:t>
      </w:r>
      <w:r w:rsidRPr="008C7FF3">
        <w:t xml:space="preserve"> 2012;</w:t>
      </w:r>
      <w:r w:rsidRPr="008C7FF3">
        <w:rPr>
          <w:b/>
        </w:rPr>
        <w:t>34</w:t>
      </w:r>
      <w:r w:rsidRPr="008C7FF3">
        <w:t xml:space="preserve">(1):88–97. </w:t>
      </w:r>
    </w:p>
    <w:p w14:paraId="42177B0E" w14:textId="77777777" w:rsidR="00E42300" w:rsidRPr="008C7FF3" w:rsidRDefault="00E42300" w:rsidP="00E42300">
      <w:pPr>
        <w:pStyle w:val="ListParagraph"/>
        <w:numPr>
          <w:ilvl w:val="0"/>
          <w:numId w:val="1"/>
        </w:numPr>
        <w:spacing w:line="480" w:lineRule="auto"/>
        <w:ind w:left="720"/>
      </w:pPr>
      <w:r w:rsidRPr="008C7FF3">
        <w:t xml:space="preserve">Links PS, </w:t>
      </w:r>
      <w:proofErr w:type="spellStart"/>
      <w:r w:rsidRPr="008C7FF3">
        <w:t>Kolla</w:t>
      </w:r>
      <w:proofErr w:type="spellEnd"/>
      <w:r w:rsidRPr="008C7FF3">
        <w:t xml:space="preserve"> NJ, </w:t>
      </w:r>
      <w:proofErr w:type="spellStart"/>
      <w:r w:rsidRPr="008C7FF3">
        <w:t>Guimond</w:t>
      </w:r>
      <w:proofErr w:type="spellEnd"/>
      <w:r w:rsidRPr="008C7FF3">
        <w:t xml:space="preserve"> T, </w:t>
      </w:r>
      <w:proofErr w:type="spellStart"/>
      <w:r w:rsidRPr="008C7FF3">
        <w:t>McMain</w:t>
      </w:r>
      <w:proofErr w:type="spellEnd"/>
      <w:r w:rsidRPr="008C7FF3">
        <w:t xml:space="preserve"> S. Prospective risk factors for suicide attempts in a treated sample of patients with borderline personality disorder. </w:t>
      </w:r>
      <w:r w:rsidRPr="008C7FF3">
        <w:rPr>
          <w:i/>
        </w:rPr>
        <w:t>Can J Psychiatry</w:t>
      </w:r>
      <w:r w:rsidRPr="008C7FF3">
        <w:t xml:space="preserve"> 2013;</w:t>
      </w:r>
      <w:r w:rsidRPr="008C7FF3">
        <w:rPr>
          <w:b/>
        </w:rPr>
        <w:t>58</w:t>
      </w:r>
      <w:r w:rsidRPr="008C7FF3">
        <w:t xml:space="preserve">(2):99–106. </w:t>
      </w:r>
    </w:p>
    <w:p w14:paraId="19D88DD9" w14:textId="77777777" w:rsidR="00E42300" w:rsidRPr="008C7FF3" w:rsidRDefault="00E42300" w:rsidP="00E42300">
      <w:pPr>
        <w:pStyle w:val="ListParagraph"/>
        <w:numPr>
          <w:ilvl w:val="0"/>
          <w:numId w:val="1"/>
        </w:numPr>
        <w:spacing w:line="480" w:lineRule="auto"/>
        <w:ind w:left="720"/>
      </w:pPr>
      <w:proofErr w:type="spellStart"/>
      <w:r w:rsidRPr="008C7FF3">
        <w:t>Loas</w:t>
      </w:r>
      <w:proofErr w:type="spellEnd"/>
      <w:r w:rsidRPr="008C7FF3">
        <w:t xml:space="preserve"> G., </w:t>
      </w:r>
      <w:proofErr w:type="spellStart"/>
      <w:r w:rsidRPr="008C7FF3">
        <w:t>Azi</w:t>
      </w:r>
      <w:proofErr w:type="spellEnd"/>
      <w:r w:rsidRPr="008C7FF3">
        <w:t xml:space="preserve"> A., Noisette C., Legrand A. Y V. Fourteen-year prospective follow-up study of positive and negative symptoms in chronic schizophrenic patients dying from suicide compared to other causes of death. </w:t>
      </w:r>
      <w:r w:rsidRPr="008C7FF3">
        <w:rPr>
          <w:i/>
        </w:rPr>
        <w:t>Psychopathology</w:t>
      </w:r>
      <w:r w:rsidRPr="008C7FF3">
        <w:t xml:space="preserve"> 2009;</w:t>
      </w:r>
      <w:r w:rsidRPr="008C7FF3">
        <w:rPr>
          <w:b/>
        </w:rPr>
        <w:t>42</w:t>
      </w:r>
      <w:r w:rsidRPr="008C7FF3">
        <w:t xml:space="preserve">(3):185–9. </w:t>
      </w:r>
    </w:p>
    <w:p w14:paraId="23C6756E" w14:textId="77777777" w:rsidR="00E42300" w:rsidRPr="008C7FF3" w:rsidRDefault="00E42300" w:rsidP="00E42300">
      <w:pPr>
        <w:pStyle w:val="ListParagraph"/>
        <w:numPr>
          <w:ilvl w:val="0"/>
          <w:numId w:val="1"/>
        </w:numPr>
        <w:spacing w:line="480" w:lineRule="auto"/>
        <w:ind w:left="720"/>
      </w:pPr>
      <w:r w:rsidRPr="008C7FF3">
        <w:t xml:space="preserve">Maser JD, </w:t>
      </w:r>
      <w:proofErr w:type="spellStart"/>
      <w:r w:rsidRPr="008C7FF3">
        <w:t>Akiskal</w:t>
      </w:r>
      <w:proofErr w:type="spellEnd"/>
      <w:r w:rsidRPr="008C7FF3">
        <w:t xml:space="preserve"> HS, </w:t>
      </w:r>
      <w:proofErr w:type="spellStart"/>
      <w:r w:rsidRPr="008C7FF3">
        <w:t>Schettler</w:t>
      </w:r>
      <w:proofErr w:type="spellEnd"/>
      <w:r w:rsidRPr="008C7FF3">
        <w:t xml:space="preserve"> P, </w:t>
      </w:r>
      <w:proofErr w:type="spellStart"/>
      <w:r w:rsidRPr="008C7FF3">
        <w:t>Scheftner</w:t>
      </w:r>
      <w:proofErr w:type="spellEnd"/>
      <w:r w:rsidRPr="008C7FF3">
        <w:t xml:space="preserve"> W, Mueller T, Endicott J, et al. Can temperament identify affectively ill patients who engage in lethal or near-lethal suicidal behavior? A 14-year prospective study. </w:t>
      </w:r>
      <w:r w:rsidRPr="008C7FF3">
        <w:rPr>
          <w:i/>
        </w:rPr>
        <w:t xml:space="preserve">Suicide Life-Threat </w:t>
      </w:r>
      <w:proofErr w:type="spellStart"/>
      <w:r w:rsidRPr="008C7FF3">
        <w:rPr>
          <w:i/>
        </w:rPr>
        <w:t>Behav</w:t>
      </w:r>
      <w:proofErr w:type="spellEnd"/>
      <w:r w:rsidRPr="008C7FF3">
        <w:t xml:space="preserve"> 2002;</w:t>
      </w:r>
      <w:r w:rsidRPr="008C7FF3">
        <w:rPr>
          <w:b/>
        </w:rPr>
        <w:t>32</w:t>
      </w:r>
      <w:r w:rsidRPr="008C7FF3">
        <w:t xml:space="preserve">(1):10–32. </w:t>
      </w:r>
    </w:p>
    <w:p w14:paraId="0F93CE43" w14:textId="77777777" w:rsidR="00E42300" w:rsidRPr="008C7FF3" w:rsidRDefault="00E42300" w:rsidP="00E42300">
      <w:pPr>
        <w:pStyle w:val="ListParagraph"/>
        <w:numPr>
          <w:ilvl w:val="0"/>
          <w:numId w:val="1"/>
        </w:numPr>
        <w:spacing w:line="480" w:lineRule="auto"/>
        <w:ind w:left="720"/>
      </w:pPr>
      <w:r w:rsidRPr="008C7FF3">
        <w:t xml:space="preserve">May AM, Klonsky ED, Klein DN. Predicting future suicide attempts among depressed suicide </w:t>
      </w:r>
      <w:proofErr w:type="spellStart"/>
      <w:r w:rsidRPr="008C7FF3">
        <w:t>ideators</w:t>
      </w:r>
      <w:proofErr w:type="spellEnd"/>
      <w:r w:rsidRPr="008C7FF3">
        <w:t xml:space="preserve">: A 10-year longitudinal study. </w:t>
      </w:r>
      <w:r w:rsidRPr="008C7FF3">
        <w:rPr>
          <w:i/>
        </w:rPr>
        <w:t xml:space="preserve">J </w:t>
      </w:r>
      <w:proofErr w:type="spellStart"/>
      <w:r w:rsidRPr="008C7FF3">
        <w:rPr>
          <w:i/>
        </w:rPr>
        <w:t>Psychiatr</w:t>
      </w:r>
      <w:proofErr w:type="spellEnd"/>
      <w:r w:rsidRPr="008C7FF3">
        <w:rPr>
          <w:i/>
        </w:rPr>
        <w:t xml:space="preserve"> Res</w:t>
      </w:r>
      <w:r w:rsidRPr="008C7FF3">
        <w:t xml:space="preserve"> 2012;</w:t>
      </w:r>
      <w:r w:rsidRPr="008C7FF3">
        <w:rPr>
          <w:b/>
        </w:rPr>
        <w:t>46</w:t>
      </w:r>
      <w:r w:rsidRPr="008C7FF3">
        <w:t xml:space="preserve">(7):946–52. </w:t>
      </w:r>
    </w:p>
    <w:p w14:paraId="345C96E4" w14:textId="77777777" w:rsidR="00E42300" w:rsidRPr="008C7FF3" w:rsidRDefault="00E42300" w:rsidP="00E42300">
      <w:pPr>
        <w:pStyle w:val="ListParagraph"/>
        <w:numPr>
          <w:ilvl w:val="0"/>
          <w:numId w:val="1"/>
        </w:numPr>
        <w:spacing w:line="480" w:lineRule="auto"/>
        <w:ind w:left="720"/>
      </w:pPr>
      <w:r w:rsidRPr="008C7FF3">
        <w:t xml:space="preserve">McKeown RE, Garrison CZ, </w:t>
      </w:r>
      <w:proofErr w:type="spellStart"/>
      <w:r w:rsidRPr="008C7FF3">
        <w:t>Cuffe</w:t>
      </w:r>
      <w:proofErr w:type="spellEnd"/>
      <w:r w:rsidRPr="008C7FF3">
        <w:t xml:space="preserve"> SP, Waller JL, Jackson KL, Addy CL. Incidence and predictors of suicidal behaviors in a longitudinal sample of young adolescents.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1998;</w:t>
      </w:r>
      <w:r w:rsidRPr="008C7FF3">
        <w:rPr>
          <w:b/>
        </w:rPr>
        <w:t>37</w:t>
      </w:r>
      <w:r w:rsidRPr="008C7FF3">
        <w:t xml:space="preserve">(6):612–9. </w:t>
      </w:r>
    </w:p>
    <w:p w14:paraId="5F15654B" w14:textId="77777777" w:rsidR="00E42300" w:rsidRPr="008C7FF3" w:rsidRDefault="00E42300" w:rsidP="00E42300">
      <w:pPr>
        <w:pStyle w:val="ListParagraph"/>
        <w:numPr>
          <w:ilvl w:val="0"/>
          <w:numId w:val="1"/>
        </w:numPr>
        <w:spacing w:line="480" w:lineRule="auto"/>
        <w:ind w:left="720"/>
      </w:pPr>
      <w:proofErr w:type="spellStart"/>
      <w:r w:rsidRPr="008C7FF3">
        <w:t>Merikangas</w:t>
      </w:r>
      <w:proofErr w:type="spellEnd"/>
      <w:r w:rsidRPr="008C7FF3">
        <w:t xml:space="preserve"> KR., </w:t>
      </w:r>
      <w:proofErr w:type="spellStart"/>
      <w:r w:rsidRPr="008C7FF3">
        <w:t>Wicki</w:t>
      </w:r>
      <w:proofErr w:type="spellEnd"/>
      <w:r w:rsidRPr="008C7FF3">
        <w:t xml:space="preserve"> W. AJ. Heterogeneity of depression. Classification of depressive subtypes by longitudinal course. </w:t>
      </w:r>
      <w:r w:rsidRPr="008C7FF3">
        <w:rPr>
          <w:i/>
        </w:rPr>
        <w:t>Br J Psychiatry</w:t>
      </w:r>
      <w:r w:rsidRPr="008C7FF3">
        <w:t xml:space="preserve"> 1994;</w:t>
      </w:r>
      <w:r w:rsidRPr="008C7FF3">
        <w:rPr>
          <w:b/>
        </w:rPr>
        <w:t>164</w:t>
      </w:r>
      <w:r w:rsidRPr="008C7FF3">
        <w:t xml:space="preserve">(3):342–8. </w:t>
      </w:r>
    </w:p>
    <w:p w14:paraId="52DBDE7D" w14:textId="77777777" w:rsidR="00E42300" w:rsidRPr="008C7FF3" w:rsidRDefault="00E42300" w:rsidP="00E42300">
      <w:pPr>
        <w:pStyle w:val="ListParagraph"/>
        <w:numPr>
          <w:ilvl w:val="0"/>
          <w:numId w:val="1"/>
        </w:numPr>
        <w:spacing w:line="480" w:lineRule="auto"/>
        <w:ind w:left="720"/>
      </w:pPr>
      <w:r w:rsidRPr="008C7FF3">
        <w:lastRenderedPageBreak/>
        <w:t>Miller AB, Adams LM, Esposito-</w:t>
      </w:r>
      <w:proofErr w:type="spellStart"/>
      <w:r w:rsidRPr="008C7FF3">
        <w:t>Smythers</w:t>
      </w:r>
      <w:proofErr w:type="spellEnd"/>
      <w:r w:rsidRPr="008C7FF3">
        <w:t xml:space="preserve"> C, Thompson R, Proctor LJ. Parents and friendships: A longitudinal examination of interpersonal mediators of the relationship between child maltreatment and suicidal ideation. </w:t>
      </w:r>
      <w:r w:rsidRPr="008C7FF3">
        <w:rPr>
          <w:i/>
        </w:rPr>
        <w:t>Psychiatry Res</w:t>
      </w:r>
      <w:r w:rsidRPr="008C7FF3">
        <w:t xml:space="preserve"> 2014;</w:t>
      </w:r>
      <w:r w:rsidRPr="008C7FF3">
        <w:rPr>
          <w:b/>
        </w:rPr>
        <w:t>220</w:t>
      </w:r>
      <w:r w:rsidRPr="008C7FF3">
        <w:t xml:space="preserve">(3):998–1006. </w:t>
      </w:r>
    </w:p>
    <w:p w14:paraId="57F33EFF" w14:textId="77777777" w:rsidR="00E42300" w:rsidRPr="008C7FF3" w:rsidRDefault="00E42300" w:rsidP="00E42300">
      <w:pPr>
        <w:pStyle w:val="ListParagraph"/>
        <w:numPr>
          <w:ilvl w:val="0"/>
          <w:numId w:val="1"/>
        </w:numPr>
        <w:spacing w:line="480" w:lineRule="auto"/>
        <w:ind w:left="720"/>
      </w:pPr>
      <w:r w:rsidRPr="008C7FF3">
        <w:t xml:space="preserve">Miranda R, Nolen-Hoeksema S. Brooding and reflection: Rumination predicts suicidal ideation at 1-year follow-up in a community sample. </w:t>
      </w:r>
      <w:proofErr w:type="spellStart"/>
      <w:r w:rsidRPr="008C7FF3">
        <w:rPr>
          <w:i/>
        </w:rPr>
        <w:t>Behav</w:t>
      </w:r>
      <w:proofErr w:type="spellEnd"/>
      <w:r w:rsidRPr="008C7FF3">
        <w:rPr>
          <w:i/>
        </w:rPr>
        <w:t xml:space="preserve"> Res </w:t>
      </w:r>
      <w:proofErr w:type="spellStart"/>
      <w:r w:rsidRPr="008C7FF3">
        <w:rPr>
          <w:i/>
        </w:rPr>
        <w:t>Ther</w:t>
      </w:r>
      <w:proofErr w:type="spellEnd"/>
      <w:r w:rsidRPr="008C7FF3">
        <w:t xml:space="preserve"> 2007;</w:t>
      </w:r>
      <w:r w:rsidRPr="008C7FF3">
        <w:rPr>
          <w:b/>
        </w:rPr>
        <w:t>45</w:t>
      </w:r>
      <w:r w:rsidRPr="008C7FF3">
        <w:t xml:space="preserve">(12):3088–95. </w:t>
      </w:r>
    </w:p>
    <w:p w14:paraId="29C49175" w14:textId="77777777" w:rsidR="00E42300" w:rsidRPr="008C7FF3" w:rsidRDefault="00E42300" w:rsidP="00E42300">
      <w:pPr>
        <w:pStyle w:val="ListParagraph"/>
        <w:numPr>
          <w:ilvl w:val="0"/>
          <w:numId w:val="1"/>
        </w:numPr>
        <w:spacing w:line="480" w:lineRule="auto"/>
        <w:ind w:left="720"/>
      </w:pPr>
      <w:r w:rsidRPr="008C7FF3">
        <w:t xml:space="preserve">Miranda R, Gallagher M, </w:t>
      </w:r>
      <w:proofErr w:type="spellStart"/>
      <w:r w:rsidRPr="008C7FF3">
        <w:t>Bauchner</w:t>
      </w:r>
      <w:proofErr w:type="spellEnd"/>
      <w:r w:rsidRPr="008C7FF3">
        <w:t xml:space="preserve"> B, </w:t>
      </w:r>
      <w:proofErr w:type="spellStart"/>
      <w:r w:rsidRPr="008C7FF3">
        <w:t>Vaysman</w:t>
      </w:r>
      <w:proofErr w:type="spellEnd"/>
      <w:r w:rsidRPr="008C7FF3">
        <w:t xml:space="preserve"> R, </w:t>
      </w:r>
      <w:proofErr w:type="spellStart"/>
      <w:r w:rsidRPr="008C7FF3">
        <w:t>Marroquín</w:t>
      </w:r>
      <w:proofErr w:type="spellEnd"/>
      <w:r w:rsidRPr="008C7FF3">
        <w:t xml:space="preserve"> B. Cognitive inflexibility as a prospective predictor of suicidal ideation among young adults with a suicide attempt history. </w:t>
      </w:r>
      <w:r w:rsidRPr="008C7FF3">
        <w:rPr>
          <w:i/>
        </w:rPr>
        <w:t>Depress Anxiety</w:t>
      </w:r>
      <w:r w:rsidRPr="008C7FF3">
        <w:t xml:space="preserve"> 2012;</w:t>
      </w:r>
      <w:r w:rsidRPr="008C7FF3">
        <w:rPr>
          <w:b/>
        </w:rPr>
        <w:t>29</w:t>
      </w:r>
      <w:r w:rsidRPr="008C7FF3">
        <w:t xml:space="preserve">(3):180–6. </w:t>
      </w:r>
    </w:p>
    <w:p w14:paraId="750D00A7" w14:textId="77777777" w:rsidR="00E42300" w:rsidRPr="008C7FF3" w:rsidRDefault="00E42300" w:rsidP="00E42300">
      <w:pPr>
        <w:pStyle w:val="ListParagraph"/>
        <w:numPr>
          <w:ilvl w:val="0"/>
          <w:numId w:val="1"/>
        </w:numPr>
        <w:spacing w:line="480" w:lineRule="auto"/>
        <w:ind w:left="720"/>
      </w:pPr>
      <w:r w:rsidRPr="008C7FF3">
        <w:rPr>
          <w:rFonts w:cs="Times New Roman"/>
          <w:color w:val="222222"/>
          <w:shd w:val="clear" w:color="auto" w:fill="FFFFFF"/>
        </w:rPr>
        <w:t xml:space="preserve">Monnin, J., </w:t>
      </w:r>
      <w:proofErr w:type="spellStart"/>
      <w:r w:rsidRPr="008C7FF3">
        <w:rPr>
          <w:rFonts w:cs="Times New Roman"/>
          <w:color w:val="222222"/>
          <w:shd w:val="clear" w:color="auto" w:fill="FFFFFF"/>
        </w:rPr>
        <w:t>Thiemard</w:t>
      </w:r>
      <w:proofErr w:type="spellEnd"/>
      <w:r w:rsidRPr="008C7FF3">
        <w:rPr>
          <w:rFonts w:cs="Times New Roman"/>
          <w:color w:val="222222"/>
          <w:shd w:val="clear" w:color="auto" w:fill="FFFFFF"/>
        </w:rPr>
        <w:t xml:space="preserve">, E., </w:t>
      </w:r>
      <w:proofErr w:type="spellStart"/>
      <w:r w:rsidRPr="008C7FF3">
        <w:rPr>
          <w:rFonts w:cs="Times New Roman"/>
          <w:color w:val="222222"/>
          <w:shd w:val="clear" w:color="auto" w:fill="FFFFFF"/>
        </w:rPr>
        <w:t>Vandel</w:t>
      </w:r>
      <w:proofErr w:type="spellEnd"/>
      <w:r w:rsidRPr="008C7FF3">
        <w:rPr>
          <w:rFonts w:cs="Times New Roman"/>
          <w:color w:val="222222"/>
          <w:shd w:val="clear" w:color="auto" w:fill="FFFFFF"/>
        </w:rPr>
        <w:t xml:space="preserve">, P., </w:t>
      </w:r>
      <w:proofErr w:type="spellStart"/>
      <w:r w:rsidRPr="008C7FF3">
        <w:rPr>
          <w:rFonts w:cs="Times New Roman"/>
          <w:color w:val="222222"/>
          <w:shd w:val="clear" w:color="auto" w:fill="FFFFFF"/>
        </w:rPr>
        <w:t>Nicolier</w:t>
      </w:r>
      <w:proofErr w:type="spellEnd"/>
      <w:r w:rsidRPr="008C7FF3">
        <w:rPr>
          <w:rFonts w:cs="Times New Roman"/>
          <w:color w:val="222222"/>
          <w:shd w:val="clear" w:color="auto" w:fill="FFFFFF"/>
        </w:rPr>
        <w:t xml:space="preserve">, M., </w:t>
      </w:r>
      <w:proofErr w:type="spellStart"/>
      <w:r w:rsidRPr="008C7FF3">
        <w:rPr>
          <w:rFonts w:cs="Times New Roman"/>
          <w:color w:val="222222"/>
          <w:shd w:val="clear" w:color="auto" w:fill="FFFFFF"/>
        </w:rPr>
        <w:t>Tio</w:t>
      </w:r>
      <w:proofErr w:type="spellEnd"/>
      <w:r w:rsidRPr="008C7FF3">
        <w:rPr>
          <w:rFonts w:cs="Times New Roman"/>
          <w:color w:val="222222"/>
          <w:shd w:val="clear" w:color="auto" w:fill="FFFFFF"/>
        </w:rPr>
        <w:t xml:space="preserve">, G., </w:t>
      </w:r>
      <w:proofErr w:type="spellStart"/>
      <w:r w:rsidRPr="008C7FF3">
        <w:rPr>
          <w:rFonts w:cs="Times New Roman"/>
          <w:color w:val="222222"/>
          <w:shd w:val="clear" w:color="auto" w:fill="FFFFFF"/>
        </w:rPr>
        <w:t>Courtet</w:t>
      </w:r>
      <w:proofErr w:type="spellEnd"/>
      <w:r w:rsidRPr="008C7FF3">
        <w:rPr>
          <w:rFonts w:cs="Times New Roman"/>
          <w:color w:val="222222"/>
          <w:shd w:val="clear" w:color="auto" w:fill="FFFFFF"/>
        </w:rPr>
        <w:t xml:space="preserve">, P., ... &amp; </w:t>
      </w:r>
      <w:proofErr w:type="spellStart"/>
      <w:r w:rsidRPr="008C7FF3">
        <w:rPr>
          <w:rFonts w:cs="Times New Roman"/>
          <w:color w:val="222222"/>
          <w:shd w:val="clear" w:color="auto" w:fill="FFFFFF"/>
        </w:rPr>
        <w:t>Haffen</w:t>
      </w:r>
      <w:proofErr w:type="spellEnd"/>
      <w:r w:rsidRPr="008C7FF3">
        <w:rPr>
          <w:rFonts w:cs="Times New Roman"/>
          <w:color w:val="222222"/>
          <w:shd w:val="clear" w:color="auto" w:fill="FFFFFF"/>
        </w:rPr>
        <w:t xml:space="preserve">, E. (2012). Sociodemographic and psychopathological risk factors in repeated suicide attempts: gender differences in a prospective study. </w:t>
      </w:r>
      <w:r w:rsidRPr="008C7FF3">
        <w:rPr>
          <w:rFonts w:cs="Times New Roman"/>
          <w:i/>
          <w:iCs/>
          <w:color w:val="222222"/>
          <w:shd w:val="clear" w:color="auto" w:fill="FFFFFF"/>
        </w:rPr>
        <w:t>Journal of Affective Disorders</w:t>
      </w:r>
      <w:r w:rsidRPr="008C7FF3">
        <w:rPr>
          <w:rFonts w:cs="Times New Roman"/>
          <w:color w:val="222222"/>
          <w:shd w:val="clear" w:color="auto" w:fill="FFFFFF"/>
        </w:rPr>
        <w:t xml:space="preserve">, </w:t>
      </w:r>
      <w:r w:rsidRPr="008C7FF3">
        <w:rPr>
          <w:rFonts w:cs="Times New Roman"/>
          <w:i/>
          <w:iCs/>
          <w:color w:val="222222"/>
          <w:shd w:val="clear" w:color="auto" w:fill="FFFFFF"/>
        </w:rPr>
        <w:t>136</w:t>
      </w:r>
      <w:r w:rsidRPr="008C7FF3">
        <w:rPr>
          <w:rFonts w:cs="Times New Roman"/>
          <w:color w:val="222222"/>
          <w:shd w:val="clear" w:color="auto" w:fill="FFFFFF"/>
        </w:rPr>
        <w:t xml:space="preserve">(1), 35-43. </w:t>
      </w:r>
    </w:p>
    <w:p w14:paraId="0EDF0DFE" w14:textId="77777777" w:rsidR="00E42300" w:rsidRPr="008C7FF3" w:rsidRDefault="00E42300" w:rsidP="00E42300">
      <w:pPr>
        <w:pStyle w:val="ListParagraph"/>
        <w:numPr>
          <w:ilvl w:val="0"/>
          <w:numId w:val="1"/>
        </w:numPr>
        <w:spacing w:line="480" w:lineRule="auto"/>
        <w:ind w:left="720"/>
      </w:pPr>
      <w:r w:rsidRPr="008C7FF3">
        <w:t xml:space="preserve">Morrison R, O’Connor RC. The role of rumination, attentional biases and stress in psychological distress. </w:t>
      </w:r>
      <w:r w:rsidRPr="008C7FF3">
        <w:rPr>
          <w:i/>
        </w:rPr>
        <w:t xml:space="preserve">Br J </w:t>
      </w:r>
      <w:proofErr w:type="spellStart"/>
      <w:r w:rsidRPr="008C7FF3">
        <w:rPr>
          <w:i/>
        </w:rPr>
        <w:t>Psychol</w:t>
      </w:r>
      <w:proofErr w:type="spellEnd"/>
      <w:r w:rsidRPr="008C7FF3">
        <w:t xml:space="preserve"> 2008;</w:t>
      </w:r>
      <w:r w:rsidRPr="008C7FF3">
        <w:rPr>
          <w:b/>
        </w:rPr>
        <w:t>99</w:t>
      </w:r>
      <w:r w:rsidRPr="008C7FF3">
        <w:t xml:space="preserve">(2):191–209. </w:t>
      </w:r>
    </w:p>
    <w:p w14:paraId="1E287E8D" w14:textId="77777777" w:rsidR="00E42300" w:rsidRPr="008C7FF3" w:rsidRDefault="00E42300" w:rsidP="00E42300">
      <w:pPr>
        <w:pStyle w:val="ListParagraph"/>
        <w:numPr>
          <w:ilvl w:val="0"/>
          <w:numId w:val="1"/>
        </w:numPr>
        <w:spacing w:line="480" w:lineRule="auto"/>
        <w:ind w:left="720"/>
      </w:pPr>
      <w:proofErr w:type="spellStart"/>
      <w:r w:rsidRPr="008C7FF3">
        <w:t>Mustanski</w:t>
      </w:r>
      <w:proofErr w:type="spellEnd"/>
      <w:r w:rsidRPr="008C7FF3">
        <w:t xml:space="preserve"> B, Liu RT. A longitudinal study of predictors of suicide attempts among lesbian, gay, bisexual, and transgender youth. </w:t>
      </w:r>
      <w:r w:rsidRPr="008C7FF3">
        <w:rPr>
          <w:i/>
        </w:rPr>
        <w:t xml:space="preserve">Arch Sex </w:t>
      </w:r>
      <w:proofErr w:type="spellStart"/>
      <w:r w:rsidRPr="008C7FF3">
        <w:rPr>
          <w:i/>
        </w:rPr>
        <w:t>Behav</w:t>
      </w:r>
      <w:proofErr w:type="spellEnd"/>
      <w:r w:rsidRPr="008C7FF3">
        <w:t xml:space="preserve"> 2013;</w:t>
      </w:r>
      <w:r w:rsidRPr="008C7FF3">
        <w:rPr>
          <w:b/>
        </w:rPr>
        <w:t>42</w:t>
      </w:r>
      <w:r w:rsidRPr="008C7FF3">
        <w:t xml:space="preserve">(3):437–48. </w:t>
      </w:r>
    </w:p>
    <w:p w14:paraId="128BA052" w14:textId="77777777" w:rsidR="00E42300" w:rsidRPr="008C7FF3" w:rsidRDefault="00E42300" w:rsidP="00E42300">
      <w:pPr>
        <w:pStyle w:val="ListParagraph"/>
        <w:numPr>
          <w:ilvl w:val="0"/>
          <w:numId w:val="1"/>
        </w:numPr>
        <w:spacing w:line="480" w:lineRule="auto"/>
        <w:ind w:left="720"/>
      </w:pPr>
      <w:r w:rsidRPr="008C7FF3">
        <w:rPr>
          <w:rFonts w:hint="eastAsia"/>
        </w:rPr>
        <w:t xml:space="preserve">Nielsen B, Wang AG, </w:t>
      </w:r>
      <w:proofErr w:type="spellStart"/>
      <w:r w:rsidRPr="008C7FF3">
        <w:rPr>
          <w:rFonts w:hint="eastAsia"/>
        </w:rPr>
        <w:t>Brille</w:t>
      </w:r>
      <w:proofErr w:type="spellEnd"/>
      <w:r w:rsidRPr="008C7FF3">
        <w:rPr>
          <w:rFonts w:hint="eastAsia"/>
        </w:rPr>
        <w:t>-Brahe U. Attempted suicide in Denmark. IV. A five</w:t>
      </w:r>
      <w:r w:rsidRPr="008C7FF3">
        <w:t>-</w:t>
      </w:r>
      <w:r w:rsidRPr="008C7FF3">
        <w:rPr>
          <w:rFonts w:hint="eastAsia"/>
        </w:rPr>
        <w:t xml:space="preserve">year follow-up. </w:t>
      </w:r>
      <w:r w:rsidRPr="008C7FF3">
        <w:rPr>
          <w:rFonts w:hint="eastAsia"/>
          <w:i/>
        </w:rPr>
        <w:t xml:space="preserve">Acta </w:t>
      </w:r>
      <w:proofErr w:type="spellStart"/>
      <w:r w:rsidRPr="008C7FF3">
        <w:rPr>
          <w:rFonts w:hint="eastAsia"/>
          <w:i/>
        </w:rPr>
        <w:t>Psychiatr</w:t>
      </w:r>
      <w:proofErr w:type="spellEnd"/>
      <w:r w:rsidRPr="008C7FF3">
        <w:rPr>
          <w:rFonts w:hint="eastAsia"/>
          <w:i/>
        </w:rPr>
        <w:t xml:space="preserve"> </w:t>
      </w:r>
      <w:proofErr w:type="spellStart"/>
      <w:r w:rsidRPr="008C7FF3">
        <w:rPr>
          <w:rFonts w:hint="eastAsia"/>
          <w:i/>
        </w:rPr>
        <w:t>Scand</w:t>
      </w:r>
      <w:proofErr w:type="spellEnd"/>
      <w:r w:rsidRPr="008C7FF3">
        <w:rPr>
          <w:rFonts w:hint="eastAsia"/>
        </w:rPr>
        <w:t xml:space="preserve"> 1990;</w:t>
      </w:r>
      <w:r w:rsidRPr="008C7FF3">
        <w:rPr>
          <w:rFonts w:hint="eastAsia"/>
          <w:b/>
        </w:rPr>
        <w:t>81</w:t>
      </w:r>
      <w:r w:rsidRPr="008C7FF3">
        <w:rPr>
          <w:rFonts w:hint="eastAsia"/>
        </w:rPr>
        <w:t>(3):250</w:t>
      </w:r>
      <w:r w:rsidRPr="008C7FF3">
        <w:rPr>
          <w:rFonts w:hint="eastAsia"/>
        </w:rPr>
        <w:t>–</w:t>
      </w:r>
      <w:r w:rsidRPr="008C7FF3">
        <w:rPr>
          <w:rFonts w:hint="eastAsia"/>
        </w:rPr>
        <w:t xml:space="preserve">4. </w:t>
      </w:r>
    </w:p>
    <w:p w14:paraId="11922D01" w14:textId="77777777" w:rsidR="00E42300" w:rsidRPr="008C7FF3" w:rsidRDefault="00E42300" w:rsidP="00E42300">
      <w:pPr>
        <w:pStyle w:val="ListParagraph"/>
        <w:numPr>
          <w:ilvl w:val="0"/>
          <w:numId w:val="1"/>
        </w:numPr>
        <w:spacing w:line="480" w:lineRule="auto"/>
        <w:ind w:left="720"/>
      </w:pPr>
      <w:r w:rsidRPr="008C7FF3">
        <w:t xml:space="preserve">Nilsson SF, </w:t>
      </w:r>
      <w:proofErr w:type="spellStart"/>
      <w:r w:rsidRPr="008C7FF3">
        <w:t>Hjorthøj</w:t>
      </w:r>
      <w:proofErr w:type="spellEnd"/>
      <w:r w:rsidRPr="008C7FF3">
        <w:t xml:space="preserve"> CR, </w:t>
      </w:r>
      <w:proofErr w:type="spellStart"/>
      <w:r w:rsidRPr="008C7FF3">
        <w:t>Erlangsen</w:t>
      </w:r>
      <w:proofErr w:type="spellEnd"/>
      <w:r w:rsidRPr="008C7FF3">
        <w:t xml:space="preserve"> A, </w:t>
      </w:r>
      <w:proofErr w:type="spellStart"/>
      <w:r w:rsidRPr="008C7FF3">
        <w:t>Nordentoft</w:t>
      </w:r>
      <w:proofErr w:type="spellEnd"/>
      <w:r w:rsidRPr="008C7FF3">
        <w:t xml:space="preserve"> M. Suicide and unintentional injury mortality among homeless people: A Danish nationwide register-based cohort study. </w:t>
      </w:r>
      <w:proofErr w:type="spellStart"/>
      <w:r w:rsidRPr="008C7FF3">
        <w:rPr>
          <w:i/>
        </w:rPr>
        <w:t>Eur</w:t>
      </w:r>
      <w:proofErr w:type="spellEnd"/>
      <w:r w:rsidRPr="008C7FF3">
        <w:rPr>
          <w:i/>
        </w:rPr>
        <w:t xml:space="preserve"> J Public Health</w:t>
      </w:r>
      <w:r w:rsidRPr="008C7FF3">
        <w:t xml:space="preserve"> 2014;</w:t>
      </w:r>
      <w:r w:rsidRPr="008C7FF3">
        <w:rPr>
          <w:b/>
        </w:rPr>
        <w:t>24</w:t>
      </w:r>
      <w:r w:rsidRPr="008C7FF3">
        <w:t xml:space="preserve">(1):50–6. </w:t>
      </w:r>
    </w:p>
    <w:p w14:paraId="2FD53038"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Niméus</w:t>
      </w:r>
      <w:proofErr w:type="spellEnd"/>
      <w:r w:rsidRPr="008C7FF3">
        <w:t xml:space="preserve"> A, </w:t>
      </w:r>
      <w:proofErr w:type="spellStart"/>
      <w:r w:rsidRPr="008C7FF3">
        <w:t>Träskman-Bendz</w:t>
      </w:r>
      <w:proofErr w:type="spellEnd"/>
      <w:r w:rsidRPr="008C7FF3">
        <w:t xml:space="preserve"> L, </w:t>
      </w:r>
      <w:proofErr w:type="spellStart"/>
      <w:r w:rsidRPr="008C7FF3">
        <w:t>Alsén</w:t>
      </w:r>
      <w:proofErr w:type="spellEnd"/>
      <w:r w:rsidRPr="008C7FF3">
        <w:t xml:space="preserve"> M. Hopelessness and suicidal behavior. </w:t>
      </w:r>
      <w:r w:rsidRPr="008C7FF3">
        <w:rPr>
          <w:i/>
        </w:rPr>
        <w:t xml:space="preserve">J Affect </w:t>
      </w:r>
      <w:proofErr w:type="spellStart"/>
      <w:r w:rsidRPr="008C7FF3">
        <w:rPr>
          <w:i/>
        </w:rPr>
        <w:t>Disord</w:t>
      </w:r>
      <w:proofErr w:type="spellEnd"/>
      <w:r w:rsidRPr="008C7FF3">
        <w:t xml:space="preserve"> 1997;</w:t>
      </w:r>
      <w:r w:rsidRPr="008C7FF3">
        <w:rPr>
          <w:b/>
        </w:rPr>
        <w:t>42</w:t>
      </w:r>
      <w:r w:rsidRPr="008C7FF3">
        <w:t xml:space="preserve">(2–3):137–44. </w:t>
      </w:r>
    </w:p>
    <w:p w14:paraId="20A7984E" w14:textId="77777777" w:rsidR="00E42300" w:rsidRPr="008C7FF3" w:rsidRDefault="00E42300" w:rsidP="00E42300">
      <w:pPr>
        <w:pStyle w:val="ListParagraph"/>
        <w:numPr>
          <w:ilvl w:val="0"/>
          <w:numId w:val="1"/>
        </w:numPr>
        <w:spacing w:line="480" w:lineRule="auto"/>
        <w:ind w:left="720"/>
      </w:pPr>
      <w:proofErr w:type="spellStart"/>
      <w:r w:rsidRPr="008C7FF3">
        <w:t>Niméus</w:t>
      </w:r>
      <w:proofErr w:type="spellEnd"/>
      <w:r w:rsidRPr="008C7FF3">
        <w:t xml:space="preserve"> A, </w:t>
      </w:r>
      <w:proofErr w:type="spellStart"/>
      <w:r w:rsidRPr="008C7FF3">
        <w:t>Alsén</w:t>
      </w:r>
      <w:proofErr w:type="spellEnd"/>
      <w:r w:rsidRPr="008C7FF3">
        <w:t xml:space="preserve"> M, </w:t>
      </w:r>
      <w:proofErr w:type="spellStart"/>
      <w:r w:rsidRPr="008C7FF3">
        <w:t>Träskman-Bendz</w:t>
      </w:r>
      <w:proofErr w:type="spellEnd"/>
      <w:r w:rsidRPr="008C7FF3">
        <w:t xml:space="preserve"> L. The Suicide Assessment Scale: An instrument assessing suicide risk of suicide attempters. </w:t>
      </w:r>
      <w:proofErr w:type="spellStart"/>
      <w:r w:rsidRPr="008C7FF3">
        <w:rPr>
          <w:i/>
        </w:rPr>
        <w:t>Eur</w:t>
      </w:r>
      <w:proofErr w:type="spellEnd"/>
      <w:r w:rsidRPr="008C7FF3">
        <w:rPr>
          <w:i/>
        </w:rPr>
        <w:t xml:space="preserve"> Psychiatry</w:t>
      </w:r>
      <w:r w:rsidRPr="008C7FF3">
        <w:t xml:space="preserve"> 2000;</w:t>
      </w:r>
      <w:r w:rsidRPr="008C7FF3">
        <w:rPr>
          <w:b/>
        </w:rPr>
        <w:t>15</w:t>
      </w:r>
      <w:r w:rsidRPr="008C7FF3">
        <w:t xml:space="preserve">(7):416–23. </w:t>
      </w:r>
    </w:p>
    <w:p w14:paraId="588AB882" w14:textId="77777777" w:rsidR="00E42300" w:rsidRPr="008C7FF3" w:rsidRDefault="00E42300" w:rsidP="00E42300">
      <w:pPr>
        <w:pStyle w:val="ListParagraph"/>
        <w:numPr>
          <w:ilvl w:val="0"/>
          <w:numId w:val="1"/>
        </w:numPr>
        <w:spacing w:line="480" w:lineRule="auto"/>
        <w:ind w:left="720"/>
      </w:pPr>
      <w:proofErr w:type="spellStart"/>
      <w:r w:rsidRPr="008C7FF3">
        <w:t>Nkansah-Amankra</w:t>
      </w:r>
      <w:proofErr w:type="spellEnd"/>
      <w:r w:rsidRPr="008C7FF3">
        <w:t xml:space="preserve"> S, </w:t>
      </w:r>
      <w:proofErr w:type="spellStart"/>
      <w:r w:rsidRPr="008C7FF3">
        <w:t>Diedhiou</w:t>
      </w:r>
      <w:proofErr w:type="spellEnd"/>
      <w:r w:rsidRPr="008C7FF3">
        <w:t xml:space="preserve"> A, </w:t>
      </w:r>
      <w:proofErr w:type="spellStart"/>
      <w:r w:rsidRPr="008C7FF3">
        <w:t>Agbanu</w:t>
      </w:r>
      <w:proofErr w:type="spellEnd"/>
      <w:r w:rsidRPr="008C7FF3">
        <w:t xml:space="preserve"> SK, </w:t>
      </w:r>
      <w:proofErr w:type="spellStart"/>
      <w:r w:rsidRPr="008C7FF3">
        <w:t>Agbanu</w:t>
      </w:r>
      <w:proofErr w:type="spellEnd"/>
      <w:r w:rsidRPr="008C7FF3">
        <w:t xml:space="preserve"> HLK, Opoku-Adomako NS, </w:t>
      </w:r>
      <w:proofErr w:type="spellStart"/>
      <w:r w:rsidRPr="008C7FF3">
        <w:t>Twumasi-Ankrah</w:t>
      </w:r>
      <w:proofErr w:type="spellEnd"/>
      <w:r w:rsidRPr="008C7FF3">
        <w:t xml:space="preserve"> P. A longitudinal evaluation of religiosity and psychosocial determinants of suicidal behaviors among a population-based sample in the United States. </w:t>
      </w:r>
      <w:r w:rsidRPr="008C7FF3">
        <w:rPr>
          <w:i/>
        </w:rPr>
        <w:t xml:space="preserve">J Affect </w:t>
      </w:r>
      <w:proofErr w:type="spellStart"/>
      <w:r w:rsidRPr="008C7FF3">
        <w:rPr>
          <w:i/>
        </w:rPr>
        <w:t>Disord</w:t>
      </w:r>
      <w:proofErr w:type="spellEnd"/>
      <w:r w:rsidRPr="008C7FF3">
        <w:t xml:space="preserve"> 2012;</w:t>
      </w:r>
      <w:r w:rsidRPr="008C7FF3">
        <w:rPr>
          <w:b/>
        </w:rPr>
        <w:t>139</w:t>
      </w:r>
      <w:r w:rsidRPr="008C7FF3">
        <w:t xml:space="preserve">(1):40–51. </w:t>
      </w:r>
    </w:p>
    <w:p w14:paraId="5CD53AB3" w14:textId="77777777" w:rsidR="00E42300" w:rsidRPr="008C7FF3" w:rsidRDefault="00E42300" w:rsidP="00E42300">
      <w:pPr>
        <w:pStyle w:val="ListParagraph"/>
        <w:numPr>
          <w:ilvl w:val="0"/>
          <w:numId w:val="1"/>
        </w:numPr>
        <w:spacing w:line="480" w:lineRule="auto"/>
        <w:ind w:left="720"/>
      </w:pPr>
      <w:r w:rsidRPr="008C7FF3">
        <w:t xml:space="preserve">Nock MK, </w:t>
      </w:r>
      <w:proofErr w:type="spellStart"/>
      <w:r w:rsidRPr="008C7FF3">
        <w:t>Banaji</w:t>
      </w:r>
      <w:proofErr w:type="spellEnd"/>
      <w:r w:rsidRPr="008C7FF3">
        <w:t xml:space="preserve"> MR. Prediction of suicide ideation and attempts among adolescents using a brief performance-based test. </w:t>
      </w:r>
      <w:r w:rsidRPr="008C7FF3">
        <w:rPr>
          <w:i/>
        </w:rPr>
        <w:t xml:space="preserve">J Consult </w:t>
      </w:r>
      <w:proofErr w:type="spellStart"/>
      <w:r w:rsidRPr="008C7FF3">
        <w:rPr>
          <w:i/>
        </w:rPr>
        <w:t>Clin</w:t>
      </w:r>
      <w:proofErr w:type="spellEnd"/>
      <w:r w:rsidRPr="008C7FF3">
        <w:rPr>
          <w:i/>
        </w:rPr>
        <w:t xml:space="preserve"> </w:t>
      </w:r>
      <w:proofErr w:type="spellStart"/>
      <w:r w:rsidRPr="008C7FF3">
        <w:rPr>
          <w:i/>
        </w:rPr>
        <w:t>Psychol</w:t>
      </w:r>
      <w:proofErr w:type="spellEnd"/>
      <w:r w:rsidRPr="008C7FF3">
        <w:t xml:space="preserve"> 2007;</w:t>
      </w:r>
      <w:r w:rsidRPr="008C7FF3">
        <w:rPr>
          <w:b/>
        </w:rPr>
        <w:t>75</w:t>
      </w:r>
      <w:r w:rsidRPr="008C7FF3">
        <w:t xml:space="preserve">(5):707–15. </w:t>
      </w:r>
    </w:p>
    <w:p w14:paraId="7B39DF4F" w14:textId="77777777" w:rsidR="00E42300" w:rsidRPr="008C7FF3" w:rsidRDefault="00E42300" w:rsidP="00E42300">
      <w:pPr>
        <w:pStyle w:val="ListParagraph"/>
        <w:numPr>
          <w:ilvl w:val="0"/>
          <w:numId w:val="1"/>
        </w:numPr>
        <w:spacing w:line="480" w:lineRule="auto"/>
        <w:ind w:left="720"/>
      </w:pPr>
      <w:r w:rsidRPr="008C7FF3">
        <w:t xml:space="preserve">Nock MK, Park JM, Finn CT, </w:t>
      </w:r>
      <w:proofErr w:type="spellStart"/>
      <w:r w:rsidRPr="008C7FF3">
        <w:t>Deliberto</w:t>
      </w:r>
      <w:proofErr w:type="spellEnd"/>
      <w:r w:rsidRPr="008C7FF3">
        <w:t xml:space="preserve"> TL, Dour HJ, </w:t>
      </w:r>
      <w:proofErr w:type="spellStart"/>
      <w:r w:rsidRPr="008C7FF3">
        <w:t>Banaji</w:t>
      </w:r>
      <w:proofErr w:type="spellEnd"/>
      <w:r w:rsidRPr="008C7FF3">
        <w:t xml:space="preserve"> MR. Measuring the suicidal mind. </w:t>
      </w:r>
      <w:proofErr w:type="spellStart"/>
      <w:r w:rsidRPr="008C7FF3">
        <w:rPr>
          <w:i/>
        </w:rPr>
        <w:t>Psychol</w:t>
      </w:r>
      <w:proofErr w:type="spellEnd"/>
      <w:r w:rsidRPr="008C7FF3">
        <w:rPr>
          <w:i/>
        </w:rPr>
        <w:t xml:space="preserve"> Sci</w:t>
      </w:r>
      <w:r w:rsidRPr="008C7FF3">
        <w:t xml:space="preserve"> 2010;</w:t>
      </w:r>
      <w:r w:rsidRPr="008C7FF3">
        <w:rPr>
          <w:b/>
        </w:rPr>
        <w:t>21</w:t>
      </w:r>
      <w:r w:rsidRPr="008C7FF3">
        <w:t xml:space="preserve">(4):511–7. </w:t>
      </w:r>
    </w:p>
    <w:p w14:paraId="7638C452" w14:textId="77777777" w:rsidR="00E42300" w:rsidRPr="008C7FF3" w:rsidRDefault="00E42300" w:rsidP="00E42300">
      <w:pPr>
        <w:pStyle w:val="ListParagraph"/>
        <w:numPr>
          <w:ilvl w:val="0"/>
          <w:numId w:val="1"/>
        </w:numPr>
        <w:spacing w:line="480" w:lineRule="auto"/>
        <w:ind w:left="720"/>
      </w:pPr>
      <w:proofErr w:type="spellStart"/>
      <w:r w:rsidRPr="008C7FF3">
        <w:t>Nordentoft</w:t>
      </w:r>
      <w:proofErr w:type="spellEnd"/>
      <w:r w:rsidRPr="008C7FF3">
        <w:t xml:space="preserve"> M, Jeppesen P, Abel M, </w:t>
      </w:r>
      <w:proofErr w:type="spellStart"/>
      <w:r w:rsidRPr="008C7FF3">
        <w:t>Kassow</w:t>
      </w:r>
      <w:proofErr w:type="spellEnd"/>
      <w:r w:rsidRPr="008C7FF3">
        <w:t xml:space="preserve"> P, Petersen L, </w:t>
      </w:r>
      <w:proofErr w:type="spellStart"/>
      <w:r w:rsidRPr="008C7FF3">
        <w:t>Thorup</w:t>
      </w:r>
      <w:proofErr w:type="spellEnd"/>
      <w:r w:rsidRPr="008C7FF3">
        <w:t xml:space="preserve"> A, et al. OPUS study: suicidal </w:t>
      </w:r>
      <w:proofErr w:type="spellStart"/>
      <w:r w:rsidRPr="008C7FF3">
        <w:t>behaviour</w:t>
      </w:r>
      <w:proofErr w:type="spellEnd"/>
      <w:r w:rsidRPr="008C7FF3">
        <w:t xml:space="preserve">, suicidal ideation and hopelessness among patients with first-episode psychosis: One-year follow-up of a </w:t>
      </w:r>
      <w:proofErr w:type="spellStart"/>
      <w:r w:rsidRPr="008C7FF3">
        <w:t>randomised</w:t>
      </w:r>
      <w:proofErr w:type="spellEnd"/>
      <w:r w:rsidRPr="008C7FF3">
        <w:t xml:space="preserve"> controlled trial. </w:t>
      </w:r>
      <w:r w:rsidRPr="008C7FF3">
        <w:rPr>
          <w:i/>
        </w:rPr>
        <w:t>Br J Psychiatry</w:t>
      </w:r>
      <w:r w:rsidRPr="008C7FF3">
        <w:t xml:space="preserve"> 2002;</w:t>
      </w:r>
      <w:r w:rsidRPr="008C7FF3">
        <w:rPr>
          <w:b/>
        </w:rPr>
        <w:t>181</w:t>
      </w:r>
      <w:r w:rsidRPr="008C7FF3">
        <w:t>(suppl43</w:t>
      </w:r>
      <w:proofErr w:type="gramStart"/>
      <w:r w:rsidRPr="008C7FF3">
        <w:t>):s</w:t>
      </w:r>
      <w:proofErr w:type="gramEnd"/>
      <w:r w:rsidRPr="008C7FF3">
        <w:t xml:space="preserve">98–106. </w:t>
      </w:r>
    </w:p>
    <w:p w14:paraId="7AD069E8" w14:textId="77777777" w:rsidR="00E42300" w:rsidRPr="008C7FF3" w:rsidRDefault="00E42300" w:rsidP="00E42300">
      <w:pPr>
        <w:pStyle w:val="ListParagraph"/>
        <w:numPr>
          <w:ilvl w:val="0"/>
          <w:numId w:val="1"/>
        </w:numPr>
        <w:spacing w:line="480" w:lineRule="auto"/>
        <w:ind w:left="720"/>
      </w:pPr>
      <w:proofErr w:type="spellStart"/>
      <w:r w:rsidRPr="008C7FF3">
        <w:t>Nordentoft</w:t>
      </w:r>
      <w:proofErr w:type="spellEnd"/>
      <w:r w:rsidRPr="008C7FF3">
        <w:t xml:space="preserve">, M., Mortensen PB. PC. Absolute risk of suicide after first hospital contact in mental disorder. </w:t>
      </w:r>
      <w:r w:rsidRPr="008C7FF3">
        <w:rPr>
          <w:i/>
        </w:rPr>
        <w:t>Arch Gen Psychiatry</w:t>
      </w:r>
      <w:r w:rsidRPr="008C7FF3">
        <w:t xml:space="preserve"> 2011;</w:t>
      </w:r>
      <w:r w:rsidRPr="008C7FF3">
        <w:rPr>
          <w:b/>
        </w:rPr>
        <w:t>68</w:t>
      </w:r>
      <w:r w:rsidRPr="008C7FF3">
        <w:t xml:space="preserve">(10):1058–64. </w:t>
      </w:r>
    </w:p>
    <w:p w14:paraId="287BEDAE" w14:textId="77777777" w:rsidR="00E42300" w:rsidRPr="008C7FF3" w:rsidRDefault="00E42300" w:rsidP="00E42300">
      <w:pPr>
        <w:pStyle w:val="ListParagraph"/>
        <w:numPr>
          <w:ilvl w:val="0"/>
          <w:numId w:val="1"/>
        </w:numPr>
        <w:spacing w:line="480" w:lineRule="auto"/>
        <w:ind w:left="720"/>
      </w:pPr>
      <w:proofErr w:type="spellStart"/>
      <w:r w:rsidRPr="008C7FF3">
        <w:t>Nordström</w:t>
      </w:r>
      <w:proofErr w:type="spellEnd"/>
      <w:r w:rsidRPr="008C7FF3">
        <w:t xml:space="preserve"> P, </w:t>
      </w:r>
      <w:proofErr w:type="spellStart"/>
      <w:r w:rsidRPr="008C7FF3">
        <w:t>Gustavsson</w:t>
      </w:r>
      <w:proofErr w:type="spellEnd"/>
      <w:r w:rsidRPr="008C7FF3">
        <w:t xml:space="preserve"> P, Edman G, </w:t>
      </w:r>
      <w:proofErr w:type="spellStart"/>
      <w:r w:rsidRPr="008C7FF3">
        <w:t>Asberg</w:t>
      </w:r>
      <w:proofErr w:type="spellEnd"/>
      <w:r w:rsidRPr="008C7FF3">
        <w:t xml:space="preserve"> M. Temperamental vulnerability and suicide risk after attempted suicide. </w:t>
      </w:r>
      <w:r w:rsidRPr="008C7FF3">
        <w:rPr>
          <w:i/>
        </w:rPr>
        <w:t xml:space="preserve">Suicide Life-Threat </w:t>
      </w:r>
      <w:proofErr w:type="spellStart"/>
      <w:r w:rsidRPr="008C7FF3">
        <w:rPr>
          <w:i/>
        </w:rPr>
        <w:t>Behav</w:t>
      </w:r>
      <w:proofErr w:type="spellEnd"/>
      <w:r w:rsidRPr="008C7FF3">
        <w:t xml:space="preserve"> 1996;</w:t>
      </w:r>
      <w:r w:rsidRPr="008C7FF3">
        <w:rPr>
          <w:b/>
        </w:rPr>
        <w:t>26</w:t>
      </w:r>
      <w:r w:rsidRPr="008C7FF3">
        <w:t xml:space="preserve">(4):380–94. </w:t>
      </w:r>
    </w:p>
    <w:p w14:paraId="355A048D" w14:textId="77777777" w:rsidR="00E42300" w:rsidRPr="008C7FF3" w:rsidRDefault="00E42300" w:rsidP="00E42300">
      <w:pPr>
        <w:pStyle w:val="ListParagraph"/>
        <w:numPr>
          <w:ilvl w:val="0"/>
          <w:numId w:val="1"/>
        </w:numPr>
        <w:spacing w:line="480" w:lineRule="auto"/>
        <w:ind w:left="720"/>
      </w:pPr>
      <w:proofErr w:type="spellStart"/>
      <w:r w:rsidRPr="008C7FF3">
        <w:t>Nrugham</w:t>
      </w:r>
      <w:proofErr w:type="spellEnd"/>
      <w:r w:rsidRPr="008C7FF3">
        <w:t xml:space="preserve"> L, </w:t>
      </w:r>
      <w:proofErr w:type="spellStart"/>
      <w:r w:rsidRPr="008C7FF3">
        <w:t>Holen</w:t>
      </w:r>
      <w:proofErr w:type="spellEnd"/>
      <w:r w:rsidRPr="008C7FF3">
        <w:t xml:space="preserve"> A, </w:t>
      </w:r>
      <w:proofErr w:type="spellStart"/>
      <w:r w:rsidRPr="008C7FF3">
        <w:t>Sund</w:t>
      </w:r>
      <w:proofErr w:type="spellEnd"/>
      <w:r w:rsidRPr="008C7FF3">
        <w:t xml:space="preserve"> AM. Suicide attempters and repeaters: Depression and coping. </w:t>
      </w:r>
      <w:r w:rsidRPr="008C7FF3">
        <w:rPr>
          <w:i/>
        </w:rPr>
        <w:t xml:space="preserve">J </w:t>
      </w:r>
      <w:proofErr w:type="spellStart"/>
      <w:r w:rsidRPr="008C7FF3">
        <w:rPr>
          <w:i/>
        </w:rPr>
        <w:t>Nerv</w:t>
      </w:r>
      <w:proofErr w:type="spellEnd"/>
      <w:r w:rsidRPr="008C7FF3">
        <w:rPr>
          <w:i/>
        </w:rPr>
        <w:t xml:space="preserve"> </w:t>
      </w:r>
      <w:proofErr w:type="spellStart"/>
      <w:r w:rsidRPr="008C7FF3">
        <w:rPr>
          <w:i/>
        </w:rPr>
        <w:t>Ment</w:t>
      </w:r>
      <w:proofErr w:type="spellEnd"/>
      <w:r w:rsidRPr="008C7FF3">
        <w:rPr>
          <w:i/>
        </w:rPr>
        <w:t xml:space="preserve"> Dis</w:t>
      </w:r>
      <w:r w:rsidRPr="008C7FF3">
        <w:t xml:space="preserve"> 2012;</w:t>
      </w:r>
      <w:r w:rsidRPr="008C7FF3">
        <w:rPr>
          <w:b/>
        </w:rPr>
        <w:t>200</w:t>
      </w:r>
      <w:r w:rsidRPr="008C7FF3">
        <w:t xml:space="preserve">(3):197–203. </w:t>
      </w:r>
    </w:p>
    <w:p w14:paraId="596D74FB" w14:textId="77777777" w:rsidR="00E42300" w:rsidRPr="008C7FF3" w:rsidRDefault="00E42300" w:rsidP="00E42300">
      <w:pPr>
        <w:pStyle w:val="ListParagraph"/>
        <w:numPr>
          <w:ilvl w:val="0"/>
          <w:numId w:val="1"/>
        </w:numPr>
        <w:spacing w:line="480" w:lineRule="auto"/>
        <w:ind w:left="720"/>
      </w:pPr>
      <w:r w:rsidRPr="008C7FF3">
        <w:rPr>
          <w:rFonts w:cs="Times New Roman"/>
          <w:color w:val="222222"/>
          <w:shd w:val="clear" w:color="auto" w:fill="FFFFFF"/>
        </w:rPr>
        <w:lastRenderedPageBreak/>
        <w:t xml:space="preserve">O’Connor, R. C., &amp; Noyce, R. (2008). Personality and cognitive processes: Self-criticism and different types of rumination as predictors of suicidal ideation. </w:t>
      </w:r>
      <w:proofErr w:type="spellStart"/>
      <w:r w:rsidRPr="008C7FF3">
        <w:rPr>
          <w:rFonts w:cs="Times New Roman"/>
          <w:i/>
          <w:iCs/>
          <w:color w:val="222222"/>
          <w:shd w:val="clear" w:color="auto" w:fill="FFFFFF"/>
        </w:rPr>
        <w:t>Behaviour</w:t>
      </w:r>
      <w:proofErr w:type="spellEnd"/>
      <w:r w:rsidRPr="008C7FF3">
        <w:rPr>
          <w:rFonts w:cs="Times New Roman"/>
          <w:i/>
          <w:iCs/>
          <w:color w:val="222222"/>
          <w:shd w:val="clear" w:color="auto" w:fill="FFFFFF"/>
        </w:rPr>
        <w:t xml:space="preserve"> Research and Therapy</w:t>
      </w:r>
      <w:r w:rsidRPr="008C7FF3">
        <w:rPr>
          <w:rFonts w:cs="Times New Roman"/>
          <w:color w:val="222222"/>
          <w:shd w:val="clear" w:color="auto" w:fill="FFFFFF"/>
        </w:rPr>
        <w:t xml:space="preserve">, </w:t>
      </w:r>
      <w:r w:rsidRPr="008C7FF3">
        <w:rPr>
          <w:rFonts w:cs="Times New Roman"/>
          <w:i/>
          <w:iCs/>
          <w:color w:val="222222"/>
          <w:shd w:val="clear" w:color="auto" w:fill="FFFFFF"/>
        </w:rPr>
        <w:t>46</w:t>
      </w:r>
      <w:r w:rsidRPr="008C7FF3">
        <w:rPr>
          <w:rFonts w:cs="Times New Roman"/>
          <w:color w:val="222222"/>
          <w:shd w:val="clear" w:color="auto" w:fill="FFFFFF"/>
        </w:rPr>
        <w:t xml:space="preserve">(3), 392-401. </w:t>
      </w:r>
    </w:p>
    <w:p w14:paraId="572DA044" w14:textId="77777777" w:rsidR="00E42300" w:rsidRPr="008C7FF3" w:rsidRDefault="00E42300" w:rsidP="00E42300">
      <w:pPr>
        <w:pStyle w:val="ListParagraph"/>
        <w:numPr>
          <w:ilvl w:val="0"/>
          <w:numId w:val="1"/>
        </w:numPr>
        <w:spacing w:line="480" w:lineRule="auto"/>
        <w:ind w:left="720"/>
      </w:pPr>
      <w:r w:rsidRPr="008C7FF3">
        <w:t xml:space="preserve">O’Connor RC, Smyth R, Ferguson E, Ryan C, Williams JMG. Psychological processes and repeat suicidal behavior: A four-year prospective study. </w:t>
      </w:r>
      <w:r w:rsidRPr="008C7FF3">
        <w:rPr>
          <w:i/>
        </w:rPr>
        <w:t xml:space="preserve">J Consult </w:t>
      </w:r>
      <w:proofErr w:type="spellStart"/>
      <w:r w:rsidRPr="008C7FF3">
        <w:rPr>
          <w:i/>
        </w:rPr>
        <w:t>Clin</w:t>
      </w:r>
      <w:proofErr w:type="spellEnd"/>
      <w:r w:rsidRPr="008C7FF3">
        <w:rPr>
          <w:i/>
        </w:rPr>
        <w:t xml:space="preserve"> </w:t>
      </w:r>
      <w:proofErr w:type="spellStart"/>
      <w:r w:rsidRPr="008C7FF3">
        <w:rPr>
          <w:i/>
        </w:rPr>
        <w:t>Psychol</w:t>
      </w:r>
      <w:proofErr w:type="spellEnd"/>
      <w:r w:rsidRPr="008C7FF3">
        <w:t xml:space="preserve"> 2013;</w:t>
      </w:r>
      <w:r w:rsidRPr="008C7FF3">
        <w:rPr>
          <w:b/>
        </w:rPr>
        <w:t>81</w:t>
      </w:r>
      <w:r w:rsidRPr="008C7FF3">
        <w:t xml:space="preserve">(6):1137–43. </w:t>
      </w:r>
    </w:p>
    <w:p w14:paraId="0C6A3DCD" w14:textId="77777777" w:rsidR="00E42300" w:rsidRPr="008C7FF3" w:rsidRDefault="00E42300" w:rsidP="00E42300">
      <w:pPr>
        <w:pStyle w:val="ListParagraph"/>
        <w:numPr>
          <w:ilvl w:val="0"/>
          <w:numId w:val="1"/>
        </w:numPr>
        <w:spacing w:line="480" w:lineRule="auto"/>
        <w:ind w:left="720"/>
      </w:pPr>
      <w:proofErr w:type="spellStart"/>
      <w:r w:rsidRPr="008C7FF3">
        <w:t>Oquendo</w:t>
      </w:r>
      <w:proofErr w:type="spellEnd"/>
      <w:r w:rsidRPr="008C7FF3">
        <w:t xml:space="preserve"> M a, </w:t>
      </w:r>
      <w:proofErr w:type="spellStart"/>
      <w:r w:rsidRPr="008C7FF3">
        <w:t>Bongiovi</w:t>
      </w:r>
      <w:proofErr w:type="spellEnd"/>
      <w:r w:rsidRPr="008C7FF3">
        <w:t xml:space="preserve">-Garcia ME, </w:t>
      </w:r>
      <w:proofErr w:type="spellStart"/>
      <w:r w:rsidRPr="008C7FF3">
        <w:t>Galfalvy</w:t>
      </w:r>
      <w:proofErr w:type="spellEnd"/>
      <w:r w:rsidRPr="008C7FF3">
        <w:t xml:space="preserve"> H, Goldberg PH, </w:t>
      </w:r>
      <w:proofErr w:type="spellStart"/>
      <w:r w:rsidRPr="008C7FF3">
        <w:t>Grunebaum</w:t>
      </w:r>
      <w:proofErr w:type="spellEnd"/>
      <w:r w:rsidRPr="008C7FF3">
        <w:t xml:space="preserve"> MF, Burke AK, et al. Sex differences in clinical predictors of suicidal acts after major depression: a prospective study. </w:t>
      </w:r>
      <w:r w:rsidRPr="008C7FF3">
        <w:rPr>
          <w:i/>
        </w:rPr>
        <w:t>Am J Psychiatry</w:t>
      </w:r>
      <w:r w:rsidRPr="008C7FF3">
        <w:t xml:space="preserve"> 2007;</w:t>
      </w:r>
      <w:r w:rsidRPr="008C7FF3">
        <w:rPr>
          <w:b/>
        </w:rPr>
        <w:t>164</w:t>
      </w:r>
      <w:r w:rsidRPr="008C7FF3">
        <w:t xml:space="preserve">(1):134–41. </w:t>
      </w:r>
    </w:p>
    <w:p w14:paraId="62D1A6EE" w14:textId="77777777" w:rsidR="00E42300" w:rsidRPr="008C7FF3" w:rsidRDefault="00E42300" w:rsidP="00E42300">
      <w:pPr>
        <w:pStyle w:val="ListParagraph"/>
        <w:numPr>
          <w:ilvl w:val="0"/>
          <w:numId w:val="1"/>
        </w:numPr>
        <w:spacing w:line="480" w:lineRule="auto"/>
        <w:ind w:left="720"/>
      </w:pPr>
      <w:proofErr w:type="spellStart"/>
      <w:r w:rsidRPr="008C7FF3">
        <w:t>Paerregaard</w:t>
      </w:r>
      <w:proofErr w:type="spellEnd"/>
      <w:r w:rsidRPr="008C7FF3">
        <w:t xml:space="preserve"> G. Suicide among attempted suicides. </w:t>
      </w:r>
      <w:r w:rsidRPr="008C7FF3">
        <w:rPr>
          <w:i/>
        </w:rPr>
        <w:t xml:space="preserve">Suicide Life-Threat </w:t>
      </w:r>
      <w:proofErr w:type="spellStart"/>
      <w:r w:rsidRPr="008C7FF3">
        <w:rPr>
          <w:i/>
        </w:rPr>
        <w:t>Behav</w:t>
      </w:r>
      <w:proofErr w:type="spellEnd"/>
      <w:r w:rsidRPr="008C7FF3">
        <w:t xml:space="preserve"> 1975;</w:t>
      </w:r>
      <w:r w:rsidRPr="008C7FF3">
        <w:rPr>
          <w:b/>
        </w:rPr>
        <w:t>5</w:t>
      </w:r>
      <w:r w:rsidRPr="008C7FF3">
        <w:t xml:space="preserve">(3):140–4. </w:t>
      </w:r>
    </w:p>
    <w:p w14:paraId="1FFDE0EA" w14:textId="77777777" w:rsidR="00E42300" w:rsidRPr="008C7FF3" w:rsidRDefault="00E42300" w:rsidP="00E42300">
      <w:pPr>
        <w:pStyle w:val="ListParagraph"/>
        <w:numPr>
          <w:ilvl w:val="0"/>
          <w:numId w:val="1"/>
        </w:numPr>
        <w:spacing w:line="480" w:lineRule="auto"/>
        <w:ind w:left="720"/>
      </w:pPr>
      <w:r w:rsidRPr="008C7FF3">
        <w:t xml:space="preserve">Perlis RH, Beasley CM, Wines JD, Tamura RN, </w:t>
      </w:r>
      <w:proofErr w:type="spellStart"/>
      <w:r w:rsidRPr="008C7FF3">
        <w:t>Cusin</w:t>
      </w:r>
      <w:proofErr w:type="spellEnd"/>
      <w:r w:rsidRPr="008C7FF3">
        <w:t xml:space="preserve"> C, Shear D, et al. Treatment-associated suicidal ideation and adverse effects in an open, multicenter trial of fluoxetine for major depressive episodes. </w:t>
      </w:r>
      <w:proofErr w:type="spellStart"/>
      <w:r w:rsidRPr="008C7FF3">
        <w:rPr>
          <w:i/>
        </w:rPr>
        <w:t>Psychother</w:t>
      </w:r>
      <w:proofErr w:type="spellEnd"/>
      <w:r w:rsidRPr="008C7FF3">
        <w:rPr>
          <w:i/>
        </w:rPr>
        <w:t xml:space="preserve"> </w:t>
      </w:r>
      <w:proofErr w:type="spellStart"/>
      <w:r w:rsidRPr="008C7FF3">
        <w:rPr>
          <w:i/>
        </w:rPr>
        <w:t>Psychosom</w:t>
      </w:r>
      <w:proofErr w:type="spellEnd"/>
      <w:r w:rsidRPr="008C7FF3">
        <w:t xml:space="preserve"> 2006;</w:t>
      </w:r>
      <w:r w:rsidRPr="008C7FF3">
        <w:rPr>
          <w:b/>
        </w:rPr>
        <w:t>76</w:t>
      </w:r>
      <w:r w:rsidRPr="008C7FF3">
        <w:t xml:space="preserve">(1):40–6. </w:t>
      </w:r>
    </w:p>
    <w:p w14:paraId="69AA2C6C" w14:textId="77777777" w:rsidR="00E42300" w:rsidRPr="008C7FF3" w:rsidRDefault="00E42300" w:rsidP="00E42300">
      <w:pPr>
        <w:pStyle w:val="ListParagraph"/>
        <w:numPr>
          <w:ilvl w:val="0"/>
          <w:numId w:val="1"/>
        </w:numPr>
        <w:spacing w:line="480" w:lineRule="auto"/>
        <w:ind w:left="720"/>
      </w:pPr>
      <w:r w:rsidRPr="008C7FF3">
        <w:t xml:space="preserve">Rabinovitch SM, Kerr DCR, Leve LD, Chamberlain P. Suicidal behavior outcomes of childhood sexual abuse: Longitudinal study of adjudicated girls. </w:t>
      </w:r>
      <w:r w:rsidRPr="008C7FF3">
        <w:rPr>
          <w:i/>
        </w:rPr>
        <w:t xml:space="preserve">Suicide Life-Threat </w:t>
      </w:r>
      <w:proofErr w:type="spellStart"/>
      <w:r w:rsidRPr="008C7FF3">
        <w:rPr>
          <w:i/>
        </w:rPr>
        <w:t>Behav</w:t>
      </w:r>
      <w:proofErr w:type="spellEnd"/>
      <w:r w:rsidRPr="008C7FF3">
        <w:t xml:space="preserve"> 2015;</w:t>
      </w:r>
      <w:r w:rsidRPr="008C7FF3">
        <w:rPr>
          <w:b/>
        </w:rPr>
        <w:t>45</w:t>
      </w:r>
      <w:r w:rsidRPr="008C7FF3">
        <w:t>(4):431–47.</w:t>
      </w:r>
    </w:p>
    <w:p w14:paraId="40772D03" w14:textId="77777777" w:rsidR="00E42300" w:rsidRPr="008C7FF3" w:rsidRDefault="00E42300" w:rsidP="00E42300">
      <w:pPr>
        <w:pStyle w:val="ListParagraph"/>
        <w:numPr>
          <w:ilvl w:val="0"/>
          <w:numId w:val="1"/>
        </w:numPr>
        <w:spacing w:line="480" w:lineRule="auto"/>
        <w:ind w:left="720"/>
      </w:pPr>
      <w:proofErr w:type="spellStart"/>
      <w:r w:rsidRPr="008C7FF3">
        <w:t>Ramchand</w:t>
      </w:r>
      <w:proofErr w:type="spellEnd"/>
      <w:r w:rsidRPr="008C7FF3">
        <w:t xml:space="preserve"> R, Griffin BA, Harris KM, McCaffrey DF, </w:t>
      </w:r>
      <w:proofErr w:type="spellStart"/>
      <w:r w:rsidRPr="008C7FF3">
        <w:t>Morral</w:t>
      </w:r>
      <w:proofErr w:type="spellEnd"/>
      <w:r w:rsidRPr="008C7FF3">
        <w:t xml:space="preserve"> AR. A prospective investigation of suicide ideation, attempts, and use of mental health service among adolescents in substance abuse treatment. </w:t>
      </w:r>
      <w:proofErr w:type="spellStart"/>
      <w:r w:rsidRPr="008C7FF3">
        <w:rPr>
          <w:i/>
        </w:rPr>
        <w:t>Psychol</w:t>
      </w:r>
      <w:proofErr w:type="spellEnd"/>
      <w:r w:rsidRPr="008C7FF3">
        <w:rPr>
          <w:i/>
        </w:rPr>
        <w:t xml:space="preserve"> Addict </w:t>
      </w:r>
      <w:proofErr w:type="spellStart"/>
      <w:r w:rsidRPr="008C7FF3">
        <w:rPr>
          <w:i/>
        </w:rPr>
        <w:t>Behav</w:t>
      </w:r>
      <w:proofErr w:type="spellEnd"/>
      <w:r w:rsidRPr="008C7FF3">
        <w:t xml:space="preserve"> 2008;</w:t>
      </w:r>
      <w:r w:rsidRPr="008C7FF3">
        <w:rPr>
          <w:b/>
        </w:rPr>
        <w:t>22</w:t>
      </w:r>
      <w:r w:rsidRPr="008C7FF3">
        <w:t xml:space="preserve">(4):524–32. </w:t>
      </w:r>
    </w:p>
    <w:p w14:paraId="370696A5" w14:textId="77777777" w:rsidR="00E42300" w:rsidRPr="008C7FF3" w:rsidRDefault="00E42300" w:rsidP="00E42300">
      <w:pPr>
        <w:pStyle w:val="ListParagraph"/>
        <w:numPr>
          <w:ilvl w:val="0"/>
          <w:numId w:val="1"/>
        </w:numPr>
        <w:spacing w:line="480" w:lineRule="auto"/>
        <w:ind w:left="720"/>
      </w:pPr>
      <w:r w:rsidRPr="008C7FF3">
        <w:t xml:space="preserve">Rao, U., Weissman MM., Martin JA., Hammond R. Childhood depression and risk of suicide: a preliminary report of a longitudinal study.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1993;</w:t>
      </w:r>
      <w:r w:rsidRPr="008C7FF3">
        <w:rPr>
          <w:b/>
        </w:rPr>
        <w:t>32</w:t>
      </w:r>
      <w:r w:rsidRPr="008C7FF3">
        <w:t xml:space="preserve">(1):21–7. </w:t>
      </w:r>
    </w:p>
    <w:p w14:paraId="12CE0785"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Reinherz</w:t>
      </w:r>
      <w:proofErr w:type="spellEnd"/>
      <w:r w:rsidRPr="008C7FF3">
        <w:t xml:space="preserve"> HZ, </w:t>
      </w:r>
      <w:proofErr w:type="spellStart"/>
      <w:r w:rsidRPr="008C7FF3">
        <w:t>Giaconia</w:t>
      </w:r>
      <w:proofErr w:type="spellEnd"/>
      <w:r w:rsidRPr="008C7FF3">
        <w:t xml:space="preserve"> RM, Silverman AB, Friedman A, </w:t>
      </w:r>
      <w:proofErr w:type="spellStart"/>
      <w:r w:rsidRPr="008C7FF3">
        <w:t>Pakiz</w:t>
      </w:r>
      <w:proofErr w:type="spellEnd"/>
      <w:r w:rsidRPr="008C7FF3">
        <w:t xml:space="preserve"> B, Frost AK, et al. Early psychosocial risks for adolescent suicidal ideation and attempts.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1995;</w:t>
      </w:r>
      <w:r w:rsidRPr="008C7FF3">
        <w:rPr>
          <w:b/>
        </w:rPr>
        <w:t>34</w:t>
      </w:r>
      <w:r w:rsidRPr="008C7FF3">
        <w:t>(5):599–611.</w:t>
      </w:r>
    </w:p>
    <w:p w14:paraId="0503290D" w14:textId="77777777" w:rsidR="00E42300" w:rsidRPr="008C7FF3" w:rsidRDefault="00E42300" w:rsidP="00E42300">
      <w:pPr>
        <w:pStyle w:val="ListParagraph"/>
        <w:numPr>
          <w:ilvl w:val="0"/>
          <w:numId w:val="1"/>
        </w:numPr>
        <w:spacing w:line="480" w:lineRule="auto"/>
        <w:ind w:left="720"/>
      </w:pPr>
      <w:r w:rsidRPr="008C7FF3">
        <w:t xml:space="preserve">Ribeiro JD, Pease JL, Gutierrez PM, Silva C, </w:t>
      </w:r>
      <w:proofErr w:type="spellStart"/>
      <w:r w:rsidRPr="008C7FF3">
        <w:t>Bernert</w:t>
      </w:r>
      <w:proofErr w:type="spellEnd"/>
      <w:r w:rsidRPr="008C7FF3">
        <w:t xml:space="preserve"> RA, Rudd MD, et al. Sleep problems outperform depression and hopelessness as cross-sectional and longitudinal predictors of suicidal ideation and behavior in young adults in the military. </w:t>
      </w:r>
      <w:r w:rsidRPr="008C7FF3">
        <w:rPr>
          <w:i/>
        </w:rPr>
        <w:t xml:space="preserve">J Affect </w:t>
      </w:r>
      <w:proofErr w:type="spellStart"/>
      <w:r w:rsidRPr="008C7FF3">
        <w:rPr>
          <w:i/>
        </w:rPr>
        <w:t>Disord</w:t>
      </w:r>
      <w:proofErr w:type="spellEnd"/>
      <w:r w:rsidRPr="008C7FF3">
        <w:t xml:space="preserve"> 2012;</w:t>
      </w:r>
      <w:r w:rsidRPr="008C7FF3">
        <w:rPr>
          <w:b/>
        </w:rPr>
        <w:t>136</w:t>
      </w:r>
      <w:r w:rsidRPr="008C7FF3">
        <w:t xml:space="preserve">(3):743–50. </w:t>
      </w:r>
    </w:p>
    <w:p w14:paraId="654A7FE2" w14:textId="77777777" w:rsidR="00E42300" w:rsidRPr="008C7FF3" w:rsidRDefault="00E42300" w:rsidP="00E42300">
      <w:pPr>
        <w:pStyle w:val="ListParagraph"/>
        <w:numPr>
          <w:ilvl w:val="0"/>
          <w:numId w:val="1"/>
        </w:numPr>
        <w:spacing w:line="480" w:lineRule="auto"/>
        <w:ind w:left="720"/>
      </w:pPr>
      <w:proofErr w:type="spellStart"/>
      <w:r w:rsidRPr="008C7FF3">
        <w:t>Riihimäki</w:t>
      </w:r>
      <w:proofErr w:type="spellEnd"/>
      <w:r w:rsidRPr="008C7FF3">
        <w:t xml:space="preserve"> K, </w:t>
      </w:r>
      <w:proofErr w:type="spellStart"/>
      <w:r w:rsidRPr="008C7FF3">
        <w:t>Vuorilehto</w:t>
      </w:r>
      <w:proofErr w:type="spellEnd"/>
      <w:r w:rsidRPr="008C7FF3">
        <w:t xml:space="preserve"> M, </w:t>
      </w:r>
      <w:proofErr w:type="spellStart"/>
      <w:r w:rsidRPr="008C7FF3">
        <w:t>Melartin</w:t>
      </w:r>
      <w:proofErr w:type="spellEnd"/>
      <w:r w:rsidRPr="008C7FF3">
        <w:t xml:space="preserve"> T, </w:t>
      </w:r>
      <w:proofErr w:type="spellStart"/>
      <w:r w:rsidRPr="008C7FF3">
        <w:t>Haukka</w:t>
      </w:r>
      <w:proofErr w:type="spellEnd"/>
      <w:r w:rsidRPr="008C7FF3">
        <w:t xml:space="preserve"> J, </w:t>
      </w:r>
      <w:proofErr w:type="spellStart"/>
      <w:r w:rsidRPr="008C7FF3">
        <w:t>Isometsä</w:t>
      </w:r>
      <w:proofErr w:type="spellEnd"/>
      <w:r w:rsidRPr="008C7FF3">
        <w:t xml:space="preserve"> E. Incidence and predictors of suicide attempts among primary-care patients with depressive disorders: a 5-year prospective study. </w:t>
      </w:r>
      <w:proofErr w:type="spellStart"/>
      <w:r w:rsidRPr="008C7FF3">
        <w:rPr>
          <w:i/>
        </w:rPr>
        <w:t>Psychol</w:t>
      </w:r>
      <w:proofErr w:type="spellEnd"/>
      <w:r w:rsidRPr="008C7FF3">
        <w:rPr>
          <w:i/>
        </w:rPr>
        <w:t xml:space="preserve"> Med</w:t>
      </w:r>
      <w:r w:rsidRPr="008C7FF3">
        <w:t xml:space="preserve"> 2014;</w:t>
      </w:r>
      <w:r w:rsidRPr="008C7FF3">
        <w:rPr>
          <w:b/>
        </w:rPr>
        <w:t>44</w:t>
      </w:r>
      <w:r w:rsidRPr="008C7FF3">
        <w:t xml:space="preserve">(2):291–302. </w:t>
      </w:r>
    </w:p>
    <w:p w14:paraId="7618E8B9" w14:textId="77777777" w:rsidR="00E42300" w:rsidRPr="008C7FF3" w:rsidRDefault="00E42300" w:rsidP="00E42300">
      <w:pPr>
        <w:pStyle w:val="ListParagraph"/>
        <w:numPr>
          <w:ilvl w:val="0"/>
          <w:numId w:val="1"/>
        </w:numPr>
        <w:spacing w:line="480" w:lineRule="auto"/>
        <w:ind w:left="720"/>
      </w:pPr>
      <w:r w:rsidRPr="008C7FF3">
        <w:t xml:space="preserve">Robinson J, Harris MG, Harrigan SM, Henry LP, </w:t>
      </w:r>
      <w:proofErr w:type="spellStart"/>
      <w:r w:rsidRPr="008C7FF3">
        <w:t>Farrelly</w:t>
      </w:r>
      <w:proofErr w:type="spellEnd"/>
      <w:r w:rsidRPr="008C7FF3">
        <w:t xml:space="preserve"> S, Prosser A, et al. Suicide attempt in first-episode psychosis: A </w:t>
      </w:r>
      <w:proofErr w:type="gramStart"/>
      <w:r w:rsidRPr="008C7FF3">
        <w:t>7.4 year</w:t>
      </w:r>
      <w:proofErr w:type="gramEnd"/>
      <w:r w:rsidRPr="008C7FF3">
        <w:t xml:space="preserve"> follow-up study. </w:t>
      </w:r>
      <w:proofErr w:type="spellStart"/>
      <w:r w:rsidRPr="008C7FF3">
        <w:rPr>
          <w:i/>
        </w:rPr>
        <w:t>Schizophr</w:t>
      </w:r>
      <w:proofErr w:type="spellEnd"/>
      <w:r w:rsidRPr="008C7FF3">
        <w:rPr>
          <w:i/>
        </w:rPr>
        <w:t xml:space="preserve"> Res</w:t>
      </w:r>
      <w:r w:rsidRPr="008C7FF3">
        <w:t xml:space="preserve"> 2010;</w:t>
      </w:r>
      <w:r w:rsidRPr="008C7FF3">
        <w:rPr>
          <w:b/>
        </w:rPr>
        <w:t>116</w:t>
      </w:r>
      <w:r w:rsidRPr="008C7FF3">
        <w:t xml:space="preserve">(1):1–8. </w:t>
      </w:r>
    </w:p>
    <w:p w14:paraId="34A5096D" w14:textId="77777777" w:rsidR="00E42300" w:rsidRPr="008C7FF3" w:rsidRDefault="00E42300" w:rsidP="00E42300">
      <w:pPr>
        <w:pStyle w:val="ListParagraph"/>
        <w:numPr>
          <w:ilvl w:val="0"/>
          <w:numId w:val="1"/>
        </w:numPr>
        <w:spacing w:line="480" w:lineRule="auto"/>
        <w:ind w:left="720"/>
      </w:pPr>
      <w:proofErr w:type="spellStart"/>
      <w:r w:rsidRPr="008C7FF3">
        <w:t>Sadeh</w:t>
      </w:r>
      <w:proofErr w:type="spellEnd"/>
      <w:r w:rsidRPr="008C7FF3">
        <w:t xml:space="preserve"> N, </w:t>
      </w:r>
      <w:proofErr w:type="spellStart"/>
      <w:r w:rsidRPr="008C7FF3">
        <w:t>McNiel</w:t>
      </w:r>
      <w:proofErr w:type="spellEnd"/>
      <w:r w:rsidRPr="008C7FF3">
        <w:t xml:space="preserve"> DE. Facets of anger, childhood sexual victimization, and gender as predictors of suicide attempts by psychiatric patients after hospital discharge. </w:t>
      </w:r>
      <w:r w:rsidRPr="008C7FF3">
        <w:rPr>
          <w:i/>
        </w:rPr>
        <w:t xml:space="preserve">J </w:t>
      </w:r>
      <w:proofErr w:type="spellStart"/>
      <w:r w:rsidRPr="008C7FF3">
        <w:rPr>
          <w:i/>
        </w:rPr>
        <w:t>Abnorm</w:t>
      </w:r>
      <w:proofErr w:type="spellEnd"/>
      <w:r w:rsidRPr="008C7FF3">
        <w:rPr>
          <w:i/>
        </w:rPr>
        <w:t xml:space="preserve"> </w:t>
      </w:r>
      <w:proofErr w:type="spellStart"/>
      <w:r w:rsidRPr="008C7FF3">
        <w:rPr>
          <w:i/>
        </w:rPr>
        <w:t>Psychol</w:t>
      </w:r>
      <w:proofErr w:type="spellEnd"/>
      <w:r w:rsidRPr="008C7FF3">
        <w:t xml:space="preserve"> 2013;</w:t>
      </w:r>
      <w:r w:rsidRPr="008C7FF3">
        <w:rPr>
          <w:b/>
        </w:rPr>
        <w:t>122</w:t>
      </w:r>
      <w:r w:rsidRPr="008C7FF3">
        <w:t xml:space="preserve">(3):879–90. </w:t>
      </w:r>
    </w:p>
    <w:p w14:paraId="3A677D21" w14:textId="77777777" w:rsidR="00E42300" w:rsidRPr="008C7FF3" w:rsidRDefault="00E42300" w:rsidP="00E42300">
      <w:pPr>
        <w:pStyle w:val="ListParagraph"/>
        <w:numPr>
          <w:ilvl w:val="0"/>
          <w:numId w:val="1"/>
        </w:numPr>
        <w:spacing w:line="480" w:lineRule="auto"/>
        <w:ind w:left="720"/>
      </w:pPr>
      <w:r w:rsidRPr="008C7FF3">
        <w:t xml:space="preserve">Samuelsson M, Jokinen J, </w:t>
      </w:r>
      <w:proofErr w:type="spellStart"/>
      <w:r w:rsidRPr="008C7FF3">
        <w:t>Nordström</w:t>
      </w:r>
      <w:proofErr w:type="spellEnd"/>
      <w:r w:rsidRPr="008C7FF3">
        <w:t xml:space="preserve"> AL, </w:t>
      </w:r>
      <w:proofErr w:type="spellStart"/>
      <w:r w:rsidRPr="008C7FF3">
        <w:t>Nordström</w:t>
      </w:r>
      <w:proofErr w:type="spellEnd"/>
      <w:r w:rsidRPr="008C7FF3">
        <w:t xml:space="preserve"> P. CSF 5-HIAA, suicide intent and hopelessness in the prediction of early suicide in male high-risk suicide attempters. </w:t>
      </w:r>
      <w:r w:rsidRPr="008C7FF3">
        <w:rPr>
          <w:i/>
        </w:rPr>
        <w:t xml:space="preserve">Acta </w:t>
      </w:r>
      <w:proofErr w:type="spellStart"/>
      <w:r w:rsidRPr="008C7FF3">
        <w:rPr>
          <w:i/>
        </w:rPr>
        <w:t>Psychiatr</w:t>
      </w:r>
      <w:proofErr w:type="spellEnd"/>
      <w:r w:rsidRPr="008C7FF3">
        <w:rPr>
          <w:i/>
        </w:rPr>
        <w:t xml:space="preserve"> </w:t>
      </w:r>
      <w:proofErr w:type="spellStart"/>
      <w:r w:rsidRPr="008C7FF3">
        <w:rPr>
          <w:i/>
        </w:rPr>
        <w:t>Scand</w:t>
      </w:r>
      <w:proofErr w:type="spellEnd"/>
      <w:r w:rsidRPr="008C7FF3">
        <w:t xml:space="preserve"> 2006;</w:t>
      </w:r>
      <w:r w:rsidRPr="008C7FF3">
        <w:rPr>
          <w:b/>
        </w:rPr>
        <w:t>113</w:t>
      </w:r>
      <w:r w:rsidRPr="008C7FF3">
        <w:t xml:space="preserve">(1):44–7. </w:t>
      </w:r>
    </w:p>
    <w:p w14:paraId="2F382F5C" w14:textId="77777777" w:rsidR="00E42300" w:rsidRPr="008C7FF3" w:rsidRDefault="00E42300" w:rsidP="00E42300">
      <w:pPr>
        <w:pStyle w:val="ListParagraph"/>
        <w:numPr>
          <w:ilvl w:val="0"/>
          <w:numId w:val="1"/>
        </w:numPr>
        <w:spacing w:line="480" w:lineRule="auto"/>
        <w:ind w:left="720"/>
      </w:pPr>
      <w:r w:rsidRPr="008C7FF3">
        <w:t>Sanchez-</w:t>
      </w:r>
      <w:proofErr w:type="spellStart"/>
      <w:r w:rsidRPr="008C7FF3">
        <w:t>Gistau</w:t>
      </w:r>
      <w:proofErr w:type="spellEnd"/>
      <w:r w:rsidRPr="008C7FF3">
        <w:t xml:space="preserve"> V, </w:t>
      </w:r>
      <w:proofErr w:type="spellStart"/>
      <w:r w:rsidRPr="008C7FF3">
        <w:t>Baeza</w:t>
      </w:r>
      <w:proofErr w:type="spellEnd"/>
      <w:r w:rsidRPr="008C7FF3">
        <w:t xml:space="preserve"> I, Arango C, González-Pinto A, De La Serna E, </w:t>
      </w:r>
      <w:proofErr w:type="spellStart"/>
      <w:r w:rsidRPr="008C7FF3">
        <w:t>Parellada</w:t>
      </w:r>
      <w:proofErr w:type="spellEnd"/>
      <w:r w:rsidRPr="008C7FF3">
        <w:t xml:space="preserve"> M, et al. Predictors of suicide attempt in early-onset, first-episode psychoses: A longitudinal 24-month follow-up study. </w:t>
      </w:r>
      <w:r w:rsidRPr="008C7FF3">
        <w:rPr>
          <w:i/>
        </w:rPr>
        <w:t xml:space="preserve">J </w:t>
      </w:r>
      <w:proofErr w:type="spellStart"/>
      <w:r w:rsidRPr="008C7FF3">
        <w:rPr>
          <w:i/>
        </w:rPr>
        <w:t>Clin</w:t>
      </w:r>
      <w:proofErr w:type="spellEnd"/>
      <w:r w:rsidRPr="008C7FF3">
        <w:rPr>
          <w:i/>
        </w:rPr>
        <w:t xml:space="preserve"> Psychiatry</w:t>
      </w:r>
      <w:r w:rsidRPr="008C7FF3">
        <w:t xml:space="preserve"> 2013;</w:t>
      </w:r>
      <w:r w:rsidRPr="008C7FF3">
        <w:rPr>
          <w:b/>
        </w:rPr>
        <w:t>74</w:t>
      </w:r>
      <w:r w:rsidRPr="008C7FF3">
        <w:t xml:space="preserve">(1):59–66. </w:t>
      </w:r>
    </w:p>
    <w:p w14:paraId="197DA422" w14:textId="77777777" w:rsidR="00E42300" w:rsidRPr="008C7FF3" w:rsidRDefault="00E42300" w:rsidP="00E42300">
      <w:pPr>
        <w:pStyle w:val="ListParagraph"/>
        <w:numPr>
          <w:ilvl w:val="0"/>
          <w:numId w:val="1"/>
        </w:numPr>
        <w:spacing w:line="480" w:lineRule="auto"/>
        <w:ind w:left="720"/>
      </w:pPr>
      <w:r w:rsidRPr="008C7FF3">
        <w:lastRenderedPageBreak/>
        <w:t xml:space="preserve">Sani G, </w:t>
      </w:r>
      <w:proofErr w:type="spellStart"/>
      <w:r w:rsidRPr="008C7FF3">
        <w:t>Tondo</w:t>
      </w:r>
      <w:proofErr w:type="spellEnd"/>
      <w:r w:rsidRPr="008C7FF3">
        <w:t xml:space="preserve"> L, </w:t>
      </w:r>
      <w:proofErr w:type="spellStart"/>
      <w:r w:rsidRPr="008C7FF3">
        <w:t>Koukopoulos</w:t>
      </w:r>
      <w:proofErr w:type="spellEnd"/>
      <w:r w:rsidRPr="008C7FF3">
        <w:t xml:space="preserve"> A, </w:t>
      </w:r>
      <w:proofErr w:type="spellStart"/>
      <w:r w:rsidRPr="008C7FF3">
        <w:t>Reginaldi</w:t>
      </w:r>
      <w:proofErr w:type="spellEnd"/>
      <w:r w:rsidRPr="008C7FF3">
        <w:t xml:space="preserve"> D, </w:t>
      </w:r>
      <w:proofErr w:type="spellStart"/>
      <w:r w:rsidRPr="008C7FF3">
        <w:t>Kotzalidis</w:t>
      </w:r>
      <w:proofErr w:type="spellEnd"/>
      <w:r w:rsidRPr="008C7FF3">
        <w:t xml:space="preserve"> GD, </w:t>
      </w:r>
      <w:proofErr w:type="spellStart"/>
      <w:r w:rsidRPr="008C7FF3">
        <w:t>Koukopoulos</w:t>
      </w:r>
      <w:proofErr w:type="spellEnd"/>
      <w:r w:rsidRPr="008C7FF3">
        <w:t xml:space="preserve"> AE, et al. Suicide in a large population of former psychiatric inpatients. </w:t>
      </w:r>
      <w:r w:rsidRPr="008C7FF3">
        <w:rPr>
          <w:i/>
        </w:rPr>
        <w:t xml:space="preserve">Psychiatry </w:t>
      </w:r>
      <w:proofErr w:type="spellStart"/>
      <w:r w:rsidRPr="008C7FF3">
        <w:rPr>
          <w:i/>
        </w:rPr>
        <w:t>Clin</w:t>
      </w:r>
      <w:proofErr w:type="spellEnd"/>
      <w:r w:rsidRPr="008C7FF3">
        <w:rPr>
          <w:i/>
        </w:rPr>
        <w:t xml:space="preserve"> </w:t>
      </w:r>
      <w:proofErr w:type="spellStart"/>
      <w:r w:rsidRPr="008C7FF3">
        <w:rPr>
          <w:i/>
        </w:rPr>
        <w:t>Neurosci</w:t>
      </w:r>
      <w:proofErr w:type="spellEnd"/>
      <w:r w:rsidRPr="008C7FF3">
        <w:t xml:space="preserve"> 2011;</w:t>
      </w:r>
      <w:r w:rsidRPr="008C7FF3">
        <w:rPr>
          <w:b/>
        </w:rPr>
        <w:t>65</w:t>
      </w:r>
      <w:r w:rsidRPr="008C7FF3">
        <w:t xml:space="preserve">(3):286–95. </w:t>
      </w:r>
    </w:p>
    <w:p w14:paraId="040E5950" w14:textId="77777777" w:rsidR="00E42300" w:rsidRPr="008C7FF3" w:rsidRDefault="00E42300" w:rsidP="00E42300">
      <w:pPr>
        <w:pStyle w:val="ListParagraph"/>
        <w:numPr>
          <w:ilvl w:val="0"/>
          <w:numId w:val="1"/>
        </w:numPr>
        <w:spacing w:line="480" w:lineRule="auto"/>
        <w:ind w:left="720"/>
      </w:pPr>
      <w:proofErr w:type="spellStart"/>
      <w:r w:rsidRPr="008C7FF3">
        <w:t>Sareen</w:t>
      </w:r>
      <w:proofErr w:type="spellEnd"/>
      <w:r w:rsidRPr="008C7FF3">
        <w:t xml:space="preserve"> J, Cox BJ, Afifi TO, de </w:t>
      </w:r>
      <w:proofErr w:type="spellStart"/>
      <w:r w:rsidRPr="008C7FF3">
        <w:t>Graaf</w:t>
      </w:r>
      <w:proofErr w:type="spellEnd"/>
      <w:r w:rsidRPr="008C7FF3">
        <w:t xml:space="preserve"> R, </w:t>
      </w:r>
      <w:proofErr w:type="spellStart"/>
      <w:r w:rsidRPr="008C7FF3">
        <w:t>Asmundson</w:t>
      </w:r>
      <w:proofErr w:type="spellEnd"/>
      <w:r w:rsidRPr="008C7FF3">
        <w:t xml:space="preserve"> GJG, ten Have M, et al. Anxiety disorders and risk for suicidal ideation and suicide attempts: a population-based longitudinal study of adults. </w:t>
      </w:r>
      <w:r w:rsidRPr="008C7FF3">
        <w:rPr>
          <w:i/>
        </w:rPr>
        <w:t>Arch Gen Psychiatry</w:t>
      </w:r>
      <w:r w:rsidRPr="008C7FF3">
        <w:t xml:space="preserve"> 2005;</w:t>
      </w:r>
      <w:r w:rsidRPr="008C7FF3">
        <w:rPr>
          <w:b/>
        </w:rPr>
        <w:t>62</w:t>
      </w:r>
      <w:r w:rsidRPr="008C7FF3">
        <w:t xml:space="preserve">(Nov):1249–57. </w:t>
      </w:r>
    </w:p>
    <w:p w14:paraId="358504F1" w14:textId="77777777" w:rsidR="00E42300" w:rsidRPr="008C7FF3" w:rsidRDefault="00E42300" w:rsidP="00E42300">
      <w:pPr>
        <w:pStyle w:val="ListParagraph"/>
        <w:numPr>
          <w:ilvl w:val="0"/>
          <w:numId w:val="1"/>
        </w:numPr>
        <w:spacing w:line="480" w:lineRule="auto"/>
        <w:ind w:left="720"/>
      </w:pPr>
      <w:r w:rsidRPr="008C7FF3">
        <w:t xml:space="preserve">Schneider B, </w:t>
      </w:r>
      <w:proofErr w:type="spellStart"/>
      <w:r w:rsidRPr="008C7FF3">
        <w:t>Lukaschek</w:t>
      </w:r>
      <w:proofErr w:type="spellEnd"/>
      <w:r w:rsidRPr="008C7FF3">
        <w:t xml:space="preserve"> K, Baumert J, </w:t>
      </w:r>
      <w:proofErr w:type="spellStart"/>
      <w:r w:rsidRPr="008C7FF3">
        <w:t>Meisinger</w:t>
      </w:r>
      <w:proofErr w:type="spellEnd"/>
      <w:r w:rsidRPr="008C7FF3">
        <w:t xml:space="preserve"> C, </w:t>
      </w:r>
      <w:proofErr w:type="spellStart"/>
      <w:r w:rsidRPr="008C7FF3">
        <w:t>Erazo</w:t>
      </w:r>
      <w:proofErr w:type="spellEnd"/>
      <w:r w:rsidRPr="008C7FF3">
        <w:t xml:space="preserve"> N, </w:t>
      </w:r>
      <w:proofErr w:type="spellStart"/>
      <w:r w:rsidRPr="008C7FF3">
        <w:t>Ladwig</w:t>
      </w:r>
      <w:proofErr w:type="spellEnd"/>
      <w:r w:rsidRPr="008C7FF3">
        <w:t xml:space="preserve"> KH. Living alone, obesity, and smoking increase risk for suicide independently of depressive mood findings from the population-based MONICA/KORA Augsburg cohort study. </w:t>
      </w:r>
      <w:r w:rsidRPr="008C7FF3">
        <w:rPr>
          <w:i/>
        </w:rPr>
        <w:t xml:space="preserve">J Affect </w:t>
      </w:r>
      <w:proofErr w:type="spellStart"/>
      <w:r w:rsidRPr="008C7FF3">
        <w:rPr>
          <w:i/>
        </w:rPr>
        <w:t>Disord</w:t>
      </w:r>
      <w:proofErr w:type="spellEnd"/>
      <w:r w:rsidRPr="008C7FF3">
        <w:t xml:space="preserve"> 2014;</w:t>
      </w:r>
      <w:r w:rsidRPr="008C7FF3">
        <w:rPr>
          <w:b/>
        </w:rPr>
        <w:t>152–154</w:t>
      </w:r>
      <w:r w:rsidRPr="008C7FF3">
        <w:t xml:space="preserve">(1):416–21. </w:t>
      </w:r>
    </w:p>
    <w:p w14:paraId="4B1B51D7" w14:textId="77777777" w:rsidR="00E42300" w:rsidRPr="008C7FF3" w:rsidRDefault="00E42300" w:rsidP="00E42300">
      <w:pPr>
        <w:pStyle w:val="ListParagraph"/>
        <w:numPr>
          <w:ilvl w:val="0"/>
          <w:numId w:val="1"/>
        </w:numPr>
        <w:spacing w:line="480" w:lineRule="auto"/>
        <w:ind w:left="720"/>
      </w:pPr>
      <w:r w:rsidRPr="008C7FF3">
        <w:t xml:space="preserve">Schneider B, Philipp M, Müller MJ. Psychopathological predictors of suicide in patients with major depression during a 5-year follow-up. </w:t>
      </w:r>
      <w:proofErr w:type="spellStart"/>
      <w:r w:rsidRPr="008C7FF3">
        <w:rPr>
          <w:i/>
        </w:rPr>
        <w:t>Eur</w:t>
      </w:r>
      <w:proofErr w:type="spellEnd"/>
      <w:r w:rsidRPr="008C7FF3">
        <w:rPr>
          <w:i/>
        </w:rPr>
        <w:t xml:space="preserve"> Psychiatry</w:t>
      </w:r>
      <w:r w:rsidRPr="008C7FF3">
        <w:t xml:space="preserve"> 2001;</w:t>
      </w:r>
      <w:r w:rsidRPr="008C7FF3">
        <w:rPr>
          <w:b/>
        </w:rPr>
        <w:t>16</w:t>
      </w:r>
      <w:r w:rsidRPr="008C7FF3">
        <w:t xml:space="preserve">(5):283–8. </w:t>
      </w:r>
    </w:p>
    <w:p w14:paraId="721F7919" w14:textId="77777777" w:rsidR="00E42300" w:rsidRPr="008C7FF3" w:rsidRDefault="00E42300" w:rsidP="00E42300">
      <w:pPr>
        <w:pStyle w:val="ListParagraph"/>
        <w:numPr>
          <w:ilvl w:val="0"/>
          <w:numId w:val="1"/>
        </w:numPr>
        <w:spacing w:line="480" w:lineRule="auto"/>
        <w:ind w:left="720"/>
      </w:pPr>
      <w:proofErr w:type="spellStart"/>
      <w:r w:rsidRPr="008C7FF3">
        <w:t>Seo</w:t>
      </w:r>
      <w:proofErr w:type="spellEnd"/>
      <w:r w:rsidRPr="008C7FF3">
        <w:t xml:space="preserve"> D-C, Lee CG. The effect of perceived body weight on suicidal ideation among a representative sample of US adolescents. </w:t>
      </w:r>
      <w:r w:rsidRPr="008C7FF3">
        <w:rPr>
          <w:i/>
        </w:rPr>
        <w:t xml:space="preserve">J </w:t>
      </w:r>
      <w:proofErr w:type="spellStart"/>
      <w:r w:rsidRPr="008C7FF3">
        <w:rPr>
          <w:i/>
        </w:rPr>
        <w:t>Behav</w:t>
      </w:r>
      <w:proofErr w:type="spellEnd"/>
      <w:r w:rsidRPr="008C7FF3">
        <w:rPr>
          <w:i/>
        </w:rPr>
        <w:t xml:space="preserve"> Med</w:t>
      </w:r>
      <w:r w:rsidRPr="008C7FF3">
        <w:t xml:space="preserve"> 2012;</w:t>
      </w:r>
      <w:r w:rsidRPr="008C7FF3">
        <w:rPr>
          <w:b/>
        </w:rPr>
        <w:t>36</w:t>
      </w:r>
      <w:r w:rsidRPr="008C7FF3">
        <w:t xml:space="preserve">(5):498–507. </w:t>
      </w:r>
    </w:p>
    <w:p w14:paraId="3C75A5AD" w14:textId="77777777" w:rsidR="00E42300" w:rsidRPr="008C7FF3" w:rsidRDefault="00E42300" w:rsidP="00E42300">
      <w:pPr>
        <w:pStyle w:val="ListParagraph"/>
        <w:numPr>
          <w:ilvl w:val="0"/>
          <w:numId w:val="1"/>
        </w:numPr>
        <w:spacing w:line="480" w:lineRule="auto"/>
        <w:ind w:left="720"/>
      </w:pPr>
      <w:r w:rsidRPr="008C7FF3">
        <w:t xml:space="preserve">Sher L, Carballo JJ, </w:t>
      </w:r>
      <w:proofErr w:type="spellStart"/>
      <w:r w:rsidRPr="008C7FF3">
        <w:t>Grunebaum</w:t>
      </w:r>
      <w:proofErr w:type="spellEnd"/>
      <w:r w:rsidRPr="008C7FF3">
        <w:t xml:space="preserve"> MF, Burke AK, </w:t>
      </w:r>
      <w:proofErr w:type="spellStart"/>
      <w:r w:rsidRPr="008C7FF3">
        <w:t>Zalsman</w:t>
      </w:r>
      <w:proofErr w:type="spellEnd"/>
      <w:r w:rsidRPr="008C7FF3">
        <w:t xml:space="preserve"> G, Huang YY, et al. A prospective study of the association of cerebrospinal fluid monoamine metabolite levels with lethality of suicide attempts in patients with bipolar disorder. </w:t>
      </w:r>
      <w:r w:rsidRPr="008C7FF3">
        <w:rPr>
          <w:i/>
        </w:rPr>
        <w:t xml:space="preserve">Bipolar </w:t>
      </w:r>
      <w:proofErr w:type="spellStart"/>
      <w:r w:rsidRPr="008C7FF3">
        <w:rPr>
          <w:i/>
        </w:rPr>
        <w:t>Disord</w:t>
      </w:r>
      <w:proofErr w:type="spellEnd"/>
      <w:r w:rsidRPr="008C7FF3">
        <w:t xml:space="preserve"> 2006;</w:t>
      </w:r>
      <w:r w:rsidRPr="008C7FF3">
        <w:rPr>
          <w:b/>
        </w:rPr>
        <w:t>8</w:t>
      </w:r>
      <w:r w:rsidRPr="008C7FF3">
        <w:t xml:space="preserve">(5 II):543–50. </w:t>
      </w:r>
    </w:p>
    <w:p w14:paraId="08619F6A" w14:textId="77777777" w:rsidR="00E42300" w:rsidRPr="008C7FF3" w:rsidRDefault="00E42300" w:rsidP="00E42300">
      <w:pPr>
        <w:pStyle w:val="ListParagraph"/>
        <w:numPr>
          <w:ilvl w:val="0"/>
          <w:numId w:val="1"/>
        </w:numPr>
        <w:spacing w:line="480" w:lineRule="auto"/>
        <w:ind w:left="720"/>
      </w:pPr>
      <w:proofErr w:type="spellStart"/>
      <w:r w:rsidRPr="008C7FF3">
        <w:t>Skeem</w:t>
      </w:r>
      <w:proofErr w:type="spellEnd"/>
      <w:r w:rsidRPr="008C7FF3">
        <w:t xml:space="preserve">, JL., Silver E., </w:t>
      </w:r>
      <w:proofErr w:type="spellStart"/>
      <w:r w:rsidRPr="008C7FF3">
        <w:t>Aippelbaum</w:t>
      </w:r>
      <w:proofErr w:type="spellEnd"/>
      <w:r w:rsidRPr="008C7FF3">
        <w:t xml:space="preserve">, PS., </w:t>
      </w:r>
      <w:proofErr w:type="spellStart"/>
      <w:r w:rsidRPr="008C7FF3">
        <w:t>Tiemann</w:t>
      </w:r>
      <w:proofErr w:type="spellEnd"/>
      <w:r w:rsidRPr="008C7FF3">
        <w:t xml:space="preserve"> J. Suicide-related behavior after psychiatric hospital discharge: implications for risk assessment and management. </w:t>
      </w:r>
      <w:proofErr w:type="spellStart"/>
      <w:r w:rsidRPr="008C7FF3">
        <w:rPr>
          <w:i/>
        </w:rPr>
        <w:t>Behav</w:t>
      </w:r>
      <w:proofErr w:type="spellEnd"/>
      <w:r w:rsidRPr="008C7FF3">
        <w:rPr>
          <w:i/>
        </w:rPr>
        <w:t xml:space="preserve"> Sci Law</w:t>
      </w:r>
      <w:r w:rsidRPr="008C7FF3">
        <w:t xml:space="preserve"> 2006;</w:t>
      </w:r>
      <w:r w:rsidRPr="008C7FF3">
        <w:rPr>
          <w:b/>
        </w:rPr>
        <w:t>24</w:t>
      </w:r>
      <w:r w:rsidRPr="008C7FF3">
        <w:t xml:space="preserve">(6):731–46. </w:t>
      </w:r>
    </w:p>
    <w:p w14:paraId="242D5683"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Sokero</w:t>
      </w:r>
      <w:proofErr w:type="spellEnd"/>
      <w:r w:rsidRPr="008C7FF3">
        <w:t xml:space="preserve"> P, </w:t>
      </w:r>
      <w:proofErr w:type="spellStart"/>
      <w:r w:rsidRPr="008C7FF3">
        <w:t>Melartin</w:t>
      </w:r>
      <w:proofErr w:type="spellEnd"/>
      <w:r w:rsidRPr="008C7FF3">
        <w:t xml:space="preserve"> T, </w:t>
      </w:r>
      <w:proofErr w:type="spellStart"/>
      <w:r w:rsidRPr="008C7FF3">
        <w:t>Rytsala</w:t>
      </w:r>
      <w:proofErr w:type="spellEnd"/>
      <w:r w:rsidRPr="008C7FF3">
        <w:t xml:space="preserve"> H, </w:t>
      </w:r>
      <w:proofErr w:type="spellStart"/>
      <w:r w:rsidRPr="008C7FF3">
        <w:t>Leskela</w:t>
      </w:r>
      <w:proofErr w:type="spellEnd"/>
      <w:r w:rsidRPr="008C7FF3">
        <w:t xml:space="preserve"> U, </w:t>
      </w:r>
      <w:proofErr w:type="spellStart"/>
      <w:r w:rsidRPr="008C7FF3">
        <w:t>Lestela-Mielonen</w:t>
      </w:r>
      <w:proofErr w:type="spellEnd"/>
      <w:r w:rsidRPr="008C7FF3">
        <w:t xml:space="preserve"> P, </w:t>
      </w:r>
      <w:proofErr w:type="spellStart"/>
      <w:r w:rsidRPr="008C7FF3">
        <w:t>Istometsa</w:t>
      </w:r>
      <w:proofErr w:type="spellEnd"/>
      <w:r w:rsidRPr="008C7FF3">
        <w:t xml:space="preserve"> E. Prospective study of risk factors for attempted suicide among patients with DSM IV major depressive disorder. </w:t>
      </w:r>
      <w:r w:rsidRPr="008C7FF3">
        <w:rPr>
          <w:i/>
        </w:rPr>
        <w:t>Br J Psychiatry</w:t>
      </w:r>
      <w:r w:rsidRPr="008C7FF3">
        <w:t xml:space="preserve"> </w:t>
      </w:r>
      <w:proofErr w:type="gramStart"/>
      <w:r w:rsidRPr="008C7FF3">
        <w:t>2005;</w:t>
      </w:r>
      <w:r w:rsidRPr="008C7FF3">
        <w:rPr>
          <w:b/>
        </w:rPr>
        <w:t>186</w:t>
      </w:r>
      <w:r w:rsidRPr="008C7FF3">
        <w:t>:314</w:t>
      </w:r>
      <w:proofErr w:type="gramEnd"/>
      <w:r w:rsidRPr="008C7FF3">
        <w:t xml:space="preserve">–8. </w:t>
      </w:r>
    </w:p>
    <w:p w14:paraId="7A5CB17C" w14:textId="77777777" w:rsidR="00E42300" w:rsidRPr="008C7FF3" w:rsidRDefault="00E42300" w:rsidP="00E42300">
      <w:pPr>
        <w:pStyle w:val="ListParagraph"/>
        <w:numPr>
          <w:ilvl w:val="0"/>
          <w:numId w:val="1"/>
        </w:numPr>
        <w:spacing w:line="480" w:lineRule="auto"/>
        <w:ind w:left="720"/>
      </w:pPr>
      <w:proofErr w:type="spellStart"/>
      <w:r w:rsidRPr="008C7FF3">
        <w:t>Suominen</w:t>
      </w:r>
      <w:proofErr w:type="spellEnd"/>
      <w:r w:rsidRPr="008C7FF3">
        <w:t xml:space="preserve"> K, </w:t>
      </w:r>
      <w:proofErr w:type="spellStart"/>
      <w:r w:rsidRPr="008C7FF3">
        <w:t>Isometsä</w:t>
      </w:r>
      <w:proofErr w:type="spellEnd"/>
      <w:r w:rsidRPr="008C7FF3">
        <w:t xml:space="preserve"> E, </w:t>
      </w:r>
      <w:proofErr w:type="spellStart"/>
      <w:r w:rsidRPr="008C7FF3">
        <w:t>Suokas</w:t>
      </w:r>
      <w:proofErr w:type="spellEnd"/>
      <w:r w:rsidRPr="008C7FF3">
        <w:t xml:space="preserve"> J, </w:t>
      </w:r>
      <w:proofErr w:type="spellStart"/>
      <w:r w:rsidRPr="008C7FF3">
        <w:t>Haukka</w:t>
      </w:r>
      <w:proofErr w:type="spellEnd"/>
      <w:r w:rsidRPr="008C7FF3">
        <w:t xml:space="preserve"> J, </w:t>
      </w:r>
      <w:proofErr w:type="spellStart"/>
      <w:r w:rsidRPr="008C7FF3">
        <w:t>Achte</w:t>
      </w:r>
      <w:proofErr w:type="spellEnd"/>
      <w:r w:rsidRPr="008C7FF3">
        <w:t xml:space="preserve"> K, </w:t>
      </w:r>
      <w:proofErr w:type="spellStart"/>
      <w:r w:rsidRPr="008C7FF3">
        <w:t>Lönnqvist</w:t>
      </w:r>
      <w:proofErr w:type="spellEnd"/>
      <w:r w:rsidRPr="008C7FF3">
        <w:t xml:space="preserve"> J. Completed suicide after a suicide attempt: A 37-Year Follow-Up Study. </w:t>
      </w:r>
      <w:r w:rsidRPr="008C7FF3">
        <w:rPr>
          <w:i/>
        </w:rPr>
        <w:t>Am J Psychiatry</w:t>
      </w:r>
      <w:r w:rsidRPr="008C7FF3">
        <w:t xml:space="preserve"> 2004;</w:t>
      </w:r>
      <w:r w:rsidRPr="008C7FF3">
        <w:rPr>
          <w:b/>
        </w:rPr>
        <w:t>161</w:t>
      </w:r>
      <w:r w:rsidRPr="008C7FF3">
        <w:t xml:space="preserve">(3):562–3. </w:t>
      </w:r>
    </w:p>
    <w:p w14:paraId="5111D057" w14:textId="77777777" w:rsidR="00E42300" w:rsidRPr="008C7FF3" w:rsidRDefault="00E42300" w:rsidP="00E42300">
      <w:pPr>
        <w:pStyle w:val="ListParagraph"/>
        <w:numPr>
          <w:ilvl w:val="0"/>
          <w:numId w:val="1"/>
        </w:numPr>
        <w:spacing w:line="480" w:lineRule="auto"/>
        <w:ind w:left="720"/>
      </w:pPr>
      <w:proofErr w:type="spellStart"/>
      <w:r w:rsidRPr="008C7FF3">
        <w:t>Tejedor</w:t>
      </w:r>
      <w:proofErr w:type="spellEnd"/>
      <w:r w:rsidRPr="008C7FF3">
        <w:t xml:space="preserve"> MC, Díaz A, </w:t>
      </w:r>
      <w:proofErr w:type="spellStart"/>
      <w:r w:rsidRPr="008C7FF3">
        <w:t>Castillón</w:t>
      </w:r>
      <w:proofErr w:type="spellEnd"/>
      <w:r w:rsidRPr="008C7FF3">
        <w:t xml:space="preserve"> JJ, </w:t>
      </w:r>
      <w:proofErr w:type="spellStart"/>
      <w:r w:rsidRPr="008C7FF3">
        <w:t>Pericay</w:t>
      </w:r>
      <w:proofErr w:type="spellEnd"/>
      <w:r w:rsidRPr="008C7FF3">
        <w:t xml:space="preserve"> JM. Attempted suicide: repetition and survival--findings of a follow-up study. </w:t>
      </w:r>
      <w:r w:rsidRPr="008C7FF3">
        <w:rPr>
          <w:i/>
        </w:rPr>
        <w:t xml:space="preserve">Acta </w:t>
      </w:r>
      <w:proofErr w:type="spellStart"/>
      <w:r w:rsidRPr="008C7FF3">
        <w:rPr>
          <w:i/>
        </w:rPr>
        <w:t>Psychiatr</w:t>
      </w:r>
      <w:proofErr w:type="spellEnd"/>
      <w:r w:rsidRPr="008C7FF3">
        <w:rPr>
          <w:i/>
        </w:rPr>
        <w:t xml:space="preserve"> </w:t>
      </w:r>
      <w:proofErr w:type="spellStart"/>
      <w:r w:rsidRPr="008C7FF3">
        <w:rPr>
          <w:i/>
        </w:rPr>
        <w:t>Scand</w:t>
      </w:r>
      <w:proofErr w:type="spellEnd"/>
      <w:r w:rsidRPr="008C7FF3">
        <w:t xml:space="preserve"> 1999;</w:t>
      </w:r>
      <w:r w:rsidRPr="008C7FF3">
        <w:rPr>
          <w:b/>
        </w:rPr>
        <w:t>100</w:t>
      </w:r>
      <w:r w:rsidRPr="008C7FF3">
        <w:t xml:space="preserve">(3):205–11. </w:t>
      </w:r>
    </w:p>
    <w:p w14:paraId="337281D5" w14:textId="77777777" w:rsidR="00E42300" w:rsidRPr="008C7FF3" w:rsidRDefault="00E42300" w:rsidP="00E42300">
      <w:pPr>
        <w:pStyle w:val="ListParagraph"/>
        <w:numPr>
          <w:ilvl w:val="0"/>
          <w:numId w:val="1"/>
        </w:numPr>
        <w:spacing w:line="480" w:lineRule="auto"/>
        <w:ind w:left="720"/>
      </w:pPr>
      <w:proofErr w:type="spellStart"/>
      <w:r w:rsidRPr="008C7FF3">
        <w:t>Thies-Flechtner</w:t>
      </w:r>
      <w:proofErr w:type="spellEnd"/>
      <w:r w:rsidRPr="008C7FF3">
        <w:t xml:space="preserve"> K., Müller-</w:t>
      </w:r>
      <w:proofErr w:type="spellStart"/>
      <w:r w:rsidRPr="008C7FF3">
        <w:t>Oerlinghausen</w:t>
      </w:r>
      <w:proofErr w:type="spellEnd"/>
      <w:r w:rsidRPr="008C7FF3">
        <w:t xml:space="preserve"> B., Seibert W., Walther A. GW. Effect of prophylactic treatment on suicide risk in patients with major affective disorders. </w:t>
      </w:r>
      <w:proofErr w:type="spellStart"/>
      <w:r w:rsidRPr="008C7FF3">
        <w:rPr>
          <w:i/>
        </w:rPr>
        <w:t>Pharmacopsychiatry</w:t>
      </w:r>
      <w:proofErr w:type="spellEnd"/>
      <w:r w:rsidRPr="008C7FF3">
        <w:t xml:space="preserve"> 1996;</w:t>
      </w:r>
      <w:r w:rsidRPr="008C7FF3">
        <w:rPr>
          <w:b/>
        </w:rPr>
        <w:t>29</w:t>
      </w:r>
      <w:r w:rsidRPr="008C7FF3">
        <w:t xml:space="preserve">(3):103–7. </w:t>
      </w:r>
    </w:p>
    <w:p w14:paraId="4AEB9541" w14:textId="77777777" w:rsidR="00E42300" w:rsidRPr="008C7FF3" w:rsidRDefault="00E42300" w:rsidP="00E42300">
      <w:pPr>
        <w:pStyle w:val="ListParagraph"/>
        <w:numPr>
          <w:ilvl w:val="0"/>
          <w:numId w:val="1"/>
        </w:numPr>
        <w:spacing w:line="480" w:lineRule="auto"/>
        <w:ind w:left="720"/>
      </w:pPr>
      <w:r w:rsidRPr="008C7FF3">
        <w:t xml:space="preserve">Thompson MP, Light LS. Examining gender differences in risk factors for suicide attempts made 1 and 7 years later in a nationally representative sample. </w:t>
      </w:r>
      <w:r w:rsidRPr="008C7FF3">
        <w:rPr>
          <w:i/>
        </w:rPr>
        <w:t xml:space="preserve">J </w:t>
      </w:r>
      <w:proofErr w:type="spellStart"/>
      <w:r w:rsidRPr="008C7FF3">
        <w:rPr>
          <w:i/>
        </w:rPr>
        <w:t>Adolesc</w:t>
      </w:r>
      <w:proofErr w:type="spellEnd"/>
      <w:r w:rsidRPr="008C7FF3">
        <w:rPr>
          <w:i/>
        </w:rPr>
        <w:t xml:space="preserve"> Heal</w:t>
      </w:r>
      <w:r w:rsidRPr="008C7FF3">
        <w:t xml:space="preserve"> 2011;</w:t>
      </w:r>
      <w:r w:rsidRPr="008C7FF3">
        <w:rPr>
          <w:b/>
        </w:rPr>
        <w:t>48</w:t>
      </w:r>
      <w:r w:rsidRPr="008C7FF3">
        <w:t xml:space="preserve">(4):391–7. </w:t>
      </w:r>
    </w:p>
    <w:p w14:paraId="4AC9C663" w14:textId="77777777" w:rsidR="00E42300" w:rsidRPr="008C7FF3" w:rsidRDefault="00E42300" w:rsidP="00E42300">
      <w:pPr>
        <w:pStyle w:val="ListParagraph"/>
        <w:numPr>
          <w:ilvl w:val="0"/>
          <w:numId w:val="1"/>
        </w:numPr>
        <w:spacing w:line="480" w:lineRule="auto"/>
        <w:ind w:left="720"/>
      </w:pPr>
      <w:r w:rsidRPr="008C7FF3">
        <w:rPr>
          <w:rFonts w:cs="Times New Roman"/>
        </w:rPr>
        <w:t xml:space="preserve">Thompson, M. P., Ho, C. H., &amp; </w:t>
      </w:r>
      <w:proofErr w:type="spellStart"/>
      <w:r w:rsidRPr="008C7FF3">
        <w:rPr>
          <w:rFonts w:cs="Times New Roman"/>
        </w:rPr>
        <w:t>Kingree</w:t>
      </w:r>
      <w:proofErr w:type="spellEnd"/>
      <w:r w:rsidRPr="008C7FF3">
        <w:rPr>
          <w:rFonts w:cs="Times New Roman"/>
        </w:rPr>
        <w:t xml:space="preserve">, J. B. (2007). Prospective associations between delinquency and suicidal behaviors in a nationally representative sample. </w:t>
      </w:r>
      <w:r w:rsidRPr="008C7FF3">
        <w:rPr>
          <w:rFonts w:cs="Times New Roman"/>
          <w:i/>
          <w:iCs/>
        </w:rPr>
        <w:t>Journal of Adolescent Health, 40</w:t>
      </w:r>
      <w:r w:rsidRPr="008C7FF3">
        <w:rPr>
          <w:rFonts w:cs="Times New Roman"/>
        </w:rPr>
        <w:t>(3), 232-237.</w:t>
      </w:r>
    </w:p>
    <w:p w14:paraId="39CCB3C2" w14:textId="77777777" w:rsidR="00E42300" w:rsidRPr="008C7FF3" w:rsidRDefault="00E42300" w:rsidP="00E42300">
      <w:pPr>
        <w:pStyle w:val="ListParagraph"/>
        <w:numPr>
          <w:ilvl w:val="0"/>
          <w:numId w:val="1"/>
        </w:numPr>
        <w:spacing w:line="480" w:lineRule="auto"/>
        <w:ind w:left="720"/>
      </w:pPr>
      <w:proofErr w:type="spellStart"/>
      <w:r w:rsidRPr="008C7FF3">
        <w:t>Tidemalm</w:t>
      </w:r>
      <w:proofErr w:type="spellEnd"/>
      <w:r w:rsidRPr="008C7FF3">
        <w:t xml:space="preserve"> D, Haglund A, </w:t>
      </w:r>
      <w:proofErr w:type="spellStart"/>
      <w:r w:rsidRPr="008C7FF3">
        <w:t>Karanti</w:t>
      </w:r>
      <w:proofErr w:type="spellEnd"/>
      <w:r w:rsidRPr="008C7FF3">
        <w:t xml:space="preserve"> A, </w:t>
      </w:r>
      <w:proofErr w:type="spellStart"/>
      <w:r w:rsidRPr="008C7FF3">
        <w:t>Landén</w:t>
      </w:r>
      <w:proofErr w:type="spellEnd"/>
      <w:r w:rsidRPr="008C7FF3">
        <w:t xml:space="preserve"> M, </w:t>
      </w:r>
      <w:proofErr w:type="spellStart"/>
      <w:r w:rsidRPr="008C7FF3">
        <w:t>Runeson</w:t>
      </w:r>
      <w:proofErr w:type="spellEnd"/>
      <w:r w:rsidRPr="008C7FF3">
        <w:t xml:space="preserve"> B. Attempted suicide in bipolar disorder: Risk factors in a cohort of 6086 patients. </w:t>
      </w:r>
      <w:proofErr w:type="spellStart"/>
      <w:r w:rsidRPr="008C7FF3">
        <w:rPr>
          <w:i/>
        </w:rPr>
        <w:t>PLoS</w:t>
      </w:r>
      <w:proofErr w:type="spellEnd"/>
      <w:r w:rsidRPr="008C7FF3">
        <w:rPr>
          <w:i/>
        </w:rPr>
        <w:t xml:space="preserve"> One</w:t>
      </w:r>
      <w:r w:rsidRPr="008C7FF3">
        <w:t xml:space="preserve"> 2014;</w:t>
      </w:r>
      <w:r w:rsidRPr="008C7FF3">
        <w:rPr>
          <w:b/>
        </w:rPr>
        <w:t>9</w:t>
      </w:r>
      <w:r w:rsidRPr="008C7FF3">
        <w:t xml:space="preserve">(4). </w:t>
      </w:r>
    </w:p>
    <w:p w14:paraId="7D18F39D" w14:textId="77777777" w:rsidR="00E42300" w:rsidRPr="008C7FF3" w:rsidRDefault="00E42300" w:rsidP="00E42300">
      <w:pPr>
        <w:pStyle w:val="ListParagraph"/>
        <w:numPr>
          <w:ilvl w:val="0"/>
          <w:numId w:val="1"/>
        </w:numPr>
        <w:spacing w:line="480" w:lineRule="auto"/>
        <w:ind w:left="720"/>
      </w:pPr>
      <w:proofErr w:type="spellStart"/>
      <w:r w:rsidRPr="008C7FF3">
        <w:t>Troister</w:t>
      </w:r>
      <w:proofErr w:type="spellEnd"/>
      <w:r w:rsidRPr="008C7FF3">
        <w:t xml:space="preserve"> T, Davis MP, Lowndes A, Holden RR. A five-month longitudinal study of </w:t>
      </w:r>
      <w:proofErr w:type="spellStart"/>
      <w:r w:rsidRPr="008C7FF3">
        <w:t>psychache</w:t>
      </w:r>
      <w:proofErr w:type="spellEnd"/>
      <w:r w:rsidRPr="008C7FF3">
        <w:t xml:space="preserve"> and suicide ideation: Replication in general and high-risk university students. </w:t>
      </w:r>
      <w:r w:rsidRPr="008C7FF3">
        <w:rPr>
          <w:i/>
        </w:rPr>
        <w:t xml:space="preserve">Suicide Life-Threat </w:t>
      </w:r>
      <w:proofErr w:type="spellStart"/>
      <w:r w:rsidRPr="008C7FF3">
        <w:rPr>
          <w:i/>
        </w:rPr>
        <w:t>Behav</w:t>
      </w:r>
      <w:proofErr w:type="spellEnd"/>
      <w:r w:rsidRPr="008C7FF3">
        <w:t xml:space="preserve"> 2013;</w:t>
      </w:r>
      <w:r w:rsidRPr="008C7FF3">
        <w:rPr>
          <w:b/>
        </w:rPr>
        <w:t>43</w:t>
      </w:r>
      <w:r w:rsidRPr="008C7FF3">
        <w:t xml:space="preserve">(6):611–20. </w:t>
      </w:r>
    </w:p>
    <w:p w14:paraId="4146BB95"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Tuisku</w:t>
      </w:r>
      <w:proofErr w:type="spellEnd"/>
      <w:r w:rsidRPr="008C7FF3">
        <w:t xml:space="preserve"> V, </w:t>
      </w:r>
      <w:proofErr w:type="spellStart"/>
      <w:r w:rsidRPr="008C7FF3">
        <w:t>Kiviruusu</w:t>
      </w:r>
      <w:proofErr w:type="spellEnd"/>
      <w:r w:rsidRPr="008C7FF3">
        <w:t xml:space="preserve"> O, </w:t>
      </w:r>
      <w:proofErr w:type="spellStart"/>
      <w:r w:rsidRPr="008C7FF3">
        <w:t>Pelkonen</w:t>
      </w:r>
      <w:proofErr w:type="spellEnd"/>
      <w:r w:rsidRPr="008C7FF3">
        <w:t xml:space="preserve"> M, Karlsson L, </w:t>
      </w:r>
      <w:proofErr w:type="spellStart"/>
      <w:r w:rsidRPr="008C7FF3">
        <w:t>Strandholm</w:t>
      </w:r>
      <w:proofErr w:type="spellEnd"/>
      <w:r w:rsidRPr="008C7FF3">
        <w:t xml:space="preserve"> T, </w:t>
      </w:r>
      <w:proofErr w:type="spellStart"/>
      <w:r w:rsidRPr="008C7FF3">
        <w:t>Marttunen</w:t>
      </w:r>
      <w:proofErr w:type="spellEnd"/>
      <w:r w:rsidRPr="008C7FF3">
        <w:t xml:space="preserve"> M. Depressed adolescents as young adults - Predictors of suicide attempt and non-suicidal self-injury during an 8-year follow-up. </w:t>
      </w:r>
      <w:r w:rsidRPr="008C7FF3">
        <w:rPr>
          <w:i/>
        </w:rPr>
        <w:t xml:space="preserve">J Affect </w:t>
      </w:r>
      <w:proofErr w:type="spellStart"/>
      <w:r w:rsidRPr="008C7FF3">
        <w:rPr>
          <w:i/>
        </w:rPr>
        <w:t>Disord</w:t>
      </w:r>
      <w:proofErr w:type="spellEnd"/>
      <w:r w:rsidRPr="008C7FF3">
        <w:t xml:space="preserve"> 2014;</w:t>
      </w:r>
      <w:r w:rsidRPr="008C7FF3">
        <w:rPr>
          <w:b/>
        </w:rPr>
        <w:t>152–154</w:t>
      </w:r>
      <w:r w:rsidRPr="008C7FF3">
        <w:t xml:space="preserve">(1):313–9. </w:t>
      </w:r>
    </w:p>
    <w:p w14:paraId="51970C2F" w14:textId="77777777" w:rsidR="00E42300" w:rsidRPr="008C7FF3" w:rsidRDefault="00E42300" w:rsidP="00E42300">
      <w:pPr>
        <w:pStyle w:val="ListParagraph"/>
        <w:numPr>
          <w:ilvl w:val="0"/>
          <w:numId w:val="1"/>
        </w:numPr>
        <w:spacing w:line="480" w:lineRule="auto"/>
        <w:ind w:left="720"/>
      </w:pPr>
      <w:r w:rsidRPr="008C7FF3">
        <w:t xml:space="preserve">Turner HA, </w:t>
      </w:r>
      <w:proofErr w:type="spellStart"/>
      <w:r w:rsidRPr="008C7FF3">
        <w:t>Finkelhor</w:t>
      </w:r>
      <w:proofErr w:type="spellEnd"/>
      <w:r w:rsidRPr="008C7FF3">
        <w:t xml:space="preserve"> D, Shattuck A, Hamby S. Recent victimization exposure and suicidal ideation in adolescents. </w:t>
      </w:r>
      <w:r w:rsidRPr="008C7FF3">
        <w:rPr>
          <w:i/>
        </w:rPr>
        <w:t xml:space="preserve">Arch </w:t>
      </w:r>
      <w:proofErr w:type="spellStart"/>
      <w:r w:rsidRPr="008C7FF3">
        <w:rPr>
          <w:i/>
        </w:rPr>
        <w:t>Pediatr</w:t>
      </w:r>
      <w:proofErr w:type="spellEnd"/>
      <w:r w:rsidRPr="008C7FF3">
        <w:rPr>
          <w:i/>
        </w:rPr>
        <w:t xml:space="preserve"> </w:t>
      </w:r>
      <w:proofErr w:type="spellStart"/>
      <w:r w:rsidRPr="008C7FF3">
        <w:rPr>
          <w:i/>
        </w:rPr>
        <w:t>Adolesc</w:t>
      </w:r>
      <w:proofErr w:type="spellEnd"/>
      <w:r w:rsidRPr="008C7FF3">
        <w:rPr>
          <w:i/>
        </w:rPr>
        <w:t xml:space="preserve"> Med</w:t>
      </w:r>
      <w:r w:rsidRPr="008C7FF3">
        <w:t xml:space="preserve"> 2012;</w:t>
      </w:r>
      <w:r w:rsidRPr="008C7FF3">
        <w:rPr>
          <w:b/>
        </w:rPr>
        <w:t>166</w:t>
      </w:r>
      <w:r w:rsidRPr="008C7FF3">
        <w:t xml:space="preserve">(12):1149–54. </w:t>
      </w:r>
    </w:p>
    <w:p w14:paraId="2ABB44BC" w14:textId="77777777" w:rsidR="00E42300" w:rsidRPr="008C7FF3" w:rsidRDefault="00E42300" w:rsidP="00E42300">
      <w:pPr>
        <w:pStyle w:val="ListParagraph"/>
        <w:numPr>
          <w:ilvl w:val="0"/>
          <w:numId w:val="1"/>
        </w:numPr>
        <w:spacing w:line="480" w:lineRule="auto"/>
        <w:ind w:left="720"/>
      </w:pPr>
      <w:r w:rsidRPr="008C7FF3">
        <w:rPr>
          <w:color w:val="222222"/>
          <w:shd w:val="clear" w:color="auto" w:fill="FFFFFF"/>
        </w:rPr>
        <w:t xml:space="preserve">Turvey CL, Conwell Y, Jones MP, Phillips C, </w:t>
      </w:r>
      <w:proofErr w:type="spellStart"/>
      <w:r w:rsidRPr="008C7FF3">
        <w:rPr>
          <w:color w:val="222222"/>
          <w:shd w:val="clear" w:color="auto" w:fill="FFFFFF"/>
        </w:rPr>
        <w:t>Simonsick</w:t>
      </w:r>
      <w:proofErr w:type="spellEnd"/>
      <w:r w:rsidRPr="008C7FF3">
        <w:rPr>
          <w:color w:val="222222"/>
          <w:shd w:val="clear" w:color="auto" w:fill="FFFFFF"/>
        </w:rPr>
        <w:t xml:space="preserve"> E, Pearson JL, Wallace R. (2002). Risk factors for late-life suicide: a prospective, community-based study. </w:t>
      </w:r>
      <w:r w:rsidRPr="008C7FF3">
        <w:rPr>
          <w:i/>
          <w:iCs/>
          <w:color w:val="222222"/>
          <w:shd w:val="clear" w:color="auto" w:fill="FFFFFF"/>
        </w:rPr>
        <w:t xml:space="preserve">The American Journal of Geriatric Psychiatry </w:t>
      </w:r>
      <w:r w:rsidRPr="008C7FF3">
        <w:rPr>
          <w:iCs/>
          <w:color w:val="222222"/>
          <w:shd w:val="clear" w:color="auto" w:fill="FFFFFF"/>
        </w:rPr>
        <w:t>2002</w:t>
      </w:r>
      <w:r w:rsidRPr="008C7FF3">
        <w:rPr>
          <w:color w:val="222222"/>
          <w:shd w:val="clear" w:color="auto" w:fill="FFFFFF"/>
        </w:rPr>
        <w:t>;</w:t>
      </w:r>
      <w:r w:rsidRPr="008C7FF3">
        <w:rPr>
          <w:i/>
          <w:iCs/>
          <w:color w:val="222222"/>
          <w:shd w:val="clear" w:color="auto" w:fill="FFFFFF"/>
        </w:rPr>
        <w:t>10</w:t>
      </w:r>
      <w:r w:rsidRPr="008C7FF3">
        <w:rPr>
          <w:color w:val="222222"/>
          <w:shd w:val="clear" w:color="auto" w:fill="FFFFFF"/>
        </w:rPr>
        <w:t>(4):398-406.</w:t>
      </w:r>
    </w:p>
    <w:p w14:paraId="6D48BC15" w14:textId="77777777" w:rsidR="00E42300" w:rsidRPr="008C7FF3" w:rsidRDefault="00E42300" w:rsidP="00E42300">
      <w:pPr>
        <w:pStyle w:val="ListParagraph"/>
        <w:numPr>
          <w:ilvl w:val="0"/>
          <w:numId w:val="1"/>
        </w:numPr>
        <w:spacing w:line="480" w:lineRule="auto"/>
        <w:ind w:left="720"/>
      </w:pPr>
      <w:proofErr w:type="spellStart"/>
      <w:r w:rsidRPr="008C7FF3">
        <w:t>Valtonen</w:t>
      </w:r>
      <w:proofErr w:type="spellEnd"/>
      <w:r w:rsidRPr="008C7FF3">
        <w:t xml:space="preserve"> HM, </w:t>
      </w:r>
      <w:proofErr w:type="spellStart"/>
      <w:r w:rsidRPr="008C7FF3">
        <w:t>Suominen</w:t>
      </w:r>
      <w:proofErr w:type="spellEnd"/>
      <w:r w:rsidRPr="008C7FF3">
        <w:t xml:space="preserve"> K, </w:t>
      </w:r>
      <w:proofErr w:type="spellStart"/>
      <w:r w:rsidRPr="008C7FF3">
        <w:t>Mantere</w:t>
      </w:r>
      <w:proofErr w:type="spellEnd"/>
      <w:r w:rsidRPr="008C7FF3">
        <w:t xml:space="preserve"> O, </w:t>
      </w:r>
      <w:proofErr w:type="spellStart"/>
      <w:r w:rsidRPr="008C7FF3">
        <w:t>Leppamaki</w:t>
      </w:r>
      <w:proofErr w:type="spellEnd"/>
      <w:r w:rsidRPr="008C7FF3">
        <w:t xml:space="preserve"> S, </w:t>
      </w:r>
      <w:proofErr w:type="spellStart"/>
      <w:r w:rsidRPr="008C7FF3">
        <w:t>Arvilommi</w:t>
      </w:r>
      <w:proofErr w:type="spellEnd"/>
      <w:r w:rsidRPr="008C7FF3">
        <w:t xml:space="preserve"> P, </w:t>
      </w:r>
      <w:proofErr w:type="spellStart"/>
      <w:r w:rsidRPr="008C7FF3">
        <w:t>Isometsa</w:t>
      </w:r>
      <w:proofErr w:type="spellEnd"/>
      <w:r w:rsidRPr="008C7FF3">
        <w:t xml:space="preserve"> ET. Prospective study of risk factors for attempted suicide among patients with bipolar disorder. </w:t>
      </w:r>
      <w:r w:rsidRPr="008C7FF3">
        <w:rPr>
          <w:i/>
        </w:rPr>
        <w:t xml:space="preserve">Bipolar </w:t>
      </w:r>
      <w:proofErr w:type="spellStart"/>
      <w:r w:rsidRPr="008C7FF3">
        <w:rPr>
          <w:i/>
        </w:rPr>
        <w:t>Disord</w:t>
      </w:r>
      <w:proofErr w:type="spellEnd"/>
      <w:r w:rsidRPr="008C7FF3">
        <w:t xml:space="preserve"> 2006;</w:t>
      </w:r>
      <w:r w:rsidRPr="008C7FF3">
        <w:rPr>
          <w:b/>
        </w:rPr>
        <w:t>8</w:t>
      </w:r>
      <w:r w:rsidRPr="008C7FF3">
        <w:t xml:space="preserve">(5 Pt 2):576–85. </w:t>
      </w:r>
    </w:p>
    <w:p w14:paraId="1A645F07" w14:textId="77777777" w:rsidR="00E42300" w:rsidRPr="008C7FF3" w:rsidRDefault="00E42300" w:rsidP="00E42300">
      <w:pPr>
        <w:pStyle w:val="ListParagraph"/>
        <w:numPr>
          <w:ilvl w:val="0"/>
          <w:numId w:val="1"/>
        </w:numPr>
        <w:spacing w:line="480" w:lineRule="auto"/>
        <w:ind w:left="720"/>
      </w:pPr>
      <w:proofErr w:type="spellStart"/>
      <w:r w:rsidRPr="008C7FF3">
        <w:t>Valtonen</w:t>
      </w:r>
      <w:proofErr w:type="spellEnd"/>
      <w:r w:rsidRPr="008C7FF3">
        <w:t xml:space="preserve"> HM, </w:t>
      </w:r>
      <w:proofErr w:type="spellStart"/>
      <w:r w:rsidRPr="008C7FF3">
        <w:t>Suominen</w:t>
      </w:r>
      <w:proofErr w:type="spellEnd"/>
      <w:r w:rsidRPr="008C7FF3">
        <w:t xml:space="preserve"> K, </w:t>
      </w:r>
      <w:proofErr w:type="spellStart"/>
      <w:r w:rsidRPr="008C7FF3">
        <w:t>Haukka</w:t>
      </w:r>
      <w:proofErr w:type="spellEnd"/>
      <w:r w:rsidRPr="008C7FF3">
        <w:t xml:space="preserve"> J, </w:t>
      </w:r>
      <w:proofErr w:type="spellStart"/>
      <w:r w:rsidRPr="008C7FF3">
        <w:t>Mantere</w:t>
      </w:r>
      <w:proofErr w:type="spellEnd"/>
      <w:r w:rsidRPr="008C7FF3">
        <w:t xml:space="preserve"> O, </w:t>
      </w:r>
      <w:proofErr w:type="spellStart"/>
      <w:r w:rsidRPr="008C7FF3">
        <w:t>Leppämäki</w:t>
      </w:r>
      <w:proofErr w:type="spellEnd"/>
      <w:r w:rsidRPr="008C7FF3">
        <w:t xml:space="preserve"> S, </w:t>
      </w:r>
      <w:proofErr w:type="spellStart"/>
      <w:r w:rsidRPr="008C7FF3">
        <w:t>Arvilommi</w:t>
      </w:r>
      <w:proofErr w:type="spellEnd"/>
      <w:r w:rsidRPr="008C7FF3">
        <w:t xml:space="preserve"> P, et al. Differences in incidence of suicide attempts during phases of bipolar I and II disorders. </w:t>
      </w:r>
      <w:r w:rsidRPr="008C7FF3">
        <w:rPr>
          <w:i/>
        </w:rPr>
        <w:t xml:space="preserve">Bipolar </w:t>
      </w:r>
      <w:proofErr w:type="spellStart"/>
      <w:r w:rsidRPr="008C7FF3">
        <w:rPr>
          <w:i/>
        </w:rPr>
        <w:t>Disord</w:t>
      </w:r>
      <w:proofErr w:type="spellEnd"/>
      <w:r w:rsidRPr="008C7FF3">
        <w:t xml:space="preserve"> 2008;</w:t>
      </w:r>
      <w:r w:rsidRPr="008C7FF3">
        <w:rPr>
          <w:b/>
        </w:rPr>
        <w:t>10</w:t>
      </w:r>
      <w:r w:rsidRPr="008C7FF3">
        <w:t xml:space="preserve">(5):588–96. </w:t>
      </w:r>
    </w:p>
    <w:p w14:paraId="179E4A84" w14:textId="77777777" w:rsidR="00E42300" w:rsidRPr="008C7FF3" w:rsidRDefault="00E42300" w:rsidP="00E42300">
      <w:pPr>
        <w:pStyle w:val="ListParagraph"/>
        <w:numPr>
          <w:ilvl w:val="0"/>
          <w:numId w:val="1"/>
        </w:numPr>
        <w:spacing w:line="480" w:lineRule="auto"/>
        <w:ind w:left="720"/>
      </w:pPr>
      <w:r w:rsidRPr="008C7FF3">
        <w:t xml:space="preserve">Van Tilburg MA, Spence NJ, Whitehead WE, </w:t>
      </w:r>
      <w:proofErr w:type="spellStart"/>
      <w:r w:rsidRPr="008C7FF3">
        <w:t>Bangdiwala</w:t>
      </w:r>
      <w:proofErr w:type="spellEnd"/>
      <w:r w:rsidRPr="008C7FF3">
        <w:t xml:space="preserve"> S, Goldston DB. Chronic pain in adolescents is associated with suicidal thoughts and behaviors. </w:t>
      </w:r>
      <w:r w:rsidRPr="008C7FF3">
        <w:rPr>
          <w:i/>
        </w:rPr>
        <w:t>J Pain</w:t>
      </w:r>
      <w:r w:rsidRPr="008C7FF3">
        <w:t xml:space="preserve"> 2011;</w:t>
      </w:r>
      <w:r w:rsidRPr="008C7FF3">
        <w:rPr>
          <w:b/>
        </w:rPr>
        <w:t>12</w:t>
      </w:r>
      <w:r w:rsidRPr="008C7FF3">
        <w:t xml:space="preserve">(10):1032–9. </w:t>
      </w:r>
    </w:p>
    <w:p w14:paraId="2E9D5B8F" w14:textId="77777777" w:rsidR="00E42300" w:rsidRPr="008C7FF3" w:rsidRDefault="00E42300" w:rsidP="00E42300">
      <w:pPr>
        <w:pStyle w:val="ListParagraph"/>
        <w:numPr>
          <w:ilvl w:val="0"/>
          <w:numId w:val="1"/>
        </w:numPr>
        <w:spacing w:line="480" w:lineRule="auto"/>
        <w:ind w:left="720"/>
      </w:pPr>
      <w:proofErr w:type="spellStart"/>
      <w:r w:rsidRPr="008C7FF3">
        <w:t>Verkes</w:t>
      </w:r>
      <w:proofErr w:type="spellEnd"/>
      <w:r w:rsidRPr="008C7FF3">
        <w:t xml:space="preserve"> RJ, </w:t>
      </w:r>
      <w:proofErr w:type="spellStart"/>
      <w:r w:rsidRPr="008C7FF3">
        <w:t>Fekkes</w:t>
      </w:r>
      <w:proofErr w:type="spellEnd"/>
      <w:r w:rsidRPr="008C7FF3">
        <w:t xml:space="preserve"> D, </w:t>
      </w:r>
      <w:proofErr w:type="spellStart"/>
      <w:r w:rsidRPr="008C7FF3">
        <w:t>Zwinderman</w:t>
      </w:r>
      <w:proofErr w:type="spellEnd"/>
      <w:r w:rsidRPr="008C7FF3">
        <w:t xml:space="preserve"> AH, </w:t>
      </w:r>
      <w:proofErr w:type="spellStart"/>
      <w:r w:rsidRPr="008C7FF3">
        <w:t>Hengeveld</w:t>
      </w:r>
      <w:proofErr w:type="spellEnd"/>
      <w:r w:rsidRPr="008C7FF3">
        <w:t xml:space="preserve"> MW, Van Der Mast RC, </w:t>
      </w:r>
      <w:proofErr w:type="spellStart"/>
      <w:r w:rsidRPr="008C7FF3">
        <w:t>Tuyl</w:t>
      </w:r>
      <w:proofErr w:type="spellEnd"/>
      <w:r w:rsidRPr="008C7FF3">
        <w:t xml:space="preserve"> JP, et al. Platelet serotonin and [3H] paroxetine binding correlate with recurrence of suicidal behavior. </w:t>
      </w:r>
      <w:r w:rsidRPr="008C7FF3">
        <w:rPr>
          <w:i/>
        </w:rPr>
        <w:t>Psychopharmacology</w:t>
      </w:r>
      <w:r w:rsidRPr="008C7FF3">
        <w:t xml:space="preserve"> 1997;</w:t>
      </w:r>
      <w:r w:rsidRPr="008C7FF3">
        <w:rPr>
          <w:b/>
        </w:rPr>
        <w:t>132</w:t>
      </w:r>
      <w:r w:rsidRPr="008C7FF3">
        <w:t xml:space="preserve">(1):89–94. </w:t>
      </w:r>
    </w:p>
    <w:p w14:paraId="65CE39DD" w14:textId="77777777" w:rsidR="00E42300" w:rsidRPr="008C7FF3" w:rsidRDefault="00E42300" w:rsidP="00E42300">
      <w:pPr>
        <w:pStyle w:val="ListParagraph"/>
        <w:numPr>
          <w:ilvl w:val="0"/>
          <w:numId w:val="1"/>
        </w:numPr>
        <w:spacing w:line="480" w:lineRule="auto"/>
        <w:ind w:left="720"/>
      </w:pPr>
      <w:r w:rsidRPr="008C7FF3">
        <w:t xml:space="preserve">Walsh E, Harvey K, White I, Fraser J, </w:t>
      </w:r>
      <w:proofErr w:type="spellStart"/>
      <w:r w:rsidRPr="008C7FF3">
        <w:t>Higgitt</w:t>
      </w:r>
      <w:proofErr w:type="spellEnd"/>
      <w:r w:rsidRPr="008C7FF3">
        <w:t xml:space="preserve"> A, Murray RM. Suicidal </w:t>
      </w:r>
      <w:proofErr w:type="spellStart"/>
      <w:r w:rsidRPr="008C7FF3">
        <w:t>behaviour</w:t>
      </w:r>
      <w:proofErr w:type="spellEnd"/>
      <w:r w:rsidRPr="008C7FF3">
        <w:t xml:space="preserve"> in psychosis: prevalence and predictors from a </w:t>
      </w:r>
      <w:proofErr w:type="spellStart"/>
      <w:r w:rsidRPr="008C7FF3">
        <w:t>randomised</w:t>
      </w:r>
      <w:proofErr w:type="spellEnd"/>
      <w:r w:rsidRPr="008C7FF3">
        <w:t xml:space="preserve"> controlled trial of case management. </w:t>
      </w:r>
      <w:r w:rsidRPr="008C7FF3">
        <w:rPr>
          <w:i/>
        </w:rPr>
        <w:t>Br J Psychiatry</w:t>
      </w:r>
      <w:r w:rsidRPr="008C7FF3">
        <w:t xml:space="preserve"> 2001;</w:t>
      </w:r>
      <w:r w:rsidRPr="008C7FF3">
        <w:rPr>
          <w:b/>
        </w:rPr>
        <w:t>178</w:t>
      </w:r>
      <w:r w:rsidRPr="008C7FF3">
        <w:t xml:space="preserve">(3):255–60. </w:t>
      </w:r>
    </w:p>
    <w:p w14:paraId="338EC6FA" w14:textId="77777777" w:rsidR="00E42300" w:rsidRPr="008C7FF3" w:rsidRDefault="00E42300" w:rsidP="00E42300">
      <w:pPr>
        <w:pStyle w:val="ListParagraph"/>
        <w:numPr>
          <w:ilvl w:val="0"/>
          <w:numId w:val="1"/>
        </w:numPr>
        <w:spacing w:line="480" w:lineRule="auto"/>
        <w:ind w:left="720"/>
      </w:pPr>
      <w:proofErr w:type="spellStart"/>
      <w:r w:rsidRPr="008C7FF3">
        <w:lastRenderedPageBreak/>
        <w:t>Wedig</w:t>
      </w:r>
      <w:proofErr w:type="spellEnd"/>
      <w:r w:rsidRPr="008C7FF3">
        <w:t xml:space="preserve"> MM, Silverman MH, </w:t>
      </w:r>
      <w:proofErr w:type="spellStart"/>
      <w:r w:rsidRPr="008C7FF3">
        <w:t>Frankenburg</w:t>
      </w:r>
      <w:proofErr w:type="spellEnd"/>
      <w:r w:rsidRPr="008C7FF3">
        <w:t xml:space="preserve"> FR, Reich DB, Fitzmaurice G, </w:t>
      </w:r>
      <w:proofErr w:type="spellStart"/>
      <w:r w:rsidRPr="008C7FF3">
        <w:t>Zanarini</w:t>
      </w:r>
      <w:proofErr w:type="spellEnd"/>
      <w:r w:rsidRPr="008C7FF3">
        <w:t xml:space="preserve"> MC. Predictors of suicide attempts in patients with borderline personality disorder over 16 years of prospective follow-up. </w:t>
      </w:r>
      <w:proofErr w:type="spellStart"/>
      <w:r w:rsidRPr="008C7FF3">
        <w:rPr>
          <w:i/>
        </w:rPr>
        <w:t>Psychol</w:t>
      </w:r>
      <w:proofErr w:type="spellEnd"/>
      <w:r w:rsidRPr="008C7FF3">
        <w:rPr>
          <w:i/>
        </w:rPr>
        <w:t xml:space="preserve"> Med</w:t>
      </w:r>
      <w:r w:rsidRPr="008C7FF3">
        <w:t xml:space="preserve"> 2012;</w:t>
      </w:r>
      <w:r w:rsidRPr="008C7FF3">
        <w:rPr>
          <w:b/>
        </w:rPr>
        <w:t>42</w:t>
      </w:r>
      <w:r w:rsidRPr="008C7FF3">
        <w:t xml:space="preserve">(11):2395–404. </w:t>
      </w:r>
    </w:p>
    <w:p w14:paraId="077429AF" w14:textId="77777777" w:rsidR="00E42300" w:rsidRPr="008C7FF3" w:rsidRDefault="00E42300" w:rsidP="00E42300">
      <w:pPr>
        <w:pStyle w:val="ListParagraph"/>
        <w:numPr>
          <w:ilvl w:val="0"/>
          <w:numId w:val="1"/>
        </w:numPr>
        <w:spacing w:line="480" w:lineRule="auto"/>
        <w:ind w:left="720"/>
      </w:pPr>
      <w:proofErr w:type="spellStart"/>
      <w:r w:rsidRPr="008C7FF3">
        <w:t>Wedig</w:t>
      </w:r>
      <w:proofErr w:type="spellEnd"/>
      <w:r w:rsidRPr="008C7FF3">
        <w:t xml:space="preserve"> MM, </w:t>
      </w:r>
      <w:proofErr w:type="spellStart"/>
      <w:r w:rsidRPr="008C7FF3">
        <w:t>Frankenburg</w:t>
      </w:r>
      <w:proofErr w:type="spellEnd"/>
      <w:r w:rsidRPr="008C7FF3">
        <w:t xml:space="preserve"> FR, Bradford Reich D, Fitzmaurice G, </w:t>
      </w:r>
      <w:proofErr w:type="spellStart"/>
      <w:r w:rsidRPr="008C7FF3">
        <w:t>Zanarini</w:t>
      </w:r>
      <w:proofErr w:type="spellEnd"/>
      <w:r w:rsidRPr="008C7FF3">
        <w:t xml:space="preserve"> MC. Predictors of suicide threats in patients with borderline personality disorder over 16 years of prospective follow-up. </w:t>
      </w:r>
      <w:r w:rsidRPr="008C7FF3">
        <w:rPr>
          <w:i/>
        </w:rPr>
        <w:t>Psychiatry Res</w:t>
      </w:r>
      <w:r w:rsidRPr="008C7FF3">
        <w:t xml:space="preserve"> 2013;</w:t>
      </w:r>
      <w:r w:rsidRPr="008C7FF3">
        <w:rPr>
          <w:b/>
        </w:rPr>
        <w:t>208</w:t>
      </w:r>
      <w:r w:rsidRPr="008C7FF3">
        <w:t xml:space="preserve">(3):252–6. </w:t>
      </w:r>
    </w:p>
    <w:p w14:paraId="0E6FCF48" w14:textId="77777777" w:rsidR="00E42300" w:rsidRPr="008C7FF3" w:rsidRDefault="00E42300" w:rsidP="00E42300">
      <w:pPr>
        <w:pStyle w:val="ListParagraph"/>
        <w:numPr>
          <w:ilvl w:val="0"/>
          <w:numId w:val="1"/>
        </w:numPr>
        <w:spacing w:line="480" w:lineRule="auto"/>
        <w:ind w:left="720"/>
      </w:pPr>
      <w:r w:rsidRPr="008C7FF3">
        <w:t xml:space="preserve">Weissman MM, </w:t>
      </w:r>
      <w:proofErr w:type="spellStart"/>
      <w:r w:rsidRPr="008C7FF3">
        <w:t>Wolk</w:t>
      </w:r>
      <w:proofErr w:type="spellEnd"/>
      <w:r w:rsidRPr="008C7FF3">
        <w:t xml:space="preserve"> S, Goldstein RB, Moreau D, Adams P, Greenwald S, et al. Depressed adolescents grown up. </w:t>
      </w:r>
      <w:r w:rsidRPr="008C7FF3">
        <w:rPr>
          <w:i/>
        </w:rPr>
        <w:t xml:space="preserve">Jama-Journal Am Med </w:t>
      </w:r>
      <w:proofErr w:type="spellStart"/>
      <w:r w:rsidRPr="008C7FF3">
        <w:rPr>
          <w:i/>
        </w:rPr>
        <w:t>Assoc</w:t>
      </w:r>
      <w:proofErr w:type="spellEnd"/>
      <w:r w:rsidRPr="008C7FF3">
        <w:t xml:space="preserve"> 1999;</w:t>
      </w:r>
      <w:r w:rsidRPr="008C7FF3">
        <w:rPr>
          <w:b/>
        </w:rPr>
        <w:t>281</w:t>
      </w:r>
      <w:r w:rsidRPr="008C7FF3">
        <w:t xml:space="preserve">(18):1707–13. </w:t>
      </w:r>
    </w:p>
    <w:p w14:paraId="726FB32D" w14:textId="77777777" w:rsidR="00E42300" w:rsidRPr="008C7FF3" w:rsidRDefault="00E42300" w:rsidP="00E42300">
      <w:pPr>
        <w:pStyle w:val="ListParagraph"/>
        <w:numPr>
          <w:ilvl w:val="0"/>
          <w:numId w:val="1"/>
        </w:numPr>
        <w:spacing w:line="480" w:lineRule="auto"/>
        <w:ind w:left="720"/>
      </w:pPr>
      <w:r w:rsidRPr="008C7FF3">
        <w:t xml:space="preserve">Wenzel A, </w:t>
      </w:r>
      <w:proofErr w:type="spellStart"/>
      <w:r w:rsidRPr="008C7FF3">
        <w:t>Berchick</w:t>
      </w:r>
      <w:proofErr w:type="spellEnd"/>
      <w:r w:rsidRPr="008C7FF3">
        <w:t xml:space="preserve"> ER, </w:t>
      </w:r>
      <w:proofErr w:type="spellStart"/>
      <w:r w:rsidRPr="008C7FF3">
        <w:t>Tenhave</w:t>
      </w:r>
      <w:proofErr w:type="spellEnd"/>
      <w:r w:rsidRPr="008C7FF3">
        <w:t xml:space="preserve"> T, </w:t>
      </w:r>
      <w:proofErr w:type="spellStart"/>
      <w:r w:rsidRPr="008C7FF3">
        <w:t>Halberstadt</w:t>
      </w:r>
      <w:proofErr w:type="spellEnd"/>
      <w:r w:rsidRPr="008C7FF3">
        <w:t xml:space="preserve"> S, Brown GK, Beck AT. Predictors of suicide relative to other deaths in patients with suicide attempts and suicide ideation: A 30-year prospective study. </w:t>
      </w:r>
      <w:r w:rsidRPr="008C7FF3">
        <w:rPr>
          <w:i/>
        </w:rPr>
        <w:t xml:space="preserve">J Affect </w:t>
      </w:r>
      <w:proofErr w:type="spellStart"/>
      <w:r w:rsidRPr="008C7FF3">
        <w:rPr>
          <w:i/>
        </w:rPr>
        <w:t>Disord</w:t>
      </w:r>
      <w:proofErr w:type="spellEnd"/>
      <w:r w:rsidRPr="008C7FF3">
        <w:t xml:space="preserve"> 2011;</w:t>
      </w:r>
      <w:r w:rsidRPr="008C7FF3">
        <w:rPr>
          <w:b/>
        </w:rPr>
        <w:t>132</w:t>
      </w:r>
      <w:r w:rsidRPr="008C7FF3">
        <w:t xml:space="preserve">(3):375–82. </w:t>
      </w:r>
    </w:p>
    <w:p w14:paraId="4239C420" w14:textId="77777777" w:rsidR="00E42300" w:rsidRPr="008C7FF3" w:rsidRDefault="00E42300" w:rsidP="00E42300">
      <w:pPr>
        <w:pStyle w:val="ListParagraph"/>
        <w:numPr>
          <w:ilvl w:val="0"/>
          <w:numId w:val="1"/>
        </w:numPr>
        <w:spacing w:line="480" w:lineRule="auto"/>
        <w:ind w:left="720"/>
      </w:pPr>
      <w:proofErr w:type="spellStart"/>
      <w:r w:rsidRPr="008C7FF3">
        <w:t>Wichstr</w:t>
      </w:r>
      <w:r w:rsidRPr="008C7FF3">
        <w:rPr>
          <w:rFonts w:cs="Times New Roman"/>
        </w:rPr>
        <w:t>ø</w:t>
      </w:r>
      <w:r w:rsidRPr="008C7FF3">
        <w:t>m</w:t>
      </w:r>
      <w:proofErr w:type="spellEnd"/>
      <w:r w:rsidRPr="008C7FF3">
        <w:t xml:space="preserve"> L. Predictors of Adolescent Suicide Attempts: A nationally representative longitudinal study of Norwegian adolescents. </w:t>
      </w:r>
      <w:r w:rsidRPr="008C7FF3">
        <w:rPr>
          <w:i/>
        </w:rPr>
        <w:t xml:space="preserve">J Am </w:t>
      </w:r>
      <w:proofErr w:type="spellStart"/>
      <w:r w:rsidRPr="008C7FF3">
        <w:rPr>
          <w:i/>
        </w:rPr>
        <w:t>Acad</w:t>
      </w:r>
      <w:proofErr w:type="spellEnd"/>
      <w:r w:rsidRPr="008C7FF3">
        <w:rPr>
          <w:i/>
        </w:rPr>
        <w:t xml:space="preserve"> Child </w:t>
      </w:r>
      <w:proofErr w:type="spellStart"/>
      <w:r w:rsidRPr="008C7FF3">
        <w:rPr>
          <w:i/>
        </w:rPr>
        <w:t>Adolesc</w:t>
      </w:r>
      <w:proofErr w:type="spellEnd"/>
      <w:r w:rsidRPr="008C7FF3">
        <w:rPr>
          <w:i/>
        </w:rPr>
        <w:t xml:space="preserve"> Psychiatry</w:t>
      </w:r>
      <w:r w:rsidRPr="008C7FF3">
        <w:t xml:space="preserve"> 2000;</w:t>
      </w:r>
      <w:r w:rsidRPr="008C7FF3">
        <w:rPr>
          <w:b/>
        </w:rPr>
        <w:t>39</w:t>
      </w:r>
      <w:r w:rsidRPr="008C7FF3">
        <w:t xml:space="preserve">(5):603–10. </w:t>
      </w:r>
    </w:p>
    <w:p w14:paraId="3D25E65A" w14:textId="77777777" w:rsidR="00E42300" w:rsidRPr="008C7FF3" w:rsidRDefault="00E42300" w:rsidP="00E42300">
      <w:pPr>
        <w:pStyle w:val="ListParagraph"/>
        <w:numPr>
          <w:ilvl w:val="0"/>
          <w:numId w:val="1"/>
        </w:numPr>
        <w:spacing w:line="480" w:lineRule="auto"/>
        <w:ind w:left="720"/>
      </w:pPr>
      <w:r w:rsidRPr="008C7FF3">
        <w:t xml:space="preserve">Wilcox HC, </w:t>
      </w:r>
      <w:proofErr w:type="spellStart"/>
      <w:r w:rsidRPr="008C7FF3">
        <w:t>Arria</w:t>
      </w:r>
      <w:proofErr w:type="spellEnd"/>
      <w:r w:rsidRPr="008C7FF3">
        <w:t xml:space="preserve"> AM, </w:t>
      </w:r>
      <w:proofErr w:type="spellStart"/>
      <w:r w:rsidRPr="008C7FF3">
        <w:t>Caldeira</w:t>
      </w:r>
      <w:proofErr w:type="spellEnd"/>
      <w:r w:rsidRPr="008C7FF3">
        <w:t xml:space="preserve"> KM, Vincent KB, </w:t>
      </w:r>
      <w:proofErr w:type="spellStart"/>
      <w:r w:rsidRPr="008C7FF3">
        <w:t>Pinchevsky</w:t>
      </w:r>
      <w:proofErr w:type="spellEnd"/>
      <w:r w:rsidRPr="008C7FF3">
        <w:t xml:space="preserve"> GM, O’Grady KE. Prevalence and predictors of persistent suicide ideation, plans, and attempts during college. </w:t>
      </w:r>
      <w:r w:rsidRPr="008C7FF3">
        <w:rPr>
          <w:i/>
        </w:rPr>
        <w:t xml:space="preserve">J Affect </w:t>
      </w:r>
      <w:proofErr w:type="spellStart"/>
      <w:r w:rsidRPr="008C7FF3">
        <w:rPr>
          <w:i/>
        </w:rPr>
        <w:t>Disord</w:t>
      </w:r>
      <w:proofErr w:type="spellEnd"/>
      <w:r w:rsidRPr="008C7FF3">
        <w:t xml:space="preserve"> 2010;</w:t>
      </w:r>
      <w:r w:rsidRPr="008C7FF3">
        <w:rPr>
          <w:b/>
        </w:rPr>
        <w:t>127</w:t>
      </w:r>
      <w:r w:rsidRPr="008C7FF3">
        <w:t xml:space="preserve">(1–3):287–94. </w:t>
      </w:r>
    </w:p>
    <w:p w14:paraId="7202E5A8" w14:textId="77777777" w:rsidR="00E42300" w:rsidRPr="008C7FF3" w:rsidRDefault="00E42300" w:rsidP="00E42300">
      <w:pPr>
        <w:pStyle w:val="ListParagraph"/>
        <w:numPr>
          <w:ilvl w:val="0"/>
          <w:numId w:val="1"/>
        </w:numPr>
        <w:spacing w:line="480" w:lineRule="auto"/>
        <w:ind w:left="720"/>
      </w:pPr>
      <w:r w:rsidRPr="008C7FF3">
        <w:t xml:space="preserve">Wilkinson P, Kelvin R, Roberts C, </w:t>
      </w:r>
      <w:proofErr w:type="spellStart"/>
      <w:r w:rsidRPr="008C7FF3">
        <w:t>Dubicka</w:t>
      </w:r>
      <w:proofErr w:type="spellEnd"/>
      <w:r w:rsidRPr="008C7FF3">
        <w:t xml:space="preserve"> B, Goodyer I. Clinical and psychosocial predictors of suicide attempts and </w:t>
      </w:r>
      <w:proofErr w:type="spellStart"/>
      <w:r w:rsidRPr="008C7FF3">
        <w:t>nonsuicidal</w:t>
      </w:r>
      <w:proofErr w:type="spellEnd"/>
      <w:r w:rsidRPr="008C7FF3">
        <w:t xml:space="preserve"> self-injury in the Adolescent Depression Antidepressants and Psychotherapy Trial (ADAPT). </w:t>
      </w:r>
      <w:r w:rsidRPr="008C7FF3">
        <w:rPr>
          <w:i/>
        </w:rPr>
        <w:t>Am J Psychiatry</w:t>
      </w:r>
      <w:r w:rsidRPr="008C7FF3">
        <w:t xml:space="preserve"> 2011;</w:t>
      </w:r>
      <w:r w:rsidRPr="008C7FF3">
        <w:rPr>
          <w:b/>
        </w:rPr>
        <w:t>168</w:t>
      </w:r>
      <w:r w:rsidRPr="008C7FF3">
        <w:t xml:space="preserve">(5):495–501. </w:t>
      </w:r>
    </w:p>
    <w:p w14:paraId="74314B80" w14:textId="77777777" w:rsidR="00E42300" w:rsidRPr="008C7FF3" w:rsidRDefault="00E42300" w:rsidP="00E42300">
      <w:pPr>
        <w:pStyle w:val="ListParagraph"/>
        <w:numPr>
          <w:ilvl w:val="0"/>
          <w:numId w:val="1"/>
        </w:numPr>
        <w:spacing w:line="480" w:lineRule="auto"/>
        <w:ind w:left="720"/>
      </w:pPr>
      <w:r w:rsidRPr="008C7FF3">
        <w:lastRenderedPageBreak/>
        <w:t xml:space="preserve">Wines JD, </w:t>
      </w:r>
      <w:proofErr w:type="spellStart"/>
      <w:r w:rsidRPr="008C7FF3">
        <w:t>Saitz</w:t>
      </w:r>
      <w:proofErr w:type="spellEnd"/>
      <w:r w:rsidRPr="008C7FF3">
        <w:t xml:space="preserve"> R, Horton NJ, Lloyd-</w:t>
      </w:r>
      <w:proofErr w:type="spellStart"/>
      <w:r w:rsidRPr="008C7FF3">
        <w:t>Travaglini</w:t>
      </w:r>
      <w:proofErr w:type="spellEnd"/>
      <w:r w:rsidRPr="008C7FF3">
        <w:t xml:space="preserve"> C, </w:t>
      </w:r>
      <w:proofErr w:type="spellStart"/>
      <w:r w:rsidRPr="008C7FF3">
        <w:t>Samet</w:t>
      </w:r>
      <w:proofErr w:type="spellEnd"/>
      <w:r w:rsidRPr="008C7FF3">
        <w:t xml:space="preserve"> JH. Suicidal behavior, drug use and depressive symptoms after detoxification: A 2-year prospective study. </w:t>
      </w:r>
      <w:r w:rsidRPr="008C7FF3">
        <w:rPr>
          <w:i/>
        </w:rPr>
        <w:t>Drug Alcohol Depend</w:t>
      </w:r>
      <w:r w:rsidRPr="008C7FF3">
        <w:t xml:space="preserve"> 2004;</w:t>
      </w:r>
      <w:r w:rsidRPr="008C7FF3">
        <w:rPr>
          <w:b/>
        </w:rPr>
        <w:t>76</w:t>
      </w:r>
      <w:r w:rsidRPr="008C7FF3">
        <w:t xml:space="preserve">: s21-9. </w:t>
      </w:r>
    </w:p>
    <w:p w14:paraId="222A55E1" w14:textId="77777777" w:rsidR="00E42300" w:rsidRPr="008C7FF3" w:rsidRDefault="00E42300" w:rsidP="00E42300">
      <w:pPr>
        <w:pStyle w:val="ListParagraph"/>
        <w:numPr>
          <w:ilvl w:val="0"/>
          <w:numId w:val="1"/>
        </w:numPr>
        <w:spacing w:line="480" w:lineRule="auto"/>
        <w:ind w:left="720"/>
      </w:pPr>
      <w:proofErr w:type="spellStart"/>
      <w:r w:rsidRPr="008C7FF3">
        <w:t>Wolk</w:t>
      </w:r>
      <w:proofErr w:type="spellEnd"/>
      <w:r w:rsidRPr="008C7FF3">
        <w:t xml:space="preserve"> SI. WM. Suicidal behavior in depressed children grown up: Preliminary results of a longitudinal study. </w:t>
      </w:r>
      <w:proofErr w:type="spellStart"/>
      <w:r w:rsidRPr="008C7FF3">
        <w:rPr>
          <w:i/>
        </w:rPr>
        <w:t>Psychiatr</w:t>
      </w:r>
      <w:proofErr w:type="spellEnd"/>
      <w:r w:rsidRPr="008C7FF3">
        <w:rPr>
          <w:i/>
        </w:rPr>
        <w:t xml:space="preserve"> Ann</w:t>
      </w:r>
      <w:r w:rsidRPr="008C7FF3">
        <w:t xml:space="preserve"> 1996;</w:t>
      </w:r>
      <w:r w:rsidRPr="008C7FF3">
        <w:rPr>
          <w:b/>
        </w:rPr>
        <w:t>26</w:t>
      </w:r>
      <w:r w:rsidRPr="008C7FF3">
        <w:t xml:space="preserve">(6):331–5. </w:t>
      </w:r>
    </w:p>
    <w:p w14:paraId="4D2D4D43" w14:textId="77777777" w:rsidR="00E42300" w:rsidRPr="008C7FF3" w:rsidRDefault="00E42300" w:rsidP="00E42300">
      <w:pPr>
        <w:pStyle w:val="ListParagraph"/>
        <w:numPr>
          <w:ilvl w:val="0"/>
          <w:numId w:val="1"/>
        </w:numPr>
        <w:spacing w:line="480" w:lineRule="auto"/>
        <w:ind w:left="720"/>
      </w:pPr>
      <w:r w:rsidRPr="008C7FF3">
        <w:t xml:space="preserve">Wong YJ, </w:t>
      </w:r>
      <w:proofErr w:type="spellStart"/>
      <w:r w:rsidRPr="008C7FF3">
        <w:t>Maffini</w:t>
      </w:r>
      <w:proofErr w:type="spellEnd"/>
      <w:r w:rsidRPr="008C7FF3">
        <w:t xml:space="preserve"> CS. Predictors of Asian American adolescents’ suicide attempts: A latent class regression analysis. </w:t>
      </w:r>
      <w:r w:rsidRPr="008C7FF3">
        <w:rPr>
          <w:i/>
        </w:rPr>
        <w:t xml:space="preserve">J Youth </w:t>
      </w:r>
      <w:proofErr w:type="spellStart"/>
      <w:r w:rsidRPr="008C7FF3">
        <w:rPr>
          <w:i/>
        </w:rPr>
        <w:t>Adolesc</w:t>
      </w:r>
      <w:proofErr w:type="spellEnd"/>
      <w:r w:rsidRPr="008C7FF3">
        <w:t xml:space="preserve"> 2011;</w:t>
      </w:r>
      <w:r w:rsidRPr="008C7FF3">
        <w:rPr>
          <w:b/>
        </w:rPr>
        <w:t>40</w:t>
      </w:r>
      <w:r w:rsidRPr="008C7FF3">
        <w:t xml:space="preserve">(11):1453–64. </w:t>
      </w:r>
    </w:p>
    <w:p w14:paraId="5DF9E9D7" w14:textId="77777777" w:rsidR="00E42300" w:rsidRPr="008C7FF3" w:rsidRDefault="00242AC6" w:rsidP="00E42300">
      <w:pPr>
        <w:pStyle w:val="ListParagraph"/>
        <w:numPr>
          <w:ilvl w:val="0"/>
          <w:numId w:val="1"/>
        </w:numPr>
        <w:spacing w:line="480" w:lineRule="auto"/>
        <w:ind w:left="720"/>
        <w:rPr>
          <w:rStyle w:val="Hyperlink2"/>
        </w:rPr>
      </w:pPr>
      <w:hyperlink r:id="rId6" w:history="1">
        <w:r w:rsidR="00E42300" w:rsidRPr="008C7FF3">
          <w:rPr>
            <w:rStyle w:val="Hyperlink2"/>
            <w:rFonts w:cs="Times New Roman"/>
          </w:rPr>
          <w:t xml:space="preserve">Wong, M. M., Brower, K. J., &amp; Zucker, R. A. (2011). Sleep problems, suicidal ideation, and self-harm behaviors in adolescence. </w:t>
        </w:r>
      </w:hyperlink>
      <w:hyperlink r:id="rId7" w:history="1">
        <w:r w:rsidR="00E42300" w:rsidRPr="008C7FF3">
          <w:rPr>
            <w:rStyle w:val="Hyperlink3"/>
            <w:rFonts w:cs="Times New Roman"/>
          </w:rPr>
          <w:t>Journal of Psychiatric Research, 45</w:t>
        </w:r>
      </w:hyperlink>
      <w:hyperlink r:id="rId8" w:history="1">
        <w:r w:rsidR="00E42300" w:rsidRPr="008C7FF3">
          <w:rPr>
            <w:rStyle w:val="Hyperlink2"/>
            <w:rFonts w:cs="Times New Roman"/>
          </w:rPr>
          <w:t xml:space="preserve">(4), 505-511. </w:t>
        </w:r>
      </w:hyperlink>
      <w:hyperlink r:id="rId9" w:history="1">
        <w:r w:rsidR="00E42300" w:rsidRPr="008C7FF3">
          <w:rPr>
            <w:rStyle w:val="Hyperlink2"/>
            <w:rFonts w:cs="Times New Roman"/>
          </w:rPr>
          <w:t>http://dx.doi.org/10.1016/j.jpsychires.2010.09.005</w:t>
        </w:r>
      </w:hyperlink>
    </w:p>
    <w:p w14:paraId="578CC987" w14:textId="77777777" w:rsidR="00E42300" w:rsidRPr="008C7FF3" w:rsidRDefault="00E42300" w:rsidP="00E42300">
      <w:pPr>
        <w:pStyle w:val="ListParagraph"/>
        <w:numPr>
          <w:ilvl w:val="0"/>
          <w:numId w:val="1"/>
        </w:numPr>
        <w:spacing w:line="480" w:lineRule="auto"/>
        <w:ind w:left="720"/>
      </w:pPr>
      <w:r w:rsidRPr="008C7FF3">
        <w:t xml:space="preserve">Yen S, Siegler IC. Self-blame, social introversion, and male suicides: prospective data from a longitudinal study. </w:t>
      </w:r>
      <w:r w:rsidRPr="008C7FF3">
        <w:rPr>
          <w:i/>
        </w:rPr>
        <w:t>Arch Suicide Res</w:t>
      </w:r>
      <w:r w:rsidRPr="008C7FF3">
        <w:t xml:space="preserve"> 2003;</w:t>
      </w:r>
      <w:r w:rsidRPr="008C7FF3">
        <w:rPr>
          <w:b/>
        </w:rPr>
        <w:t>7</w:t>
      </w:r>
      <w:r w:rsidRPr="008C7FF3">
        <w:t xml:space="preserve">(1):17–27. </w:t>
      </w:r>
    </w:p>
    <w:p w14:paraId="4F1C1383" w14:textId="77777777" w:rsidR="00E42300" w:rsidRPr="008C7FF3" w:rsidRDefault="00E42300" w:rsidP="00E42300">
      <w:pPr>
        <w:pStyle w:val="ListParagraph"/>
        <w:numPr>
          <w:ilvl w:val="0"/>
          <w:numId w:val="1"/>
        </w:numPr>
        <w:spacing w:line="480" w:lineRule="auto"/>
        <w:ind w:left="720"/>
      </w:pPr>
      <w:r w:rsidRPr="008C7FF3">
        <w:t xml:space="preserve">Yen S, </w:t>
      </w:r>
      <w:proofErr w:type="spellStart"/>
      <w:r w:rsidRPr="008C7FF3">
        <w:t>Shea</w:t>
      </w:r>
      <w:proofErr w:type="spellEnd"/>
      <w:r w:rsidRPr="008C7FF3">
        <w:t xml:space="preserve"> MT, </w:t>
      </w:r>
      <w:proofErr w:type="spellStart"/>
      <w:r w:rsidRPr="008C7FF3">
        <w:t>Sanislow</w:t>
      </w:r>
      <w:proofErr w:type="spellEnd"/>
      <w:r w:rsidRPr="008C7FF3">
        <w:t xml:space="preserve"> CA, </w:t>
      </w:r>
      <w:proofErr w:type="spellStart"/>
      <w:r w:rsidRPr="008C7FF3">
        <w:t>Skodol</w:t>
      </w:r>
      <w:proofErr w:type="spellEnd"/>
      <w:r w:rsidRPr="008C7FF3">
        <w:t xml:space="preserve"> AE, </w:t>
      </w:r>
      <w:proofErr w:type="spellStart"/>
      <w:r w:rsidRPr="008C7FF3">
        <w:t>Grilo</w:t>
      </w:r>
      <w:proofErr w:type="spellEnd"/>
      <w:r w:rsidRPr="008C7FF3">
        <w:t xml:space="preserve"> CM, </w:t>
      </w:r>
      <w:proofErr w:type="spellStart"/>
      <w:r w:rsidRPr="008C7FF3">
        <w:t>Edelen</w:t>
      </w:r>
      <w:proofErr w:type="spellEnd"/>
      <w:r w:rsidRPr="008C7FF3">
        <w:t xml:space="preserve"> MO, et al. Personality traits as prospective predictors of suicide attempts. </w:t>
      </w:r>
      <w:r w:rsidRPr="008C7FF3">
        <w:rPr>
          <w:i/>
        </w:rPr>
        <w:t xml:space="preserve">Acta </w:t>
      </w:r>
      <w:proofErr w:type="spellStart"/>
      <w:r w:rsidRPr="008C7FF3">
        <w:rPr>
          <w:i/>
        </w:rPr>
        <w:t>Psychiatr</w:t>
      </w:r>
      <w:proofErr w:type="spellEnd"/>
      <w:r w:rsidRPr="008C7FF3">
        <w:rPr>
          <w:i/>
        </w:rPr>
        <w:t xml:space="preserve"> </w:t>
      </w:r>
      <w:proofErr w:type="spellStart"/>
      <w:r w:rsidRPr="008C7FF3">
        <w:rPr>
          <w:i/>
        </w:rPr>
        <w:t>Scand</w:t>
      </w:r>
      <w:proofErr w:type="spellEnd"/>
      <w:r w:rsidRPr="008C7FF3">
        <w:t xml:space="preserve"> 2009;</w:t>
      </w:r>
      <w:r w:rsidRPr="008C7FF3">
        <w:rPr>
          <w:b/>
        </w:rPr>
        <w:t>120</w:t>
      </w:r>
      <w:r w:rsidRPr="008C7FF3">
        <w:t xml:space="preserve">(3):222–9. </w:t>
      </w:r>
    </w:p>
    <w:p w14:paraId="03256FC5" w14:textId="77777777" w:rsidR="00E42300" w:rsidRPr="008C7FF3" w:rsidRDefault="00E42300" w:rsidP="00E42300">
      <w:pPr>
        <w:pStyle w:val="ListParagraph"/>
        <w:numPr>
          <w:ilvl w:val="0"/>
          <w:numId w:val="1"/>
        </w:numPr>
        <w:spacing w:line="480" w:lineRule="auto"/>
        <w:ind w:left="720"/>
      </w:pPr>
      <w:r w:rsidRPr="008C7FF3">
        <w:t xml:space="preserve">Yen S, </w:t>
      </w:r>
      <w:proofErr w:type="spellStart"/>
      <w:r w:rsidRPr="008C7FF3">
        <w:t>Shea</w:t>
      </w:r>
      <w:proofErr w:type="spellEnd"/>
      <w:r w:rsidRPr="008C7FF3">
        <w:t xml:space="preserve"> MT, Walsh Z, </w:t>
      </w:r>
      <w:proofErr w:type="spellStart"/>
      <w:r w:rsidRPr="008C7FF3">
        <w:t>Edelen</w:t>
      </w:r>
      <w:proofErr w:type="spellEnd"/>
      <w:r w:rsidRPr="008C7FF3">
        <w:t xml:space="preserve"> MO, Hopwood CJ, Markowitz JC, et al. Self-harm subscale of the Schedule for </w:t>
      </w:r>
      <w:proofErr w:type="spellStart"/>
      <w:r w:rsidRPr="008C7FF3">
        <w:t>Nonadaptive</w:t>
      </w:r>
      <w:proofErr w:type="spellEnd"/>
      <w:r w:rsidRPr="008C7FF3">
        <w:t xml:space="preserve"> and Adaptive Personality (SNAP): Predicting suicide attempts over 8 years of follow-up. </w:t>
      </w:r>
      <w:r w:rsidRPr="008C7FF3">
        <w:rPr>
          <w:i/>
        </w:rPr>
        <w:t xml:space="preserve">J </w:t>
      </w:r>
      <w:proofErr w:type="spellStart"/>
      <w:r w:rsidRPr="008C7FF3">
        <w:rPr>
          <w:i/>
        </w:rPr>
        <w:t>Clin</w:t>
      </w:r>
      <w:proofErr w:type="spellEnd"/>
      <w:r w:rsidRPr="008C7FF3">
        <w:rPr>
          <w:i/>
        </w:rPr>
        <w:t xml:space="preserve"> Psychiatry</w:t>
      </w:r>
      <w:r w:rsidRPr="008C7FF3">
        <w:t xml:space="preserve"> 2011;</w:t>
      </w:r>
      <w:r w:rsidRPr="008C7FF3">
        <w:rPr>
          <w:b/>
        </w:rPr>
        <w:t>72</w:t>
      </w:r>
      <w:r w:rsidRPr="008C7FF3">
        <w:t xml:space="preserve">(11):1522–8. </w:t>
      </w:r>
    </w:p>
    <w:p w14:paraId="4E3D909D" w14:textId="77777777" w:rsidR="00E42300" w:rsidRPr="008C7FF3" w:rsidRDefault="00E42300" w:rsidP="00E42300">
      <w:pPr>
        <w:pStyle w:val="ListParagraph"/>
        <w:numPr>
          <w:ilvl w:val="0"/>
          <w:numId w:val="1"/>
        </w:numPr>
        <w:spacing w:line="480" w:lineRule="auto"/>
        <w:ind w:left="720"/>
      </w:pPr>
      <w:r w:rsidRPr="008C7FF3">
        <w:t xml:space="preserve">Young MA, Fogg LF, </w:t>
      </w:r>
      <w:proofErr w:type="spellStart"/>
      <w:r w:rsidRPr="008C7FF3">
        <w:t>Scheftner</w:t>
      </w:r>
      <w:proofErr w:type="spellEnd"/>
      <w:r w:rsidRPr="008C7FF3">
        <w:t xml:space="preserve"> W, Fawcett J, </w:t>
      </w:r>
      <w:proofErr w:type="spellStart"/>
      <w:r w:rsidRPr="008C7FF3">
        <w:t>Akiskal</w:t>
      </w:r>
      <w:proofErr w:type="spellEnd"/>
      <w:r w:rsidRPr="008C7FF3">
        <w:t xml:space="preserve"> H, Maser J. Stable trait components of hopelessness: baseline and sensitivity to depression. </w:t>
      </w:r>
      <w:r w:rsidRPr="008C7FF3">
        <w:rPr>
          <w:i/>
        </w:rPr>
        <w:t xml:space="preserve">J </w:t>
      </w:r>
      <w:proofErr w:type="spellStart"/>
      <w:r w:rsidRPr="008C7FF3">
        <w:rPr>
          <w:i/>
        </w:rPr>
        <w:t>Abnorm</w:t>
      </w:r>
      <w:proofErr w:type="spellEnd"/>
      <w:r w:rsidRPr="008C7FF3">
        <w:rPr>
          <w:i/>
        </w:rPr>
        <w:t xml:space="preserve"> </w:t>
      </w:r>
      <w:proofErr w:type="spellStart"/>
      <w:r w:rsidRPr="008C7FF3">
        <w:rPr>
          <w:i/>
        </w:rPr>
        <w:t>Psychol</w:t>
      </w:r>
      <w:proofErr w:type="spellEnd"/>
      <w:r w:rsidRPr="008C7FF3">
        <w:t xml:space="preserve"> 1996;</w:t>
      </w:r>
      <w:r w:rsidRPr="008C7FF3">
        <w:rPr>
          <w:b/>
        </w:rPr>
        <w:t>105</w:t>
      </w:r>
      <w:r w:rsidRPr="008C7FF3">
        <w:t xml:space="preserve">(2):155–65. </w:t>
      </w:r>
    </w:p>
    <w:p w14:paraId="2AE1ABC8" w14:textId="77777777" w:rsidR="00E42300" w:rsidRPr="008C7FF3" w:rsidRDefault="00E42300" w:rsidP="00E42300">
      <w:pPr>
        <w:pStyle w:val="ListParagraph"/>
        <w:numPr>
          <w:ilvl w:val="0"/>
          <w:numId w:val="1"/>
        </w:numPr>
        <w:spacing w:line="480" w:lineRule="auto"/>
        <w:ind w:left="720"/>
      </w:pPr>
      <w:r w:rsidRPr="008C7FF3">
        <w:lastRenderedPageBreak/>
        <w:t xml:space="preserve">Young R, Riordan V, Stark C. Perinatal and psychosocial circumstances associated with risk of attempted suicide, non-suicidal self-injury and psychiatric service use. A longitudinal study of young people. </w:t>
      </w:r>
      <w:r w:rsidRPr="008C7FF3">
        <w:rPr>
          <w:i/>
        </w:rPr>
        <w:t>BMC Public Health</w:t>
      </w:r>
      <w:r w:rsidRPr="008C7FF3">
        <w:t xml:space="preserve"> 2011;</w:t>
      </w:r>
      <w:r w:rsidRPr="008C7FF3">
        <w:rPr>
          <w:b/>
        </w:rPr>
        <w:t>11</w:t>
      </w:r>
      <w:r w:rsidRPr="008C7FF3">
        <w:t xml:space="preserve">(1):875. </w:t>
      </w:r>
    </w:p>
    <w:p w14:paraId="2E87F2D8" w14:textId="77777777" w:rsidR="00E42300" w:rsidRPr="008C7FF3" w:rsidRDefault="00E42300" w:rsidP="00E42300">
      <w:pPr>
        <w:pStyle w:val="ListParagraph"/>
        <w:numPr>
          <w:ilvl w:val="0"/>
          <w:numId w:val="1"/>
        </w:numPr>
        <w:spacing w:line="480" w:lineRule="auto"/>
        <w:ind w:left="720"/>
      </w:pPr>
      <w:r w:rsidRPr="008C7FF3">
        <w:t xml:space="preserve">Zweig RA, </w:t>
      </w:r>
      <w:proofErr w:type="spellStart"/>
      <w:r w:rsidRPr="008C7FF3">
        <w:t>Hinrichsen</w:t>
      </w:r>
      <w:proofErr w:type="spellEnd"/>
      <w:r w:rsidRPr="008C7FF3">
        <w:t xml:space="preserve"> GA. Factors associated with suicide attempts by depressed older adults: a prospective study. </w:t>
      </w:r>
      <w:r w:rsidRPr="008C7FF3">
        <w:rPr>
          <w:i/>
        </w:rPr>
        <w:t>Am J Psychiatry</w:t>
      </w:r>
      <w:r w:rsidRPr="008C7FF3">
        <w:t xml:space="preserve"> 1993;</w:t>
      </w:r>
      <w:r w:rsidRPr="008C7FF3">
        <w:rPr>
          <w:b/>
        </w:rPr>
        <w:t>150</w:t>
      </w:r>
      <w:r w:rsidRPr="008C7FF3">
        <w:t>(11):1687.</w:t>
      </w:r>
    </w:p>
    <w:p w14:paraId="5D9F083B" w14:textId="7073D319" w:rsidR="00B252B5" w:rsidRDefault="00B252B5">
      <w:pPr>
        <w:spacing w:after="160" w:line="259" w:lineRule="auto"/>
        <w:rPr>
          <w:rFonts w:cs="Times New Roman"/>
          <w:b/>
          <w:szCs w:val="24"/>
        </w:rPr>
      </w:pPr>
      <w:r>
        <w:rPr>
          <w:rFonts w:cs="Times New Roman"/>
          <w:b/>
          <w:szCs w:val="24"/>
        </w:rPr>
        <w:br w:type="page"/>
      </w:r>
    </w:p>
    <w:p w14:paraId="267647A4" w14:textId="77777777" w:rsidR="00E42300" w:rsidRDefault="00E42300" w:rsidP="004D619C">
      <w:pPr>
        <w:spacing w:line="480" w:lineRule="auto"/>
        <w:rPr>
          <w:rFonts w:cs="Times New Roman"/>
          <w:b/>
          <w:szCs w:val="24"/>
        </w:rPr>
      </w:pPr>
    </w:p>
    <w:p w14:paraId="014C53A8" w14:textId="77777777" w:rsidR="00E42300" w:rsidRDefault="00E42300" w:rsidP="004D619C">
      <w:pPr>
        <w:spacing w:line="480" w:lineRule="auto"/>
        <w:rPr>
          <w:rFonts w:cs="Times New Roman"/>
          <w:b/>
          <w:szCs w:val="24"/>
        </w:rPr>
      </w:pPr>
    </w:p>
    <w:p w14:paraId="66603F23" w14:textId="5F6A777D" w:rsidR="00E42300" w:rsidRDefault="00E42300" w:rsidP="004D619C">
      <w:pPr>
        <w:spacing w:line="480" w:lineRule="auto"/>
        <w:rPr>
          <w:rFonts w:cs="Times New Roman"/>
          <w:b/>
          <w:szCs w:val="24"/>
        </w:rPr>
      </w:pPr>
      <w:r>
        <w:rPr>
          <w:rFonts w:cs="Times New Roman"/>
          <w:b/>
          <w:szCs w:val="24"/>
        </w:rPr>
        <w:t>Supplementary data</w:t>
      </w:r>
      <w:r w:rsidR="00B252B5">
        <w:rPr>
          <w:rFonts w:cs="Times New Roman"/>
          <w:b/>
          <w:szCs w:val="24"/>
        </w:rPr>
        <w:t xml:space="preserve"> </w:t>
      </w:r>
      <w:r>
        <w:rPr>
          <w:rFonts w:cs="Times New Roman"/>
          <w:b/>
          <w:szCs w:val="24"/>
        </w:rPr>
        <w:t>2.</w:t>
      </w:r>
    </w:p>
    <w:p w14:paraId="10AE3B35" w14:textId="2A179949" w:rsidR="009412F6" w:rsidRPr="004D619C" w:rsidRDefault="00B27DC0" w:rsidP="004D619C">
      <w:pPr>
        <w:spacing w:line="480" w:lineRule="auto"/>
        <w:rPr>
          <w:rFonts w:cs="Times New Roman"/>
          <w:b/>
          <w:szCs w:val="24"/>
        </w:rPr>
      </w:pPr>
      <w:r>
        <w:rPr>
          <w:rFonts w:cs="Times New Roman"/>
          <w:b/>
          <w:szCs w:val="24"/>
        </w:rPr>
        <w:t xml:space="preserve"> </w:t>
      </w:r>
      <w:r w:rsidR="009412F6" w:rsidRPr="004D619C">
        <w:rPr>
          <w:rFonts w:cs="Times New Roman"/>
          <w:b/>
          <w:szCs w:val="24"/>
        </w:rPr>
        <w:t>Hazard Ratio Analyses</w:t>
      </w:r>
    </w:p>
    <w:p w14:paraId="07221010" w14:textId="77777777" w:rsidR="009412F6" w:rsidRPr="004D619C" w:rsidRDefault="009412F6" w:rsidP="004D619C">
      <w:pPr>
        <w:spacing w:line="480" w:lineRule="auto"/>
        <w:rPr>
          <w:rFonts w:cs="Times New Roman"/>
          <w:b/>
          <w:szCs w:val="24"/>
        </w:rPr>
      </w:pPr>
      <w:r w:rsidRPr="004D619C">
        <w:rPr>
          <w:rFonts w:cs="Times New Roman"/>
          <w:b/>
          <w:szCs w:val="24"/>
        </w:rPr>
        <w:t>Overall Prediction and Publication Bias</w:t>
      </w:r>
    </w:p>
    <w:p w14:paraId="40CEE4F1" w14:textId="10173AF6" w:rsidR="003B5AA2" w:rsidRPr="004D619C" w:rsidRDefault="003B5AA2" w:rsidP="004D619C">
      <w:pPr>
        <w:spacing w:line="480" w:lineRule="auto"/>
        <w:rPr>
          <w:rFonts w:cs="Times New Roman"/>
          <w:szCs w:val="24"/>
        </w:rPr>
      </w:pPr>
      <w:r w:rsidRPr="004D619C">
        <w:rPr>
          <w:rFonts w:cs="Times New Roman"/>
          <w:b/>
          <w:szCs w:val="24"/>
        </w:rPr>
        <w:tab/>
      </w:r>
      <w:r w:rsidRPr="004D619C">
        <w:rPr>
          <w:rFonts w:cs="Times New Roman"/>
          <w:szCs w:val="24"/>
        </w:rPr>
        <w:t xml:space="preserve">Refer to Supplementary Table </w:t>
      </w:r>
      <w:r w:rsidR="00B252B5">
        <w:rPr>
          <w:rFonts w:cs="Times New Roman"/>
          <w:szCs w:val="24"/>
        </w:rPr>
        <w:t>2</w:t>
      </w:r>
      <w:r w:rsidRPr="004D619C">
        <w:rPr>
          <w:rFonts w:cs="Times New Roman"/>
          <w:szCs w:val="24"/>
        </w:rPr>
        <w:t xml:space="preserve"> and Supplementary Figure 1 for publication bias results.</w:t>
      </w:r>
    </w:p>
    <w:p w14:paraId="5C31D50E" w14:textId="77777777" w:rsidR="004D619C" w:rsidRPr="004D619C" w:rsidRDefault="009412F6" w:rsidP="004D619C">
      <w:pPr>
        <w:spacing w:line="480" w:lineRule="auto"/>
        <w:rPr>
          <w:rFonts w:cs="Times New Roman"/>
          <w:szCs w:val="24"/>
        </w:rPr>
      </w:pPr>
      <w:r w:rsidRPr="004D619C">
        <w:rPr>
          <w:rFonts w:cs="Times New Roman"/>
          <w:b/>
          <w:szCs w:val="24"/>
        </w:rPr>
        <w:tab/>
        <w:t xml:space="preserve">Ideation. </w:t>
      </w:r>
      <w:r w:rsidR="00032E58">
        <w:rPr>
          <w:rFonts w:cs="Times New Roman"/>
          <w:szCs w:val="24"/>
        </w:rPr>
        <w:t xml:space="preserve">Only two cases were available in the prediction of suicide ideation, precluding reliable meta-analytic estimates. </w:t>
      </w:r>
    </w:p>
    <w:p w14:paraId="7EC75C50" w14:textId="77777777" w:rsidR="009412F6" w:rsidRPr="009C073C" w:rsidRDefault="009412F6" w:rsidP="004D619C">
      <w:pPr>
        <w:spacing w:line="480" w:lineRule="auto"/>
        <w:rPr>
          <w:rFonts w:cs="Times New Roman"/>
          <w:szCs w:val="24"/>
        </w:rPr>
      </w:pPr>
      <w:r w:rsidRPr="004D619C">
        <w:rPr>
          <w:rFonts w:cs="Times New Roman"/>
          <w:b/>
          <w:szCs w:val="24"/>
        </w:rPr>
        <w:tab/>
        <w:t>Attempt.</w:t>
      </w:r>
      <w:r w:rsidR="009C073C">
        <w:rPr>
          <w:rFonts w:cs="Times New Roman"/>
          <w:b/>
          <w:szCs w:val="24"/>
        </w:rPr>
        <w:t xml:space="preserve"> </w:t>
      </w:r>
      <w:r w:rsidR="009C073C">
        <w:rPr>
          <w:rFonts w:cs="Times New Roman"/>
          <w:szCs w:val="24"/>
        </w:rPr>
        <w:t xml:space="preserve">HR analyses included 34 prediction cases, which yielded a </w:t>
      </w:r>
      <w:proofErr w:type="spellStart"/>
      <w:r w:rsidR="009C073C">
        <w:rPr>
          <w:rFonts w:cs="Times New Roman"/>
          <w:szCs w:val="24"/>
        </w:rPr>
        <w:t>wHR</w:t>
      </w:r>
      <w:proofErr w:type="spellEnd"/>
      <w:r w:rsidR="009C073C">
        <w:rPr>
          <w:rFonts w:cs="Times New Roman"/>
          <w:szCs w:val="24"/>
        </w:rPr>
        <w:t xml:space="preserve"> of 1.10 (1.05, 1.15). Between-study heterogeneity was high (88.</w:t>
      </w:r>
      <w:r w:rsidR="00E8491C">
        <w:rPr>
          <w:rFonts w:cs="Times New Roman"/>
          <w:szCs w:val="24"/>
        </w:rPr>
        <w:t>1</w:t>
      </w:r>
      <w:r w:rsidR="009C073C">
        <w:rPr>
          <w:rFonts w:cs="Times New Roman"/>
          <w:szCs w:val="24"/>
        </w:rPr>
        <w:t>%) and publication bias was evident across several indices. When the overall prediction estimate is adjusted for publication bias, the effect would be reduced to 1.06 (</w:t>
      </w:r>
      <w:r w:rsidR="00E8491C" w:rsidRPr="004D619C">
        <w:rPr>
          <w:rFonts w:cs="Times New Roman"/>
          <w:szCs w:val="24"/>
        </w:rPr>
        <w:t xml:space="preserve">95% CI: </w:t>
      </w:r>
      <w:r w:rsidR="009C073C">
        <w:rPr>
          <w:rFonts w:cs="Times New Roman"/>
          <w:szCs w:val="24"/>
        </w:rPr>
        <w:t xml:space="preserve">1.01, 1.12).  </w:t>
      </w:r>
    </w:p>
    <w:p w14:paraId="412D6E49" w14:textId="77777777" w:rsidR="009412F6" w:rsidRPr="00E8491C" w:rsidRDefault="009412F6" w:rsidP="00E8491C">
      <w:pPr>
        <w:spacing w:line="480" w:lineRule="auto"/>
        <w:rPr>
          <w:rFonts w:cs="Times New Roman"/>
          <w:szCs w:val="24"/>
        </w:rPr>
      </w:pPr>
      <w:r w:rsidRPr="004D619C">
        <w:rPr>
          <w:rFonts w:cs="Times New Roman"/>
          <w:b/>
          <w:szCs w:val="24"/>
        </w:rPr>
        <w:tab/>
        <w:t>Death.</w:t>
      </w:r>
      <w:r w:rsidR="00E8491C">
        <w:rPr>
          <w:rFonts w:cs="Times New Roman"/>
          <w:b/>
          <w:szCs w:val="24"/>
        </w:rPr>
        <w:t xml:space="preserve"> </w:t>
      </w:r>
      <w:r w:rsidR="00E8491C">
        <w:rPr>
          <w:rFonts w:cs="Times New Roman"/>
          <w:szCs w:val="24"/>
        </w:rPr>
        <w:t xml:space="preserve">A total of </w:t>
      </w:r>
      <w:r w:rsidR="009720F4">
        <w:rPr>
          <w:rFonts w:cs="Times New Roman"/>
          <w:szCs w:val="24"/>
        </w:rPr>
        <w:t xml:space="preserve">23 </w:t>
      </w:r>
      <w:r w:rsidR="00E8491C">
        <w:rPr>
          <w:rFonts w:cs="Times New Roman"/>
          <w:szCs w:val="24"/>
        </w:rPr>
        <w:t xml:space="preserve">cases were included in HR analyses, generating a </w:t>
      </w:r>
      <w:proofErr w:type="spellStart"/>
      <w:r w:rsidR="00E8491C">
        <w:rPr>
          <w:rFonts w:cs="Times New Roman"/>
          <w:szCs w:val="24"/>
        </w:rPr>
        <w:t>wHR</w:t>
      </w:r>
      <w:proofErr w:type="spellEnd"/>
      <w:r w:rsidR="00E8491C">
        <w:rPr>
          <w:rFonts w:cs="Times New Roman"/>
          <w:szCs w:val="24"/>
        </w:rPr>
        <w:t xml:space="preserve"> of </w:t>
      </w:r>
      <w:r w:rsidR="009720F4">
        <w:rPr>
          <w:rFonts w:cs="Times New Roman"/>
          <w:szCs w:val="24"/>
        </w:rPr>
        <w:t>3.16</w:t>
      </w:r>
      <w:r w:rsidR="00E8491C">
        <w:rPr>
          <w:rFonts w:cs="Times New Roman"/>
          <w:szCs w:val="24"/>
        </w:rPr>
        <w:t xml:space="preserve"> (</w:t>
      </w:r>
      <w:r w:rsidR="00E8491C" w:rsidRPr="004D619C">
        <w:rPr>
          <w:rFonts w:cs="Times New Roman"/>
          <w:szCs w:val="24"/>
        </w:rPr>
        <w:t>95% CI:</w:t>
      </w:r>
      <w:r w:rsidR="00E8491C">
        <w:rPr>
          <w:rFonts w:cs="Times New Roman"/>
          <w:szCs w:val="24"/>
        </w:rPr>
        <w:t xml:space="preserve"> </w:t>
      </w:r>
      <w:r w:rsidR="009720F4">
        <w:rPr>
          <w:rFonts w:cs="Times New Roman"/>
          <w:szCs w:val="24"/>
        </w:rPr>
        <w:t>2.58, 3.87</w:t>
      </w:r>
      <w:r w:rsidR="00E8491C">
        <w:rPr>
          <w:rFonts w:cs="Times New Roman"/>
          <w:szCs w:val="24"/>
        </w:rPr>
        <w:t>). Again, between-study heterogeneity was high (97.</w:t>
      </w:r>
      <w:r w:rsidR="009720F4">
        <w:rPr>
          <w:rFonts w:cs="Times New Roman"/>
          <w:szCs w:val="24"/>
        </w:rPr>
        <w:t>3</w:t>
      </w:r>
      <w:r w:rsidR="00E8491C">
        <w:rPr>
          <w:rFonts w:cs="Times New Roman"/>
          <w:szCs w:val="24"/>
        </w:rPr>
        <w:t>%). The overall prediction estimate would be attenuated after adjusting for publication bias (</w:t>
      </w:r>
      <w:proofErr w:type="spellStart"/>
      <w:r w:rsidR="00E8491C">
        <w:rPr>
          <w:rFonts w:cs="Times New Roman"/>
          <w:szCs w:val="24"/>
        </w:rPr>
        <w:t>wHR</w:t>
      </w:r>
      <w:proofErr w:type="spellEnd"/>
      <w:r w:rsidR="00E8491C">
        <w:rPr>
          <w:rFonts w:cs="Times New Roman"/>
          <w:szCs w:val="24"/>
        </w:rPr>
        <w:t xml:space="preserve"> = 1.</w:t>
      </w:r>
      <w:r w:rsidR="009720F4">
        <w:rPr>
          <w:rFonts w:cs="Times New Roman"/>
          <w:szCs w:val="24"/>
        </w:rPr>
        <w:t xml:space="preserve">52 </w:t>
      </w:r>
      <w:r w:rsidR="00E8491C">
        <w:rPr>
          <w:rFonts w:cs="Times New Roman"/>
          <w:szCs w:val="24"/>
        </w:rPr>
        <w:t>[1.</w:t>
      </w:r>
      <w:r w:rsidR="009720F4">
        <w:rPr>
          <w:rFonts w:cs="Times New Roman"/>
          <w:szCs w:val="24"/>
        </w:rPr>
        <w:t>24</w:t>
      </w:r>
      <w:r w:rsidR="00E8491C">
        <w:rPr>
          <w:rFonts w:cs="Times New Roman"/>
          <w:szCs w:val="24"/>
        </w:rPr>
        <w:t>, 1.</w:t>
      </w:r>
      <w:r w:rsidR="009720F4">
        <w:rPr>
          <w:rFonts w:cs="Times New Roman"/>
          <w:szCs w:val="24"/>
        </w:rPr>
        <w:t>8</w:t>
      </w:r>
      <w:r w:rsidR="00E8491C">
        <w:rPr>
          <w:rFonts w:cs="Times New Roman"/>
          <w:szCs w:val="24"/>
        </w:rPr>
        <w:t>6]).</w:t>
      </w:r>
    </w:p>
    <w:p w14:paraId="06ECBEDD" w14:textId="77777777" w:rsidR="009412F6" w:rsidRDefault="009412F6" w:rsidP="004D619C">
      <w:pPr>
        <w:spacing w:line="480" w:lineRule="auto"/>
        <w:rPr>
          <w:rFonts w:cs="Times New Roman"/>
          <w:b/>
          <w:szCs w:val="24"/>
        </w:rPr>
      </w:pPr>
      <w:r w:rsidRPr="004D619C">
        <w:rPr>
          <w:rFonts w:cs="Times New Roman"/>
          <w:b/>
          <w:szCs w:val="24"/>
        </w:rPr>
        <w:t>Risk Factor Category Analyses</w:t>
      </w:r>
    </w:p>
    <w:p w14:paraId="4362DDAE" w14:textId="77777777" w:rsidR="00185DB2" w:rsidRPr="00185DB2" w:rsidRDefault="00E8491C" w:rsidP="004D619C">
      <w:pPr>
        <w:spacing w:line="480" w:lineRule="auto"/>
        <w:rPr>
          <w:rFonts w:cs="Times New Roman"/>
          <w:szCs w:val="24"/>
        </w:rPr>
      </w:pPr>
      <w:r>
        <w:rPr>
          <w:rFonts w:cs="Times New Roman"/>
          <w:b/>
          <w:szCs w:val="24"/>
        </w:rPr>
        <w:tab/>
      </w:r>
      <w:r w:rsidR="00185DB2">
        <w:rPr>
          <w:rFonts w:cs="Times New Roman"/>
          <w:szCs w:val="24"/>
        </w:rPr>
        <w:t xml:space="preserve">As with OR analyses, more than three prediction cases were required for each risk factor category analysis to ensure reliability of estimates. </w:t>
      </w:r>
    </w:p>
    <w:p w14:paraId="42DF3B4C" w14:textId="77777777" w:rsidR="00E8491C" w:rsidRDefault="00E8491C" w:rsidP="00185DB2">
      <w:pPr>
        <w:spacing w:line="480" w:lineRule="auto"/>
        <w:ind w:firstLine="720"/>
        <w:rPr>
          <w:rFonts w:cs="Times New Roman"/>
          <w:szCs w:val="24"/>
        </w:rPr>
      </w:pPr>
      <w:r>
        <w:rPr>
          <w:rFonts w:cs="Times New Roman"/>
          <w:b/>
          <w:szCs w:val="24"/>
        </w:rPr>
        <w:t xml:space="preserve">Hopelessness. </w:t>
      </w:r>
      <w:r w:rsidR="00715408">
        <w:rPr>
          <w:rFonts w:cs="Times New Roman"/>
          <w:szCs w:val="24"/>
        </w:rPr>
        <w:t>Hopelessness was a significant predictor of attempt (</w:t>
      </w:r>
      <w:proofErr w:type="spellStart"/>
      <w:r w:rsidR="00715408">
        <w:rPr>
          <w:rFonts w:cs="Times New Roman"/>
          <w:szCs w:val="24"/>
        </w:rPr>
        <w:t>wHR</w:t>
      </w:r>
      <w:proofErr w:type="spellEnd"/>
      <w:r w:rsidR="00715408">
        <w:rPr>
          <w:rFonts w:cs="Times New Roman"/>
          <w:szCs w:val="24"/>
        </w:rPr>
        <w:t xml:space="preserve"> = 1.16 [95% CI: 1.08, 1.25]). There were too few cases in the prediction of death (n = 2) and ideation (n = 0) to produce reliable estimates.</w:t>
      </w:r>
    </w:p>
    <w:p w14:paraId="08F29958" w14:textId="77777777" w:rsidR="00715408" w:rsidRDefault="00715408" w:rsidP="00D94E75">
      <w:pPr>
        <w:spacing w:line="480" w:lineRule="auto"/>
        <w:ind w:firstLine="720"/>
        <w:rPr>
          <w:rFonts w:cs="Times New Roman"/>
          <w:b/>
          <w:szCs w:val="24"/>
        </w:rPr>
      </w:pPr>
      <w:r>
        <w:rPr>
          <w:rFonts w:cs="Times New Roman"/>
          <w:b/>
          <w:szCs w:val="24"/>
        </w:rPr>
        <w:t>Depression-Related Disorders and Symptoms</w:t>
      </w:r>
      <w:r w:rsidR="00D94E75">
        <w:rPr>
          <w:rFonts w:cs="Times New Roman"/>
          <w:b/>
          <w:szCs w:val="24"/>
        </w:rPr>
        <w:t>.</w:t>
      </w:r>
    </w:p>
    <w:p w14:paraId="5DF18A6D" w14:textId="77777777" w:rsidR="00715408" w:rsidRDefault="00715408" w:rsidP="00715408">
      <w:pPr>
        <w:spacing w:line="480" w:lineRule="auto"/>
        <w:rPr>
          <w:rFonts w:cs="Times New Roman"/>
          <w:szCs w:val="24"/>
        </w:rPr>
      </w:pPr>
      <w:r>
        <w:rPr>
          <w:rFonts w:cs="Times New Roman"/>
          <w:b/>
          <w:szCs w:val="24"/>
        </w:rPr>
        <w:lastRenderedPageBreak/>
        <w:tab/>
      </w:r>
      <w:r w:rsidRPr="00D94E75">
        <w:rPr>
          <w:rFonts w:cs="Times New Roman"/>
          <w:b/>
          <w:i/>
          <w:szCs w:val="24"/>
        </w:rPr>
        <w:t>MDD Diagnosis.</w:t>
      </w:r>
      <w:r>
        <w:rPr>
          <w:rFonts w:cs="Times New Roman"/>
          <w:b/>
          <w:szCs w:val="24"/>
        </w:rPr>
        <w:t xml:space="preserve"> </w:t>
      </w:r>
      <w:r>
        <w:rPr>
          <w:rFonts w:cs="Times New Roman"/>
          <w:szCs w:val="24"/>
        </w:rPr>
        <w:t>Not enough cases existed to report reliable estimates for the effects of MDD diagnosis on ideation (n = 0), attempt (n = 0), or death (n = 2).</w:t>
      </w:r>
    </w:p>
    <w:p w14:paraId="1658600D" w14:textId="77777777" w:rsidR="00715408" w:rsidRDefault="00715408" w:rsidP="00715408">
      <w:pPr>
        <w:spacing w:line="480" w:lineRule="auto"/>
        <w:rPr>
          <w:rFonts w:cs="Times New Roman"/>
          <w:szCs w:val="24"/>
        </w:rPr>
      </w:pPr>
      <w:r>
        <w:rPr>
          <w:rFonts w:cs="Times New Roman"/>
          <w:szCs w:val="24"/>
        </w:rPr>
        <w:tab/>
      </w:r>
      <w:r w:rsidRPr="00D94E75">
        <w:rPr>
          <w:rFonts w:cs="Times New Roman"/>
          <w:b/>
          <w:i/>
          <w:szCs w:val="24"/>
        </w:rPr>
        <w:t>Depression Symptoms.</w:t>
      </w:r>
      <w:r>
        <w:rPr>
          <w:rFonts w:cs="Times New Roman"/>
          <w:b/>
          <w:szCs w:val="24"/>
        </w:rPr>
        <w:t xml:space="preserve"> </w:t>
      </w:r>
      <w:r>
        <w:rPr>
          <w:rFonts w:cs="Times New Roman"/>
          <w:szCs w:val="24"/>
        </w:rPr>
        <w:t>Symptoms of depression significantly increased the odds of attempt (</w:t>
      </w:r>
      <w:proofErr w:type="spellStart"/>
      <w:r>
        <w:rPr>
          <w:rFonts w:cs="Times New Roman"/>
          <w:szCs w:val="24"/>
        </w:rPr>
        <w:t>wHR</w:t>
      </w:r>
      <w:proofErr w:type="spellEnd"/>
      <w:r>
        <w:rPr>
          <w:rFonts w:cs="Times New Roman"/>
          <w:szCs w:val="24"/>
        </w:rPr>
        <w:t xml:space="preserve"> = 1.08 [95% CI: 1.03, 1.14]) and death (</w:t>
      </w:r>
      <w:proofErr w:type="spellStart"/>
      <w:r>
        <w:rPr>
          <w:rFonts w:cs="Times New Roman"/>
          <w:szCs w:val="24"/>
        </w:rPr>
        <w:t>wHR</w:t>
      </w:r>
      <w:proofErr w:type="spellEnd"/>
      <w:r>
        <w:rPr>
          <w:rFonts w:cs="Times New Roman"/>
          <w:szCs w:val="24"/>
        </w:rPr>
        <w:t xml:space="preserve"> = </w:t>
      </w:r>
      <w:r w:rsidR="009720F4">
        <w:rPr>
          <w:rFonts w:cs="Times New Roman"/>
          <w:szCs w:val="24"/>
        </w:rPr>
        <w:t>1.26</w:t>
      </w:r>
      <w:r>
        <w:rPr>
          <w:rFonts w:cs="Times New Roman"/>
          <w:szCs w:val="24"/>
        </w:rPr>
        <w:t xml:space="preserve"> [95% CI: 1.10, 1.43]); however, there was an insufficient number of prediction cases for ideation (n = 2).</w:t>
      </w:r>
      <w:r w:rsidR="007C1405">
        <w:rPr>
          <w:rFonts w:cs="Times New Roman"/>
          <w:szCs w:val="24"/>
        </w:rPr>
        <w:t xml:space="preserve"> Given the limited number of cases in this category, we were not able to examine the specific effects of self-report inventories. </w:t>
      </w:r>
    </w:p>
    <w:p w14:paraId="57698E24" w14:textId="77777777" w:rsidR="007C1405" w:rsidRPr="00B06E42" w:rsidRDefault="007C1405" w:rsidP="00715408">
      <w:pPr>
        <w:spacing w:line="480" w:lineRule="auto"/>
        <w:rPr>
          <w:rFonts w:cs="Times New Roman"/>
          <w:szCs w:val="24"/>
        </w:rPr>
      </w:pPr>
      <w:r>
        <w:rPr>
          <w:rFonts w:cs="Times New Roman"/>
          <w:szCs w:val="24"/>
        </w:rPr>
        <w:tab/>
      </w:r>
      <w:r w:rsidR="007E2AE9">
        <w:rPr>
          <w:rFonts w:cs="Times New Roman"/>
          <w:b/>
          <w:i/>
          <w:szCs w:val="24"/>
        </w:rPr>
        <w:t xml:space="preserve">Clinical Features of </w:t>
      </w:r>
      <w:r w:rsidR="006B034D">
        <w:rPr>
          <w:rFonts w:cs="Times New Roman"/>
          <w:b/>
          <w:i/>
          <w:szCs w:val="24"/>
        </w:rPr>
        <w:t>Depression</w:t>
      </w:r>
      <w:r w:rsidRPr="00D94E75">
        <w:rPr>
          <w:rFonts w:cs="Times New Roman"/>
          <w:b/>
          <w:i/>
          <w:szCs w:val="24"/>
        </w:rPr>
        <w:t>.</w:t>
      </w:r>
      <w:r w:rsidR="00EC531B" w:rsidRPr="00D94E75">
        <w:rPr>
          <w:rFonts w:cs="Times New Roman"/>
          <w:b/>
          <w:i/>
          <w:szCs w:val="24"/>
        </w:rPr>
        <w:t xml:space="preserve">  </w:t>
      </w:r>
      <w:r w:rsidR="00B06E42">
        <w:rPr>
          <w:rFonts w:cs="Times New Roman"/>
          <w:szCs w:val="24"/>
        </w:rPr>
        <w:t>Aspects of depression were significant predictors of suicide death (</w:t>
      </w:r>
      <w:proofErr w:type="spellStart"/>
      <w:r w:rsidR="00B06E42">
        <w:rPr>
          <w:rFonts w:cs="Times New Roman"/>
          <w:szCs w:val="24"/>
        </w:rPr>
        <w:t>wHR</w:t>
      </w:r>
      <w:proofErr w:type="spellEnd"/>
      <w:r w:rsidR="00B06E42">
        <w:rPr>
          <w:rFonts w:cs="Times New Roman"/>
          <w:szCs w:val="24"/>
        </w:rPr>
        <w:t xml:space="preserve"> = 2.46 [95% CI: 1.28, 4.74]), but not attempts (</w:t>
      </w:r>
      <w:proofErr w:type="spellStart"/>
      <w:r w:rsidR="00B06E42">
        <w:rPr>
          <w:rFonts w:cs="Times New Roman"/>
          <w:szCs w:val="24"/>
        </w:rPr>
        <w:t>wHR</w:t>
      </w:r>
      <w:proofErr w:type="spellEnd"/>
      <w:r w:rsidR="00B06E42">
        <w:rPr>
          <w:rFonts w:cs="Times New Roman"/>
          <w:szCs w:val="24"/>
        </w:rPr>
        <w:t xml:space="preserve"> = 1.03 [95% CI: 0.93, .14]). There were no prediction cases for ideation. Given the small number of cases for attempts and death, we were not able to report reliable estimates for finer-grained analyses of specific aspects of depression (e.g., age of onset, number of episodes, etc.). </w:t>
      </w:r>
    </w:p>
    <w:p w14:paraId="077ED67F" w14:textId="77777777" w:rsidR="00D94E75" w:rsidRDefault="007C1405" w:rsidP="00715408">
      <w:pPr>
        <w:spacing w:line="480" w:lineRule="auto"/>
        <w:rPr>
          <w:rFonts w:cs="Times New Roman"/>
          <w:szCs w:val="24"/>
        </w:rPr>
      </w:pPr>
      <w:r>
        <w:rPr>
          <w:rFonts w:cs="Times New Roman"/>
          <w:b/>
          <w:szCs w:val="24"/>
        </w:rPr>
        <w:tab/>
      </w:r>
      <w:r w:rsidR="007E2AE9">
        <w:rPr>
          <w:rFonts w:cs="Times New Roman"/>
          <w:b/>
          <w:i/>
          <w:szCs w:val="24"/>
        </w:rPr>
        <w:t>Unspecified</w:t>
      </w:r>
      <w:r w:rsidR="00D94E75" w:rsidRPr="00D94E75">
        <w:rPr>
          <w:rFonts w:cs="Times New Roman"/>
          <w:b/>
          <w:i/>
          <w:szCs w:val="24"/>
        </w:rPr>
        <w:t xml:space="preserve"> Mood Disorder Diagnosis</w:t>
      </w:r>
      <w:r w:rsidR="00D94E75">
        <w:rPr>
          <w:rFonts w:cs="Times New Roman"/>
          <w:b/>
          <w:szCs w:val="24"/>
        </w:rPr>
        <w:t xml:space="preserve">. </w:t>
      </w:r>
      <w:r w:rsidR="00D94E75">
        <w:rPr>
          <w:rFonts w:cs="Times New Roman"/>
          <w:szCs w:val="24"/>
        </w:rPr>
        <w:t>Non-MDD mood disorder diagnosis significantly increased risk of death (</w:t>
      </w:r>
      <w:proofErr w:type="spellStart"/>
      <w:r w:rsidR="00D94E75">
        <w:rPr>
          <w:rFonts w:cs="Times New Roman"/>
          <w:szCs w:val="24"/>
        </w:rPr>
        <w:t>wHR</w:t>
      </w:r>
      <w:proofErr w:type="spellEnd"/>
      <w:r w:rsidR="00D94E75">
        <w:rPr>
          <w:rFonts w:cs="Times New Roman"/>
          <w:szCs w:val="24"/>
        </w:rPr>
        <w:t xml:space="preserve"> = 3.90 [95% CI: 2.36, 6.43]). Not enough cases were available to evaluate the effects on ideation (n = 0) or attempts (n = 2). </w:t>
      </w:r>
    </w:p>
    <w:p w14:paraId="27F76A54" w14:textId="77777777" w:rsidR="007C1405" w:rsidRPr="002A20F7" w:rsidRDefault="007C1405" w:rsidP="007E2AE9">
      <w:pPr>
        <w:spacing w:line="480" w:lineRule="auto"/>
        <w:ind w:firstLine="720"/>
        <w:rPr>
          <w:rFonts w:cs="Times New Roman"/>
          <w:szCs w:val="24"/>
        </w:rPr>
      </w:pPr>
      <w:r>
        <w:rPr>
          <w:rFonts w:cs="Times New Roman"/>
          <w:b/>
          <w:szCs w:val="24"/>
        </w:rPr>
        <w:t>Family History of Depression.</w:t>
      </w:r>
      <w:r w:rsidR="00D34182">
        <w:rPr>
          <w:rFonts w:cs="Times New Roman"/>
          <w:b/>
          <w:szCs w:val="24"/>
        </w:rPr>
        <w:t xml:space="preserve"> </w:t>
      </w:r>
      <w:r w:rsidR="00D34182">
        <w:rPr>
          <w:rFonts w:cs="Times New Roman"/>
          <w:szCs w:val="24"/>
        </w:rPr>
        <w:t xml:space="preserve">No prediction cases were available examining family history of depression that reported HR estimates across any outcomes. </w:t>
      </w:r>
    </w:p>
    <w:p w14:paraId="59B6E817" w14:textId="77777777" w:rsidR="007C1405" w:rsidRDefault="009412F6" w:rsidP="004D619C">
      <w:pPr>
        <w:spacing w:line="480" w:lineRule="auto"/>
        <w:rPr>
          <w:rFonts w:cs="Times New Roman"/>
          <w:b/>
          <w:szCs w:val="24"/>
        </w:rPr>
      </w:pPr>
      <w:r w:rsidRPr="004D619C">
        <w:rPr>
          <w:rFonts w:cs="Times New Roman"/>
          <w:b/>
          <w:szCs w:val="24"/>
        </w:rPr>
        <w:t>Moderation Analyses</w:t>
      </w:r>
    </w:p>
    <w:p w14:paraId="58F29072" w14:textId="77777777" w:rsidR="007C1405" w:rsidRPr="00F717EE" w:rsidRDefault="007C1405" w:rsidP="00F717EE">
      <w:pPr>
        <w:spacing w:line="480" w:lineRule="auto"/>
        <w:rPr>
          <w:rFonts w:cs="Times New Roman"/>
          <w:szCs w:val="24"/>
        </w:rPr>
      </w:pPr>
      <w:r>
        <w:rPr>
          <w:rFonts w:cs="Times New Roman"/>
          <w:b/>
          <w:szCs w:val="24"/>
        </w:rPr>
        <w:tab/>
        <w:t>Sample Age.</w:t>
      </w:r>
      <w:r w:rsidR="00F717EE">
        <w:rPr>
          <w:rFonts w:cs="Times New Roman"/>
          <w:b/>
          <w:szCs w:val="24"/>
        </w:rPr>
        <w:t xml:space="preserve"> </w:t>
      </w:r>
      <w:r w:rsidR="00F717EE">
        <w:rPr>
          <w:rFonts w:cs="Times New Roman"/>
          <w:szCs w:val="24"/>
        </w:rPr>
        <w:t xml:space="preserve">Prediction of </w:t>
      </w:r>
      <w:r w:rsidR="00F47955">
        <w:rPr>
          <w:rFonts w:cs="Times New Roman"/>
          <w:szCs w:val="24"/>
        </w:rPr>
        <w:t xml:space="preserve">suicide </w:t>
      </w:r>
      <w:r w:rsidR="00F717EE">
        <w:rPr>
          <w:rFonts w:cs="Times New Roman"/>
          <w:szCs w:val="24"/>
        </w:rPr>
        <w:t>death was strongest among samples that included both adults and adolescents (</w:t>
      </w:r>
      <w:proofErr w:type="spellStart"/>
      <w:r w:rsidR="00F717EE">
        <w:rPr>
          <w:rFonts w:cs="Times New Roman"/>
          <w:szCs w:val="24"/>
        </w:rPr>
        <w:t>wHR</w:t>
      </w:r>
      <w:proofErr w:type="spellEnd"/>
      <w:r w:rsidR="00F717EE">
        <w:rPr>
          <w:rFonts w:cs="Times New Roman"/>
          <w:szCs w:val="24"/>
        </w:rPr>
        <w:t xml:space="preserve"> = </w:t>
      </w:r>
      <w:r w:rsidR="00F47955">
        <w:rPr>
          <w:rFonts w:cs="Times New Roman"/>
          <w:szCs w:val="24"/>
        </w:rPr>
        <w:t xml:space="preserve">8.71 </w:t>
      </w:r>
      <w:r w:rsidR="00F717EE">
        <w:rPr>
          <w:rFonts w:cs="Times New Roman"/>
          <w:szCs w:val="24"/>
        </w:rPr>
        <w:t>[</w:t>
      </w:r>
      <w:r w:rsidR="00F47955">
        <w:rPr>
          <w:rFonts w:cs="Times New Roman"/>
          <w:szCs w:val="24"/>
        </w:rPr>
        <w:t>3.48, 21.82</w:t>
      </w:r>
      <w:r w:rsidR="00F717EE">
        <w:rPr>
          <w:rFonts w:cs="Times New Roman"/>
          <w:szCs w:val="24"/>
        </w:rPr>
        <w:t>]) relative to adult only samples (</w:t>
      </w:r>
      <w:proofErr w:type="spellStart"/>
      <w:r w:rsidR="00F717EE">
        <w:rPr>
          <w:rFonts w:cs="Times New Roman"/>
          <w:szCs w:val="24"/>
        </w:rPr>
        <w:t>wHR</w:t>
      </w:r>
      <w:proofErr w:type="spellEnd"/>
      <w:r w:rsidR="00F717EE">
        <w:rPr>
          <w:rFonts w:cs="Times New Roman"/>
          <w:szCs w:val="24"/>
        </w:rPr>
        <w:t xml:space="preserve"> = </w:t>
      </w:r>
      <w:r w:rsidR="005A60FF">
        <w:rPr>
          <w:rFonts w:cs="Times New Roman"/>
          <w:szCs w:val="24"/>
        </w:rPr>
        <w:t xml:space="preserve">2.26 </w:t>
      </w:r>
      <w:r w:rsidR="00F717EE">
        <w:rPr>
          <w:rFonts w:cs="Times New Roman"/>
          <w:szCs w:val="24"/>
        </w:rPr>
        <w:t>[95% CI: 1.</w:t>
      </w:r>
      <w:r w:rsidR="005A60FF">
        <w:rPr>
          <w:rFonts w:cs="Times New Roman"/>
          <w:szCs w:val="24"/>
        </w:rPr>
        <w:t>91</w:t>
      </w:r>
      <w:r w:rsidR="00F717EE">
        <w:rPr>
          <w:rFonts w:cs="Times New Roman"/>
          <w:szCs w:val="24"/>
        </w:rPr>
        <w:t xml:space="preserve">, </w:t>
      </w:r>
      <w:r w:rsidR="005A60FF">
        <w:rPr>
          <w:rFonts w:cs="Times New Roman"/>
          <w:szCs w:val="24"/>
        </w:rPr>
        <w:t>2.67</w:t>
      </w:r>
      <w:r w:rsidR="00F717EE">
        <w:rPr>
          <w:rFonts w:cs="Times New Roman"/>
          <w:szCs w:val="24"/>
        </w:rPr>
        <w:t xml:space="preserve">]); no cases involved adolescent only samples in the prediction of suicide death. For the prediction of suicide attempts, there were too few cases across the adolescent only </w:t>
      </w:r>
      <w:r w:rsidR="00F717EE">
        <w:rPr>
          <w:rFonts w:cs="Times New Roman"/>
          <w:szCs w:val="24"/>
        </w:rPr>
        <w:lastRenderedPageBreak/>
        <w:t>(n = 3) and mixed groups (n = 2) to make meaningful comparisons. Ideation cases only involved adult samples</w:t>
      </w:r>
      <w:r w:rsidR="00DC3015">
        <w:rPr>
          <w:rFonts w:cs="Times New Roman"/>
          <w:szCs w:val="24"/>
        </w:rPr>
        <w:t>, precluding comparisons</w:t>
      </w:r>
      <w:r w:rsidR="00F717EE">
        <w:rPr>
          <w:rFonts w:cs="Times New Roman"/>
          <w:szCs w:val="24"/>
        </w:rPr>
        <w:t>.</w:t>
      </w:r>
    </w:p>
    <w:p w14:paraId="6C9C5A4D" w14:textId="77777777" w:rsidR="007C1405" w:rsidRPr="00A53CFF" w:rsidRDefault="007C1405" w:rsidP="004D619C">
      <w:pPr>
        <w:spacing w:line="480" w:lineRule="auto"/>
        <w:rPr>
          <w:rFonts w:cs="Times New Roman"/>
          <w:szCs w:val="24"/>
        </w:rPr>
      </w:pPr>
      <w:r>
        <w:rPr>
          <w:rFonts w:cs="Times New Roman"/>
          <w:b/>
          <w:szCs w:val="24"/>
        </w:rPr>
        <w:tab/>
        <w:t>Follow-up Length.</w:t>
      </w:r>
      <w:r w:rsidR="00A53CFF">
        <w:rPr>
          <w:rFonts w:cs="Times New Roman"/>
          <w:b/>
          <w:szCs w:val="24"/>
        </w:rPr>
        <w:t xml:space="preserve"> </w:t>
      </w:r>
      <w:r w:rsidR="00A53CFF">
        <w:rPr>
          <w:rFonts w:cs="Times New Roman"/>
          <w:szCs w:val="24"/>
        </w:rPr>
        <w:t xml:space="preserve">We found no significant effect of follow-up length on the prediction of </w:t>
      </w:r>
      <w:r w:rsidR="00F47955">
        <w:rPr>
          <w:rFonts w:cs="Times New Roman"/>
          <w:szCs w:val="24"/>
        </w:rPr>
        <w:t>suicide</w:t>
      </w:r>
      <w:r w:rsidR="00A53CFF">
        <w:rPr>
          <w:rFonts w:cs="Times New Roman"/>
          <w:szCs w:val="24"/>
        </w:rPr>
        <w:t xml:space="preserve"> death (b = -.000</w:t>
      </w:r>
      <w:r w:rsidR="00F47955">
        <w:rPr>
          <w:rFonts w:cs="Times New Roman"/>
          <w:szCs w:val="24"/>
        </w:rPr>
        <w:t>6</w:t>
      </w:r>
      <w:r w:rsidR="00A53CFF">
        <w:rPr>
          <w:rFonts w:cs="Times New Roman"/>
          <w:szCs w:val="24"/>
        </w:rPr>
        <w:t xml:space="preserve">, </w:t>
      </w:r>
      <w:r w:rsidR="008F319D" w:rsidRPr="008F319D">
        <w:rPr>
          <w:rFonts w:cs="Times New Roman"/>
          <w:i/>
          <w:szCs w:val="24"/>
        </w:rPr>
        <w:t>p=</w:t>
      </w:r>
      <w:r w:rsidR="00A53CFF">
        <w:rPr>
          <w:rFonts w:cs="Times New Roman"/>
          <w:szCs w:val="24"/>
        </w:rPr>
        <w:t>.</w:t>
      </w:r>
      <w:r w:rsidR="00F47955">
        <w:rPr>
          <w:rFonts w:cs="Times New Roman"/>
          <w:szCs w:val="24"/>
        </w:rPr>
        <w:t>73</w:t>
      </w:r>
      <w:r w:rsidR="00A53CFF">
        <w:rPr>
          <w:rFonts w:cs="Times New Roman"/>
          <w:szCs w:val="24"/>
        </w:rPr>
        <w:t xml:space="preserve">); there was a significant albeit very small effect on attempt (b = .004, </w:t>
      </w:r>
      <w:r w:rsidR="00A53CFF" w:rsidRPr="008F319D">
        <w:rPr>
          <w:rFonts w:cs="Times New Roman"/>
          <w:i/>
          <w:szCs w:val="24"/>
        </w:rPr>
        <w:t>p</w:t>
      </w:r>
      <w:r w:rsidR="00A53CFF">
        <w:rPr>
          <w:rFonts w:cs="Times New Roman"/>
          <w:szCs w:val="24"/>
        </w:rPr>
        <w:t>&lt;.001).</w:t>
      </w:r>
    </w:p>
    <w:p w14:paraId="45412399" w14:textId="77777777" w:rsidR="00A53CFF" w:rsidRPr="006D71FF" w:rsidRDefault="007C1405" w:rsidP="004D619C">
      <w:pPr>
        <w:spacing w:line="480" w:lineRule="auto"/>
        <w:rPr>
          <w:rFonts w:cs="Times New Roman"/>
          <w:szCs w:val="24"/>
        </w:rPr>
      </w:pPr>
      <w:r>
        <w:rPr>
          <w:rFonts w:cs="Times New Roman"/>
          <w:b/>
          <w:szCs w:val="24"/>
        </w:rPr>
        <w:tab/>
        <w:t>Sample Severity.</w:t>
      </w:r>
      <w:r w:rsidR="006D71FF">
        <w:rPr>
          <w:rFonts w:cs="Times New Roman"/>
          <w:b/>
          <w:szCs w:val="24"/>
        </w:rPr>
        <w:t xml:space="preserve"> </w:t>
      </w:r>
      <w:r w:rsidR="006D71FF">
        <w:rPr>
          <w:rFonts w:cs="Times New Roman"/>
          <w:szCs w:val="24"/>
        </w:rPr>
        <w:t xml:space="preserve">Effects were significantly stronger predicting </w:t>
      </w:r>
      <w:r w:rsidR="00F47955">
        <w:rPr>
          <w:rFonts w:cs="Times New Roman"/>
          <w:szCs w:val="24"/>
        </w:rPr>
        <w:t xml:space="preserve">suicide </w:t>
      </w:r>
      <w:r w:rsidR="006D71FF">
        <w:rPr>
          <w:rFonts w:cs="Times New Roman"/>
          <w:szCs w:val="24"/>
        </w:rPr>
        <w:t xml:space="preserve">death using </w:t>
      </w:r>
      <w:r w:rsidR="00267287">
        <w:rPr>
          <w:rFonts w:cs="Times New Roman"/>
          <w:szCs w:val="24"/>
        </w:rPr>
        <w:t xml:space="preserve">general population </w:t>
      </w:r>
      <w:r w:rsidR="006D71FF">
        <w:rPr>
          <w:rFonts w:cs="Times New Roman"/>
          <w:szCs w:val="24"/>
        </w:rPr>
        <w:t>(</w:t>
      </w:r>
      <w:proofErr w:type="spellStart"/>
      <w:r w:rsidR="006D71FF">
        <w:rPr>
          <w:rFonts w:cs="Times New Roman"/>
          <w:szCs w:val="24"/>
        </w:rPr>
        <w:t>wHR</w:t>
      </w:r>
      <w:proofErr w:type="spellEnd"/>
      <w:r w:rsidR="006D71FF">
        <w:rPr>
          <w:rFonts w:cs="Times New Roman"/>
          <w:szCs w:val="24"/>
        </w:rPr>
        <w:t xml:space="preserve"> = </w:t>
      </w:r>
      <w:r w:rsidR="00F47955">
        <w:rPr>
          <w:rFonts w:cs="Times New Roman"/>
          <w:szCs w:val="24"/>
        </w:rPr>
        <w:t>4.37</w:t>
      </w:r>
      <w:r w:rsidR="006D71FF">
        <w:rPr>
          <w:rFonts w:cs="Times New Roman"/>
          <w:szCs w:val="24"/>
        </w:rPr>
        <w:t xml:space="preserve"> [95% CI: </w:t>
      </w:r>
      <w:r w:rsidR="00F47955">
        <w:rPr>
          <w:rFonts w:cs="Times New Roman"/>
          <w:szCs w:val="24"/>
        </w:rPr>
        <w:t>2.12, 9.02</w:t>
      </w:r>
      <w:r w:rsidR="006D71FF">
        <w:rPr>
          <w:rFonts w:cs="Times New Roman"/>
          <w:szCs w:val="24"/>
        </w:rPr>
        <w:t xml:space="preserve">]) samples relative to clinical (ideation: </w:t>
      </w:r>
      <w:proofErr w:type="spellStart"/>
      <w:r w:rsidR="006D71FF">
        <w:rPr>
          <w:rFonts w:cs="Times New Roman"/>
          <w:szCs w:val="24"/>
        </w:rPr>
        <w:t>wHR</w:t>
      </w:r>
      <w:proofErr w:type="spellEnd"/>
      <w:r w:rsidR="006D71FF">
        <w:rPr>
          <w:rFonts w:cs="Times New Roman"/>
          <w:szCs w:val="24"/>
        </w:rPr>
        <w:t xml:space="preserve"> = 1.06 [ 95% CI: 1.04, 1.08]); death: </w:t>
      </w:r>
      <w:proofErr w:type="spellStart"/>
      <w:r w:rsidR="006D71FF">
        <w:rPr>
          <w:rFonts w:cs="Times New Roman"/>
          <w:szCs w:val="24"/>
        </w:rPr>
        <w:t>wHR</w:t>
      </w:r>
      <w:proofErr w:type="spellEnd"/>
      <w:r w:rsidR="006D71FF">
        <w:rPr>
          <w:rFonts w:cs="Times New Roman"/>
          <w:szCs w:val="24"/>
        </w:rPr>
        <w:t xml:space="preserve"> = 1.</w:t>
      </w:r>
      <w:r w:rsidR="00F47955">
        <w:rPr>
          <w:rFonts w:cs="Times New Roman"/>
          <w:szCs w:val="24"/>
        </w:rPr>
        <w:t xml:space="preserve">62 </w:t>
      </w:r>
      <w:r w:rsidR="006D71FF">
        <w:rPr>
          <w:rFonts w:cs="Times New Roman"/>
          <w:szCs w:val="24"/>
        </w:rPr>
        <w:t>[95% CI: 1.40, 1.87]); no cases used self-injurious samples. For attempt, clinical samples yielded the strongest estimates (</w:t>
      </w:r>
      <w:proofErr w:type="spellStart"/>
      <w:r w:rsidR="006D71FF">
        <w:rPr>
          <w:rFonts w:cs="Times New Roman"/>
          <w:szCs w:val="24"/>
        </w:rPr>
        <w:t>wHR</w:t>
      </w:r>
      <w:proofErr w:type="spellEnd"/>
      <w:r w:rsidR="006D71FF">
        <w:rPr>
          <w:rFonts w:cs="Times New Roman"/>
          <w:szCs w:val="24"/>
        </w:rPr>
        <w:t xml:space="preserve"> = 1.</w:t>
      </w:r>
      <w:r w:rsidR="00F47955">
        <w:rPr>
          <w:rFonts w:cs="Times New Roman"/>
          <w:szCs w:val="24"/>
        </w:rPr>
        <w:t xml:space="preserve">18 </w:t>
      </w:r>
      <w:r w:rsidR="006D71FF">
        <w:rPr>
          <w:rFonts w:cs="Times New Roman"/>
          <w:szCs w:val="24"/>
        </w:rPr>
        <w:t>[95% CI: 1.</w:t>
      </w:r>
      <w:r w:rsidR="00F47955">
        <w:rPr>
          <w:rFonts w:cs="Times New Roman"/>
          <w:szCs w:val="24"/>
        </w:rPr>
        <w:t>10</w:t>
      </w:r>
      <w:r w:rsidR="006D71FF">
        <w:rPr>
          <w:rFonts w:cs="Times New Roman"/>
          <w:szCs w:val="24"/>
        </w:rPr>
        <w:t>, 1.</w:t>
      </w:r>
      <w:r w:rsidR="00F47955">
        <w:rPr>
          <w:rFonts w:cs="Times New Roman"/>
          <w:szCs w:val="24"/>
        </w:rPr>
        <w:t>26</w:t>
      </w:r>
      <w:r w:rsidR="006D71FF">
        <w:rPr>
          <w:rFonts w:cs="Times New Roman"/>
          <w:szCs w:val="24"/>
        </w:rPr>
        <w:t>]); effects from cases using self-injurious samples were non-significant (</w:t>
      </w:r>
      <w:proofErr w:type="spellStart"/>
      <w:r w:rsidR="006D71FF">
        <w:rPr>
          <w:rFonts w:cs="Times New Roman"/>
          <w:szCs w:val="24"/>
        </w:rPr>
        <w:t>wHR</w:t>
      </w:r>
      <w:proofErr w:type="spellEnd"/>
      <w:r w:rsidR="006D71FF">
        <w:rPr>
          <w:rFonts w:cs="Times New Roman"/>
          <w:szCs w:val="24"/>
        </w:rPr>
        <w:t xml:space="preserve"> = 1.</w:t>
      </w:r>
      <w:r w:rsidR="00F47955">
        <w:rPr>
          <w:rFonts w:cs="Times New Roman"/>
          <w:szCs w:val="24"/>
        </w:rPr>
        <w:t xml:space="preserve">05 </w:t>
      </w:r>
      <w:r w:rsidR="006D71FF">
        <w:rPr>
          <w:rFonts w:cs="Times New Roman"/>
          <w:szCs w:val="24"/>
        </w:rPr>
        <w:t xml:space="preserve">[ 95% CI: .98, 1.11]), and only one study used a </w:t>
      </w:r>
      <w:r w:rsidR="00267287">
        <w:rPr>
          <w:rFonts w:cs="Times New Roman"/>
          <w:szCs w:val="24"/>
        </w:rPr>
        <w:t xml:space="preserve">general population </w:t>
      </w:r>
      <w:r w:rsidR="006D71FF">
        <w:rPr>
          <w:rFonts w:cs="Times New Roman"/>
          <w:szCs w:val="24"/>
        </w:rPr>
        <w:t>sample.</w:t>
      </w:r>
    </w:p>
    <w:p w14:paraId="6EFF8683" w14:textId="77777777" w:rsidR="009412F6" w:rsidRDefault="009412F6" w:rsidP="00790FFD">
      <w:pPr>
        <w:rPr>
          <w:rFonts w:cs="Times New Roman"/>
          <w:b/>
          <w:sz w:val="22"/>
        </w:rPr>
        <w:sectPr w:rsidR="009412F6" w:rsidSect="00B252B5">
          <w:pgSz w:w="12240" w:h="15840"/>
          <w:pgMar w:top="1440" w:right="1440" w:bottom="1440" w:left="1440" w:header="720" w:footer="720" w:gutter="0"/>
          <w:cols w:space="720"/>
          <w:docGrid w:linePitch="360"/>
        </w:sectPr>
      </w:pPr>
    </w:p>
    <w:p w14:paraId="0B441ACC" w14:textId="77777777" w:rsidR="008420A9" w:rsidRDefault="008420A9" w:rsidP="008420A9">
      <w:pPr>
        <w:rPr>
          <w:rFonts w:cs="Times New Roman"/>
          <w:b/>
          <w:sz w:val="22"/>
        </w:rPr>
      </w:pPr>
    </w:p>
    <w:p w14:paraId="0242DB54" w14:textId="265CD5DC" w:rsidR="00790FFD" w:rsidRDefault="00790FFD" w:rsidP="008420A9">
      <w:pPr>
        <w:rPr>
          <w:rFonts w:cs="Times New Roman"/>
          <w:b/>
          <w:sz w:val="22"/>
        </w:rPr>
      </w:pPr>
      <w:r>
        <w:rPr>
          <w:rFonts w:cs="Times New Roman"/>
          <w:b/>
          <w:sz w:val="22"/>
        </w:rPr>
        <w:t xml:space="preserve">Supplementary </w:t>
      </w:r>
      <w:r w:rsidRPr="0057143A">
        <w:rPr>
          <w:rFonts w:cs="Times New Roman"/>
          <w:b/>
          <w:sz w:val="22"/>
        </w:rPr>
        <w:t xml:space="preserve">Table </w:t>
      </w:r>
      <w:r w:rsidR="00B27DC0">
        <w:rPr>
          <w:rFonts w:cs="Times New Roman"/>
          <w:b/>
          <w:sz w:val="22"/>
        </w:rPr>
        <w:t>2</w:t>
      </w:r>
      <w:r w:rsidRPr="0057143A">
        <w:rPr>
          <w:rFonts w:cs="Times New Roman"/>
          <w:b/>
          <w:sz w:val="22"/>
        </w:rPr>
        <w:t>. Publication Bias</w:t>
      </w:r>
      <w:r>
        <w:rPr>
          <w:rFonts w:cs="Times New Roman"/>
          <w:b/>
          <w:sz w:val="22"/>
        </w:rPr>
        <w:t xml:space="preserve"> for Hazard Ratio Estimates</w:t>
      </w:r>
    </w:p>
    <w:p w14:paraId="59E4CC67" w14:textId="77777777" w:rsidR="00B27DC0" w:rsidRPr="0057143A" w:rsidRDefault="00B27DC0" w:rsidP="00790FFD">
      <w:pPr>
        <w:rPr>
          <w:rFonts w:cs="Times New Roman"/>
          <w:b/>
          <w:sz w:val="22"/>
        </w:rPr>
      </w:pPr>
    </w:p>
    <w:tbl>
      <w:tblPr>
        <w:tblStyle w:val="TableGrid"/>
        <w:tblpPr w:leftFromText="180" w:rightFromText="180" w:vertAnchor="text" w:horzAnchor="margin" w:tblpY="6"/>
        <w:tblW w:w="1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236"/>
        <w:gridCol w:w="1181"/>
        <w:gridCol w:w="1181"/>
        <w:gridCol w:w="236"/>
        <w:gridCol w:w="2265"/>
        <w:gridCol w:w="236"/>
        <w:gridCol w:w="2513"/>
        <w:gridCol w:w="273"/>
        <w:gridCol w:w="1573"/>
        <w:gridCol w:w="2024"/>
      </w:tblGrid>
      <w:tr w:rsidR="00790FFD" w:rsidRPr="006D4066" w14:paraId="0DC94A28" w14:textId="77777777" w:rsidTr="007556B9">
        <w:trPr>
          <w:trHeight w:val="243"/>
        </w:trPr>
        <w:tc>
          <w:tcPr>
            <w:tcW w:w="1826" w:type="dxa"/>
            <w:vMerge w:val="restart"/>
            <w:tcBorders>
              <w:top w:val="single" w:sz="4" w:space="0" w:color="auto"/>
            </w:tcBorders>
          </w:tcPr>
          <w:p w14:paraId="39826FAD" w14:textId="77777777" w:rsidR="00790FFD" w:rsidRPr="00F4046B" w:rsidRDefault="00790FFD" w:rsidP="007556B9">
            <w:pPr>
              <w:rPr>
                <w:rFonts w:cs="Times New Roman"/>
                <w:sz w:val="22"/>
              </w:rPr>
            </w:pPr>
          </w:p>
        </w:tc>
        <w:tc>
          <w:tcPr>
            <w:tcW w:w="236" w:type="dxa"/>
            <w:vMerge w:val="restart"/>
            <w:tcBorders>
              <w:top w:val="single" w:sz="4" w:space="0" w:color="auto"/>
              <w:left w:val="nil"/>
            </w:tcBorders>
          </w:tcPr>
          <w:p w14:paraId="5C030BAC" w14:textId="77777777" w:rsidR="00790FFD" w:rsidRPr="00F4046B" w:rsidRDefault="00790FFD" w:rsidP="007556B9">
            <w:pPr>
              <w:rPr>
                <w:rFonts w:cs="Times New Roman"/>
                <w:sz w:val="22"/>
              </w:rPr>
            </w:pPr>
          </w:p>
        </w:tc>
        <w:tc>
          <w:tcPr>
            <w:tcW w:w="2362" w:type="dxa"/>
            <w:gridSpan w:val="2"/>
            <w:tcBorders>
              <w:top w:val="single" w:sz="4" w:space="0" w:color="auto"/>
              <w:bottom w:val="single" w:sz="4" w:space="0" w:color="auto"/>
            </w:tcBorders>
          </w:tcPr>
          <w:p w14:paraId="7BE3BECA" w14:textId="77777777" w:rsidR="00790FFD" w:rsidRPr="00F4046B" w:rsidRDefault="00790FFD" w:rsidP="007556B9">
            <w:pPr>
              <w:jc w:val="center"/>
              <w:rPr>
                <w:rFonts w:cs="Times New Roman"/>
                <w:sz w:val="22"/>
              </w:rPr>
            </w:pPr>
            <w:r w:rsidRPr="00F4046B">
              <w:rPr>
                <w:rFonts w:cs="Times New Roman"/>
                <w:sz w:val="22"/>
              </w:rPr>
              <w:t>Fail-Safe N</w:t>
            </w:r>
          </w:p>
        </w:tc>
        <w:tc>
          <w:tcPr>
            <w:tcW w:w="236" w:type="dxa"/>
            <w:vMerge w:val="restart"/>
            <w:tcBorders>
              <w:top w:val="single" w:sz="4" w:space="0" w:color="auto"/>
            </w:tcBorders>
          </w:tcPr>
          <w:p w14:paraId="6B1B4E81" w14:textId="77777777" w:rsidR="00790FFD" w:rsidRPr="00F4046B" w:rsidRDefault="00790FFD" w:rsidP="007556B9">
            <w:pPr>
              <w:jc w:val="center"/>
              <w:rPr>
                <w:rFonts w:cs="Times New Roman"/>
                <w:b/>
                <w:sz w:val="22"/>
              </w:rPr>
            </w:pPr>
          </w:p>
        </w:tc>
        <w:tc>
          <w:tcPr>
            <w:tcW w:w="2265" w:type="dxa"/>
            <w:vMerge w:val="restart"/>
            <w:tcBorders>
              <w:top w:val="single" w:sz="4" w:space="0" w:color="auto"/>
              <w:bottom w:val="single" w:sz="4" w:space="0" w:color="auto"/>
            </w:tcBorders>
          </w:tcPr>
          <w:p w14:paraId="119FA646" w14:textId="77777777" w:rsidR="00790FFD" w:rsidRPr="00F4046B" w:rsidRDefault="00790FFD" w:rsidP="007556B9">
            <w:pPr>
              <w:jc w:val="center"/>
              <w:rPr>
                <w:rFonts w:cs="Times New Roman"/>
                <w:sz w:val="22"/>
              </w:rPr>
            </w:pPr>
            <w:proofErr w:type="spellStart"/>
            <w:r w:rsidRPr="00F4046B">
              <w:rPr>
                <w:rFonts w:cs="Times New Roman"/>
                <w:sz w:val="22"/>
              </w:rPr>
              <w:t>Begg</w:t>
            </w:r>
            <w:proofErr w:type="spellEnd"/>
            <w:r w:rsidRPr="00F4046B">
              <w:rPr>
                <w:rFonts w:cs="Times New Roman"/>
                <w:sz w:val="22"/>
              </w:rPr>
              <w:t xml:space="preserve"> and Mazumdar </w:t>
            </w:r>
          </w:p>
          <w:p w14:paraId="34BA8533" w14:textId="77777777" w:rsidR="00790FFD" w:rsidRPr="00F4046B" w:rsidRDefault="00790FFD" w:rsidP="007556B9">
            <w:pPr>
              <w:jc w:val="center"/>
              <w:rPr>
                <w:rFonts w:cs="Times New Roman"/>
                <w:b/>
                <w:sz w:val="22"/>
              </w:rPr>
            </w:pPr>
            <w:r w:rsidRPr="00F4046B">
              <w:rPr>
                <w:rFonts w:cs="Times New Roman"/>
                <w:sz w:val="22"/>
              </w:rPr>
              <w:t>Rank Correlation</w:t>
            </w:r>
          </w:p>
        </w:tc>
        <w:tc>
          <w:tcPr>
            <w:tcW w:w="236" w:type="dxa"/>
            <w:vMerge w:val="restart"/>
            <w:tcBorders>
              <w:top w:val="single" w:sz="4" w:space="0" w:color="auto"/>
              <w:left w:val="nil"/>
            </w:tcBorders>
          </w:tcPr>
          <w:p w14:paraId="7294D116" w14:textId="77777777" w:rsidR="00790FFD" w:rsidRPr="00F4046B" w:rsidRDefault="00790FFD" w:rsidP="007556B9">
            <w:pPr>
              <w:jc w:val="center"/>
              <w:rPr>
                <w:rFonts w:cs="Times New Roman"/>
                <w:b/>
                <w:sz w:val="22"/>
              </w:rPr>
            </w:pPr>
          </w:p>
        </w:tc>
        <w:tc>
          <w:tcPr>
            <w:tcW w:w="2513" w:type="dxa"/>
            <w:vMerge w:val="restart"/>
            <w:tcBorders>
              <w:top w:val="single" w:sz="4" w:space="0" w:color="auto"/>
              <w:bottom w:val="single" w:sz="4" w:space="0" w:color="auto"/>
            </w:tcBorders>
          </w:tcPr>
          <w:p w14:paraId="522637D8" w14:textId="77777777" w:rsidR="00790FFD" w:rsidRPr="00F4046B" w:rsidRDefault="00790FFD" w:rsidP="007556B9">
            <w:pPr>
              <w:jc w:val="center"/>
              <w:rPr>
                <w:rFonts w:cs="Times New Roman"/>
                <w:sz w:val="22"/>
              </w:rPr>
            </w:pPr>
            <w:r w:rsidRPr="00F4046B">
              <w:rPr>
                <w:rFonts w:cs="Times New Roman"/>
                <w:sz w:val="22"/>
              </w:rPr>
              <w:t xml:space="preserve">Egger’s </w:t>
            </w:r>
          </w:p>
          <w:p w14:paraId="1F39473E" w14:textId="77777777" w:rsidR="00790FFD" w:rsidRPr="00F4046B" w:rsidRDefault="00790FFD" w:rsidP="007556B9">
            <w:pPr>
              <w:jc w:val="center"/>
              <w:rPr>
                <w:rFonts w:cs="Times New Roman"/>
                <w:sz w:val="22"/>
              </w:rPr>
            </w:pPr>
            <w:r w:rsidRPr="00F4046B">
              <w:rPr>
                <w:rFonts w:cs="Times New Roman"/>
                <w:sz w:val="22"/>
              </w:rPr>
              <w:t>Test of the Intercept</w:t>
            </w:r>
          </w:p>
        </w:tc>
        <w:tc>
          <w:tcPr>
            <w:tcW w:w="273" w:type="dxa"/>
            <w:vMerge w:val="restart"/>
            <w:tcBorders>
              <w:top w:val="single" w:sz="4" w:space="0" w:color="auto"/>
            </w:tcBorders>
          </w:tcPr>
          <w:p w14:paraId="736ECCF8" w14:textId="77777777" w:rsidR="00790FFD" w:rsidRPr="00F4046B" w:rsidRDefault="00790FFD" w:rsidP="007556B9">
            <w:pPr>
              <w:jc w:val="center"/>
              <w:rPr>
                <w:rFonts w:cs="Times New Roman"/>
                <w:sz w:val="22"/>
              </w:rPr>
            </w:pPr>
          </w:p>
        </w:tc>
        <w:tc>
          <w:tcPr>
            <w:tcW w:w="3597" w:type="dxa"/>
            <w:gridSpan w:val="2"/>
            <w:tcBorders>
              <w:top w:val="single" w:sz="4" w:space="0" w:color="auto"/>
              <w:bottom w:val="single" w:sz="4" w:space="0" w:color="auto"/>
            </w:tcBorders>
          </w:tcPr>
          <w:p w14:paraId="7CBA2FD0" w14:textId="77777777" w:rsidR="00790FFD" w:rsidRPr="00F4046B" w:rsidRDefault="00790FFD" w:rsidP="007556B9">
            <w:pPr>
              <w:jc w:val="center"/>
              <w:rPr>
                <w:rFonts w:cs="Times New Roman"/>
                <w:sz w:val="22"/>
              </w:rPr>
            </w:pPr>
            <w:r w:rsidRPr="00F4046B">
              <w:rPr>
                <w:rFonts w:cs="Times New Roman"/>
                <w:sz w:val="22"/>
              </w:rPr>
              <w:t>Duval and Tweedie’s Trim &amp; Fill</w:t>
            </w:r>
          </w:p>
        </w:tc>
      </w:tr>
      <w:tr w:rsidR="00790FFD" w:rsidRPr="006D4066" w14:paraId="4C3643CB" w14:textId="77777777" w:rsidTr="007556B9">
        <w:trPr>
          <w:trHeight w:val="125"/>
        </w:trPr>
        <w:tc>
          <w:tcPr>
            <w:tcW w:w="1826" w:type="dxa"/>
            <w:vMerge/>
            <w:tcBorders>
              <w:bottom w:val="single" w:sz="4" w:space="0" w:color="auto"/>
            </w:tcBorders>
          </w:tcPr>
          <w:p w14:paraId="7E2EA34A" w14:textId="77777777" w:rsidR="00790FFD" w:rsidRPr="00F4046B" w:rsidRDefault="00790FFD" w:rsidP="007556B9">
            <w:pPr>
              <w:rPr>
                <w:rFonts w:cs="Times New Roman"/>
                <w:sz w:val="22"/>
              </w:rPr>
            </w:pPr>
          </w:p>
        </w:tc>
        <w:tc>
          <w:tcPr>
            <w:tcW w:w="236" w:type="dxa"/>
            <w:vMerge/>
            <w:tcBorders>
              <w:left w:val="nil"/>
            </w:tcBorders>
          </w:tcPr>
          <w:p w14:paraId="5E3B4804" w14:textId="77777777" w:rsidR="00790FFD" w:rsidRPr="00F4046B" w:rsidRDefault="00790FFD" w:rsidP="007556B9">
            <w:pPr>
              <w:rPr>
                <w:rFonts w:cs="Times New Roman"/>
                <w:sz w:val="22"/>
              </w:rPr>
            </w:pPr>
          </w:p>
        </w:tc>
        <w:tc>
          <w:tcPr>
            <w:tcW w:w="1181" w:type="dxa"/>
            <w:tcBorders>
              <w:top w:val="single" w:sz="4" w:space="0" w:color="auto"/>
              <w:bottom w:val="single" w:sz="4" w:space="0" w:color="auto"/>
            </w:tcBorders>
          </w:tcPr>
          <w:p w14:paraId="23469E4B" w14:textId="77777777" w:rsidR="00790FFD" w:rsidRPr="00F4046B" w:rsidRDefault="00790FFD" w:rsidP="007556B9">
            <w:pPr>
              <w:jc w:val="center"/>
              <w:rPr>
                <w:rFonts w:cs="Times New Roman"/>
                <w:sz w:val="22"/>
              </w:rPr>
            </w:pPr>
            <w:r w:rsidRPr="00F4046B">
              <w:rPr>
                <w:rFonts w:cs="Times New Roman"/>
                <w:sz w:val="22"/>
              </w:rPr>
              <w:t>Classic</w:t>
            </w:r>
          </w:p>
        </w:tc>
        <w:tc>
          <w:tcPr>
            <w:tcW w:w="1181" w:type="dxa"/>
            <w:tcBorders>
              <w:top w:val="single" w:sz="4" w:space="0" w:color="auto"/>
              <w:bottom w:val="single" w:sz="4" w:space="0" w:color="auto"/>
            </w:tcBorders>
          </w:tcPr>
          <w:p w14:paraId="673358BE" w14:textId="77777777" w:rsidR="00790FFD" w:rsidRPr="00F4046B" w:rsidRDefault="00790FFD" w:rsidP="007556B9">
            <w:pPr>
              <w:jc w:val="center"/>
              <w:rPr>
                <w:rFonts w:cs="Times New Roman"/>
                <w:sz w:val="22"/>
              </w:rPr>
            </w:pPr>
            <w:proofErr w:type="spellStart"/>
            <w:r w:rsidRPr="00F4046B">
              <w:rPr>
                <w:rFonts w:cs="Times New Roman"/>
                <w:sz w:val="22"/>
              </w:rPr>
              <w:t>Orwin’s</w:t>
            </w:r>
            <w:proofErr w:type="spellEnd"/>
          </w:p>
        </w:tc>
        <w:tc>
          <w:tcPr>
            <w:tcW w:w="236" w:type="dxa"/>
            <w:vMerge/>
          </w:tcPr>
          <w:p w14:paraId="37E06563" w14:textId="77777777" w:rsidR="00790FFD" w:rsidRPr="00F4046B" w:rsidRDefault="00790FFD" w:rsidP="007556B9">
            <w:pPr>
              <w:jc w:val="center"/>
              <w:rPr>
                <w:rFonts w:cs="Times New Roman"/>
                <w:sz w:val="22"/>
              </w:rPr>
            </w:pPr>
          </w:p>
        </w:tc>
        <w:tc>
          <w:tcPr>
            <w:tcW w:w="2265" w:type="dxa"/>
            <w:vMerge/>
            <w:tcBorders>
              <w:bottom w:val="single" w:sz="4" w:space="0" w:color="auto"/>
            </w:tcBorders>
          </w:tcPr>
          <w:p w14:paraId="369E642D" w14:textId="77777777" w:rsidR="00790FFD" w:rsidRPr="00F4046B" w:rsidRDefault="00790FFD" w:rsidP="007556B9">
            <w:pPr>
              <w:jc w:val="center"/>
              <w:rPr>
                <w:rFonts w:cs="Times New Roman"/>
                <w:sz w:val="22"/>
              </w:rPr>
            </w:pPr>
          </w:p>
        </w:tc>
        <w:tc>
          <w:tcPr>
            <w:tcW w:w="236" w:type="dxa"/>
            <w:vMerge/>
            <w:tcBorders>
              <w:left w:val="nil"/>
            </w:tcBorders>
          </w:tcPr>
          <w:p w14:paraId="7575EAAF" w14:textId="77777777" w:rsidR="00790FFD" w:rsidRPr="00F4046B" w:rsidRDefault="00790FFD" w:rsidP="007556B9">
            <w:pPr>
              <w:jc w:val="center"/>
              <w:rPr>
                <w:rFonts w:cs="Times New Roman"/>
                <w:sz w:val="22"/>
              </w:rPr>
            </w:pPr>
          </w:p>
        </w:tc>
        <w:tc>
          <w:tcPr>
            <w:tcW w:w="2513" w:type="dxa"/>
            <w:vMerge/>
            <w:tcBorders>
              <w:bottom w:val="single" w:sz="4" w:space="0" w:color="auto"/>
            </w:tcBorders>
          </w:tcPr>
          <w:p w14:paraId="47B941B2" w14:textId="77777777" w:rsidR="00790FFD" w:rsidRPr="00F4046B" w:rsidRDefault="00790FFD" w:rsidP="007556B9">
            <w:pPr>
              <w:jc w:val="center"/>
              <w:rPr>
                <w:rFonts w:cs="Times New Roman"/>
                <w:sz w:val="22"/>
              </w:rPr>
            </w:pPr>
          </w:p>
        </w:tc>
        <w:tc>
          <w:tcPr>
            <w:tcW w:w="273" w:type="dxa"/>
            <w:vMerge/>
          </w:tcPr>
          <w:p w14:paraId="291A28E6" w14:textId="77777777" w:rsidR="00790FFD" w:rsidRPr="00F4046B" w:rsidRDefault="00790FFD" w:rsidP="007556B9">
            <w:pPr>
              <w:jc w:val="center"/>
              <w:rPr>
                <w:rFonts w:cs="Times New Roman"/>
                <w:sz w:val="22"/>
              </w:rPr>
            </w:pPr>
          </w:p>
        </w:tc>
        <w:tc>
          <w:tcPr>
            <w:tcW w:w="1573" w:type="dxa"/>
            <w:tcBorders>
              <w:top w:val="single" w:sz="4" w:space="0" w:color="auto"/>
            </w:tcBorders>
          </w:tcPr>
          <w:p w14:paraId="6B9FD439" w14:textId="77777777" w:rsidR="00790FFD" w:rsidRPr="00F4046B" w:rsidRDefault="00790FFD" w:rsidP="007556B9">
            <w:pPr>
              <w:jc w:val="center"/>
              <w:rPr>
                <w:rFonts w:cs="Times New Roman"/>
                <w:sz w:val="22"/>
              </w:rPr>
            </w:pPr>
            <w:r w:rsidRPr="00F4046B">
              <w:rPr>
                <w:rFonts w:cs="Times New Roman"/>
                <w:sz w:val="22"/>
              </w:rPr>
              <w:t>Missing Cases</w:t>
            </w:r>
          </w:p>
        </w:tc>
        <w:tc>
          <w:tcPr>
            <w:tcW w:w="2024" w:type="dxa"/>
            <w:tcBorders>
              <w:top w:val="single" w:sz="4" w:space="0" w:color="auto"/>
              <w:bottom w:val="single" w:sz="4" w:space="0" w:color="auto"/>
            </w:tcBorders>
          </w:tcPr>
          <w:p w14:paraId="6D9D7249" w14:textId="77777777" w:rsidR="00790FFD" w:rsidRPr="00F4046B" w:rsidRDefault="00790FFD" w:rsidP="00F46A20">
            <w:pPr>
              <w:jc w:val="center"/>
              <w:rPr>
                <w:rFonts w:cs="Times New Roman"/>
                <w:sz w:val="22"/>
              </w:rPr>
            </w:pPr>
            <w:r w:rsidRPr="00F4046B">
              <w:rPr>
                <w:rFonts w:cs="Times New Roman"/>
                <w:sz w:val="22"/>
              </w:rPr>
              <w:t xml:space="preserve">Adjusted </w:t>
            </w:r>
            <w:proofErr w:type="spellStart"/>
            <w:r w:rsidR="00F46A20">
              <w:rPr>
                <w:rFonts w:cs="Times New Roman"/>
                <w:sz w:val="22"/>
              </w:rPr>
              <w:t>wH</w:t>
            </w:r>
            <w:r w:rsidRPr="00F4046B">
              <w:rPr>
                <w:rFonts w:cs="Times New Roman"/>
                <w:sz w:val="22"/>
              </w:rPr>
              <w:t>R</w:t>
            </w:r>
            <w:proofErr w:type="spellEnd"/>
          </w:p>
        </w:tc>
      </w:tr>
      <w:tr w:rsidR="00790FFD" w:rsidRPr="006D4066" w14:paraId="6F913A07" w14:textId="77777777" w:rsidTr="007556B9">
        <w:trPr>
          <w:trHeight w:val="294"/>
        </w:trPr>
        <w:tc>
          <w:tcPr>
            <w:tcW w:w="1826" w:type="dxa"/>
            <w:vAlign w:val="bottom"/>
          </w:tcPr>
          <w:p w14:paraId="58D3A487" w14:textId="77777777" w:rsidR="00790FFD" w:rsidRPr="00F4046B" w:rsidRDefault="00790FFD" w:rsidP="007556B9">
            <w:pPr>
              <w:rPr>
                <w:rFonts w:cs="Times New Roman"/>
                <w:sz w:val="22"/>
              </w:rPr>
            </w:pPr>
            <w:r w:rsidRPr="00F4046B">
              <w:rPr>
                <w:rFonts w:cs="Times New Roman"/>
                <w:sz w:val="22"/>
              </w:rPr>
              <w:t>Suicide Attempt</w:t>
            </w:r>
          </w:p>
        </w:tc>
        <w:tc>
          <w:tcPr>
            <w:tcW w:w="236" w:type="dxa"/>
            <w:tcBorders>
              <w:left w:val="nil"/>
            </w:tcBorders>
            <w:vAlign w:val="bottom"/>
          </w:tcPr>
          <w:p w14:paraId="4A5BAA75" w14:textId="77777777" w:rsidR="00790FFD" w:rsidRPr="00F4046B" w:rsidRDefault="00790FFD" w:rsidP="007556B9">
            <w:pPr>
              <w:rPr>
                <w:rFonts w:cs="Times New Roman"/>
                <w:sz w:val="22"/>
              </w:rPr>
            </w:pPr>
          </w:p>
        </w:tc>
        <w:tc>
          <w:tcPr>
            <w:tcW w:w="1181" w:type="dxa"/>
            <w:vAlign w:val="bottom"/>
          </w:tcPr>
          <w:p w14:paraId="39A7150F" w14:textId="77777777" w:rsidR="00790FFD" w:rsidRPr="00F4046B" w:rsidRDefault="00790FFD" w:rsidP="007556B9">
            <w:pPr>
              <w:jc w:val="center"/>
              <w:rPr>
                <w:rFonts w:cs="Times New Roman"/>
                <w:sz w:val="22"/>
              </w:rPr>
            </w:pPr>
            <w:r>
              <w:rPr>
                <w:rFonts w:cs="Times New Roman"/>
                <w:sz w:val="22"/>
              </w:rPr>
              <w:t>878</w:t>
            </w:r>
          </w:p>
        </w:tc>
        <w:tc>
          <w:tcPr>
            <w:tcW w:w="1181" w:type="dxa"/>
            <w:vAlign w:val="bottom"/>
          </w:tcPr>
          <w:p w14:paraId="59DFB006" w14:textId="77777777" w:rsidR="00790FFD" w:rsidRPr="00F4046B" w:rsidRDefault="00790FFD" w:rsidP="007556B9">
            <w:pPr>
              <w:jc w:val="center"/>
              <w:rPr>
                <w:rFonts w:cs="Times New Roman"/>
                <w:sz w:val="22"/>
              </w:rPr>
            </w:pPr>
            <w:r>
              <w:rPr>
                <w:rFonts w:cs="Times New Roman"/>
                <w:sz w:val="22"/>
              </w:rPr>
              <w:t>33</w:t>
            </w:r>
          </w:p>
        </w:tc>
        <w:tc>
          <w:tcPr>
            <w:tcW w:w="236" w:type="dxa"/>
            <w:vAlign w:val="bottom"/>
          </w:tcPr>
          <w:p w14:paraId="7570AC45" w14:textId="77777777" w:rsidR="00790FFD" w:rsidRPr="00F4046B" w:rsidRDefault="00790FFD" w:rsidP="007556B9">
            <w:pPr>
              <w:jc w:val="center"/>
              <w:rPr>
                <w:rFonts w:cs="Times New Roman"/>
                <w:sz w:val="22"/>
              </w:rPr>
            </w:pPr>
          </w:p>
        </w:tc>
        <w:tc>
          <w:tcPr>
            <w:tcW w:w="2265" w:type="dxa"/>
            <w:vAlign w:val="bottom"/>
          </w:tcPr>
          <w:p w14:paraId="7E8DC7F3" w14:textId="77777777" w:rsidR="00790FFD" w:rsidRPr="00F4046B" w:rsidRDefault="00790FFD" w:rsidP="007556B9">
            <w:pPr>
              <w:jc w:val="center"/>
              <w:rPr>
                <w:rFonts w:cs="Times New Roman"/>
                <w:sz w:val="22"/>
              </w:rPr>
            </w:pPr>
            <w:r>
              <w:rPr>
                <w:rFonts w:cs="Times New Roman"/>
                <w:sz w:val="22"/>
              </w:rPr>
              <w:t xml:space="preserve">τ=-0.12, </w:t>
            </w:r>
            <w:r w:rsidR="008F319D" w:rsidRPr="008F319D">
              <w:rPr>
                <w:rFonts w:cs="Times New Roman"/>
                <w:i/>
                <w:sz w:val="22"/>
              </w:rPr>
              <w:t>p=</w:t>
            </w:r>
            <w:r>
              <w:rPr>
                <w:rFonts w:cs="Times New Roman"/>
                <w:sz w:val="22"/>
              </w:rPr>
              <w:t>0.31</w:t>
            </w:r>
          </w:p>
        </w:tc>
        <w:tc>
          <w:tcPr>
            <w:tcW w:w="236" w:type="dxa"/>
            <w:tcBorders>
              <w:left w:val="nil"/>
            </w:tcBorders>
            <w:vAlign w:val="bottom"/>
          </w:tcPr>
          <w:p w14:paraId="203CC345" w14:textId="77777777" w:rsidR="00790FFD" w:rsidRPr="00F4046B" w:rsidRDefault="00790FFD" w:rsidP="007556B9">
            <w:pPr>
              <w:jc w:val="center"/>
              <w:rPr>
                <w:rFonts w:cs="Times New Roman"/>
                <w:sz w:val="22"/>
              </w:rPr>
            </w:pPr>
          </w:p>
        </w:tc>
        <w:tc>
          <w:tcPr>
            <w:tcW w:w="2513" w:type="dxa"/>
            <w:vAlign w:val="bottom"/>
          </w:tcPr>
          <w:p w14:paraId="561BE9A2" w14:textId="77777777" w:rsidR="00790FFD" w:rsidRPr="00F4046B" w:rsidRDefault="00790FFD" w:rsidP="00790FFD">
            <w:pPr>
              <w:jc w:val="center"/>
              <w:rPr>
                <w:rFonts w:cs="Times New Roman"/>
                <w:sz w:val="22"/>
              </w:rPr>
            </w:pPr>
            <w:r>
              <w:rPr>
                <w:rFonts w:cs="Times New Roman"/>
                <w:sz w:val="22"/>
              </w:rPr>
              <w:t>B</w:t>
            </w:r>
            <w:r w:rsidRPr="002B624E">
              <w:rPr>
                <w:rFonts w:cs="Times New Roman"/>
                <w:sz w:val="22"/>
                <w:vertAlign w:val="subscript"/>
              </w:rPr>
              <w:t>0</w:t>
            </w:r>
            <w:r>
              <w:rPr>
                <w:rFonts w:cs="Times New Roman"/>
                <w:sz w:val="22"/>
              </w:rPr>
              <w:t xml:space="preserve">=2.01, </w:t>
            </w:r>
            <w:r w:rsidRPr="008F319D">
              <w:rPr>
                <w:rFonts w:cs="Times New Roman"/>
                <w:i/>
                <w:sz w:val="22"/>
              </w:rPr>
              <w:t>p&lt;</w:t>
            </w:r>
            <w:r>
              <w:rPr>
                <w:rFonts w:cs="Times New Roman"/>
                <w:sz w:val="22"/>
              </w:rPr>
              <w:t>0.01</w:t>
            </w:r>
          </w:p>
        </w:tc>
        <w:tc>
          <w:tcPr>
            <w:tcW w:w="273" w:type="dxa"/>
            <w:tcBorders>
              <w:left w:val="nil"/>
            </w:tcBorders>
            <w:vAlign w:val="bottom"/>
          </w:tcPr>
          <w:p w14:paraId="07DED534" w14:textId="77777777" w:rsidR="00790FFD" w:rsidRPr="00F4046B" w:rsidRDefault="00790FFD" w:rsidP="007556B9">
            <w:pPr>
              <w:jc w:val="center"/>
              <w:rPr>
                <w:rFonts w:cs="Times New Roman"/>
                <w:sz w:val="22"/>
              </w:rPr>
            </w:pPr>
          </w:p>
        </w:tc>
        <w:tc>
          <w:tcPr>
            <w:tcW w:w="1573" w:type="dxa"/>
            <w:vAlign w:val="bottom"/>
          </w:tcPr>
          <w:p w14:paraId="0AA5EE35" w14:textId="77777777" w:rsidR="00790FFD" w:rsidRPr="00F4046B" w:rsidRDefault="00790FFD" w:rsidP="007556B9">
            <w:pPr>
              <w:jc w:val="center"/>
              <w:rPr>
                <w:rFonts w:cs="Times New Roman"/>
                <w:sz w:val="22"/>
              </w:rPr>
            </w:pPr>
            <w:r>
              <w:rPr>
                <w:rFonts w:cs="Times New Roman"/>
                <w:sz w:val="22"/>
              </w:rPr>
              <w:t>8</w:t>
            </w:r>
          </w:p>
        </w:tc>
        <w:tc>
          <w:tcPr>
            <w:tcW w:w="2024" w:type="dxa"/>
            <w:vAlign w:val="bottom"/>
          </w:tcPr>
          <w:p w14:paraId="1AB01137" w14:textId="77777777" w:rsidR="00790FFD" w:rsidRPr="00F4046B" w:rsidRDefault="00790FFD" w:rsidP="007556B9">
            <w:pPr>
              <w:jc w:val="center"/>
              <w:rPr>
                <w:rFonts w:cs="Times New Roman"/>
                <w:sz w:val="22"/>
              </w:rPr>
            </w:pPr>
            <w:r>
              <w:rPr>
                <w:rFonts w:cs="Times New Roman"/>
                <w:sz w:val="22"/>
              </w:rPr>
              <w:t>1.06 (1.01, 1.12)</w:t>
            </w:r>
          </w:p>
        </w:tc>
      </w:tr>
      <w:tr w:rsidR="00790FFD" w:rsidRPr="006D4066" w14:paraId="2217EB02" w14:textId="77777777" w:rsidTr="007556B9">
        <w:trPr>
          <w:trHeight w:val="294"/>
        </w:trPr>
        <w:tc>
          <w:tcPr>
            <w:tcW w:w="1826" w:type="dxa"/>
            <w:tcBorders>
              <w:bottom w:val="single" w:sz="4" w:space="0" w:color="auto"/>
            </w:tcBorders>
            <w:vAlign w:val="bottom"/>
          </w:tcPr>
          <w:p w14:paraId="316C1096" w14:textId="77777777" w:rsidR="00790FFD" w:rsidRPr="00F4046B" w:rsidRDefault="00790FFD" w:rsidP="007556B9">
            <w:pPr>
              <w:rPr>
                <w:rFonts w:cs="Times New Roman"/>
                <w:sz w:val="22"/>
              </w:rPr>
            </w:pPr>
            <w:r w:rsidRPr="00F4046B">
              <w:rPr>
                <w:rFonts w:cs="Times New Roman"/>
                <w:sz w:val="22"/>
              </w:rPr>
              <w:t>Suicide Death</w:t>
            </w:r>
          </w:p>
        </w:tc>
        <w:tc>
          <w:tcPr>
            <w:tcW w:w="236" w:type="dxa"/>
            <w:tcBorders>
              <w:left w:val="nil"/>
              <w:bottom w:val="single" w:sz="4" w:space="0" w:color="auto"/>
            </w:tcBorders>
            <w:vAlign w:val="bottom"/>
          </w:tcPr>
          <w:p w14:paraId="19C50FA7" w14:textId="77777777" w:rsidR="00790FFD" w:rsidRPr="00F4046B" w:rsidRDefault="00790FFD" w:rsidP="007556B9">
            <w:pPr>
              <w:rPr>
                <w:rFonts w:cs="Times New Roman"/>
                <w:sz w:val="22"/>
              </w:rPr>
            </w:pPr>
          </w:p>
        </w:tc>
        <w:tc>
          <w:tcPr>
            <w:tcW w:w="1181" w:type="dxa"/>
            <w:tcBorders>
              <w:bottom w:val="single" w:sz="4" w:space="0" w:color="auto"/>
            </w:tcBorders>
            <w:vAlign w:val="bottom"/>
          </w:tcPr>
          <w:p w14:paraId="37F6463F" w14:textId="77777777" w:rsidR="00790FFD" w:rsidRPr="00F4046B" w:rsidRDefault="009720F4" w:rsidP="007556B9">
            <w:pPr>
              <w:jc w:val="center"/>
              <w:rPr>
                <w:rFonts w:cs="Times New Roman"/>
                <w:sz w:val="22"/>
              </w:rPr>
            </w:pPr>
            <w:r>
              <w:rPr>
                <w:rFonts w:cs="Times New Roman"/>
                <w:sz w:val="22"/>
              </w:rPr>
              <w:t>3441</w:t>
            </w:r>
          </w:p>
        </w:tc>
        <w:tc>
          <w:tcPr>
            <w:tcW w:w="1181" w:type="dxa"/>
            <w:tcBorders>
              <w:bottom w:val="single" w:sz="4" w:space="0" w:color="auto"/>
            </w:tcBorders>
            <w:vAlign w:val="bottom"/>
          </w:tcPr>
          <w:p w14:paraId="7DF1AAC9" w14:textId="77777777" w:rsidR="00790FFD" w:rsidRPr="00F4046B" w:rsidRDefault="00781C3E" w:rsidP="007556B9">
            <w:pPr>
              <w:jc w:val="center"/>
              <w:rPr>
                <w:rFonts w:cs="Times New Roman"/>
                <w:sz w:val="22"/>
              </w:rPr>
            </w:pPr>
            <w:r>
              <w:rPr>
                <w:rFonts w:cs="Times New Roman"/>
                <w:sz w:val="22"/>
              </w:rPr>
              <w:t>2</w:t>
            </w:r>
            <w:r w:rsidR="009720F4">
              <w:rPr>
                <w:rFonts w:cs="Times New Roman"/>
                <w:sz w:val="22"/>
              </w:rPr>
              <w:t>1</w:t>
            </w:r>
          </w:p>
        </w:tc>
        <w:tc>
          <w:tcPr>
            <w:tcW w:w="236" w:type="dxa"/>
            <w:tcBorders>
              <w:bottom w:val="single" w:sz="4" w:space="0" w:color="auto"/>
            </w:tcBorders>
            <w:vAlign w:val="bottom"/>
          </w:tcPr>
          <w:p w14:paraId="3B31E14C" w14:textId="77777777" w:rsidR="00790FFD" w:rsidRPr="00F4046B" w:rsidRDefault="00790FFD" w:rsidP="007556B9">
            <w:pPr>
              <w:jc w:val="center"/>
              <w:rPr>
                <w:rFonts w:cs="Times New Roman"/>
                <w:sz w:val="22"/>
              </w:rPr>
            </w:pPr>
          </w:p>
        </w:tc>
        <w:tc>
          <w:tcPr>
            <w:tcW w:w="2265" w:type="dxa"/>
            <w:tcBorders>
              <w:bottom w:val="single" w:sz="4" w:space="0" w:color="auto"/>
            </w:tcBorders>
            <w:vAlign w:val="bottom"/>
          </w:tcPr>
          <w:p w14:paraId="039CF941" w14:textId="77777777" w:rsidR="00790FFD" w:rsidRPr="00F4046B" w:rsidRDefault="00790FFD" w:rsidP="00F47955">
            <w:pPr>
              <w:jc w:val="center"/>
              <w:rPr>
                <w:rFonts w:cs="Times New Roman"/>
                <w:sz w:val="22"/>
              </w:rPr>
            </w:pPr>
            <w:r>
              <w:rPr>
                <w:rFonts w:cs="Times New Roman"/>
                <w:sz w:val="22"/>
              </w:rPr>
              <w:t>τ=-</w:t>
            </w:r>
            <w:r w:rsidR="009720F4">
              <w:rPr>
                <w:rFonts w:cs="Times New Roman"/>
                <w:sz w:val="22"/>
              </w:rPr>
              <w:t>-.09</w:t>
            </w:r>
            <w:r>
              <w:rPr>
                <w:rFonts w:cs="Times New Roman"/>
                <w:sz w:val="22"/>
              </w:rPr>
              <w:t xml:space="preserve">, </w:t>
            </w:r>
            <w:r w:rsidR="008F319D" w:rsidRPr="008F319D">
              <w:rPr>
                <w:rFonts w:cs="Times New Roman"/>
                <w:i/>
                <w:sz w:val="22"/>
              </w:rPr>
              <w:t>p=</w:t>
            </w:r>
            <w:r>
              <w:rPr>
                <w:rFonts w:cs="Times New Roman"/>
                <w:sz w:val="22"/>
              </w:rPr>
              <w:t>0</w:t>
            </w:r>
            <w:r w:rsidR="00781C3E">
              <w:rPr>
                <w:rFonts w:cs="Times New Roman"/>
                <w:sz w:val="22"/>
              </w:rPr>
              <w:t>.</w:t>
            </w:r>
            <w:r w:rsidR="009720F4">
              <w:rPr>
                <w:rFonts w:cs="Times New Roman"/>
                <w:sz w:val="22"/>
              </w:rPr>
              <w:t>56</w:t>
            </w:r>
          </w:p>
        </w:tc>
        <w:tc>
          <w:tcPr>
            <w:tcW w:w="236" w:type="dxa"/>
            <w:tcBorders>
              <w:left w:val="nil"/>
              <w:bottom w:val="single" w:sz="4" w:space="0" w:color="auto"/>
            </w:tcBorders>
            <w:vAlign w:val="bottom"/>
          </w:tcPr>
          <w:p w14:paraId="3812E185" w14:textId="77777777" w:rsidR="00790FFD" w:rsidRPr="00F4046B" w:rsidRDefault="00790FFD" w:rsidP="007556B9">
            <w:pPr>
              <w:jc w:val="center"/>
              <w:rPr>
                <w:rFonts w:cs="Times New Roman"/>
                <w:sz w:val="22"/>
              </w:rPr>
            </w:pPr>
          </w:p>
        </w:tc>
        <w:tc>
          <w:tcPr>
            <w:tcW w:w="2513" w:type="dxa"/>
            <w:tcBorders>
              <w:bottom w:val="single" w:sz="4" w:space="0" w:color="auto"/>
            </w:tcBorders>
            <w:vAlign w:val="bottom"/>
          </w:tcPr>
          <w:p w14:paraId="476279EB" w14:textId="77777777" w:rsidR="00790FFD" w:rsidRPr="00F4046B" w:rsidRDefault="00790FFD" w:rsidP="00F47955">
            <w:pPr>
              <w:jc w:val="center"/>
              <w:rPr>
                <w:rFonts w:cs="Times New Roman"/>
                <w:sz w:val="22"/>
              </w:rPr>
            </w:pPr>
            <w:r>
              <w:rPr>
                <w:rFonts w:cs="Times New Roman"/>
                <w:sz w:val="22"/>
              </w:rPr>
              <w:t>B</w:t>
            </w:r>
            <w:r w:rsidRPr="002B624E">
              <w:rPr>
                <w:rFonts w:cs="Times New Roman"/>
                <w:sz w:val="22"/>
                <w:vertAlign w:val="subscript"/>
              </w:rPr>
              <w:t>0</w:t>
            </w:r>
            <w:r>
              <w:rPr>
                <w:rFonts w:cs="Times New Roman"/>
                <w:sz w:val="22"/>
              </w:rPr>
              <w:t>=</w:t>
            </w:r>
            <w:r w:rsidR="009720F4">
              <w:rPr>
                <w:rFonts w:cs="Times New Roman"/>
                <w:sz w:val="22"/>
              </w:rPr>
              <w:t>5.06</w:t>
            </w:r>
            <w:r>
              <w:rPr>
                <w:rFonts w:cs="Times New Roman"/>
                <w:sz w:val="22"/>
              </w:rPr>
              <w:t xml:space="preserve">, </w:t>
            </w:r>
            <w:r w:rsidRPr="008F319D">
              <w:rPr>
                <w:rFonts w:cs="Times New Roman"/>
                <w:i/>
                <w:sz w:val="22"/>
              </w:rPr>
              <w:t>p&lt;</w:t>
            </w:r>
            <w:r>
              <w:rPr>
                <w:rFonts w:cs="Times New Roman"/>
                <w:sz w:val="22"/>
              </w:rPr>
              <w:t>0.001</w:t>
            </w:r>
          </w:p>
        </w:tc>
        <w:tc>
          <w:tcPr>
            <w:tcW w:w="273" w:type="dxa"/>
            <w:tcBorders>
              <w:left w:val="nil"/>
              <w:bottom w:val="single" w:sz="4" w:space="0" w:color="auto"/>
            </w:tcBorders>
            <w:vAlign w:val="bottom"/>
          </w:tcPr>
          <w:p w14:paraId="27EBF49B" w14:textId="77777777" w:rsidR="00790FFD" w:rsidRPr="00F4046B" w:rsidRDefault="00790FFD" w:rsidP="007556B9">
            <w:pPr>
              <w:jc w:val="center"/>
              <w:rPr>
                <w:rFonts w:cs="Times New Roman"/>
                <w:sz w:val="22"/>
              </w:rPr>
            </w:pPr>
          </w:p>
        </w:tc>
        <w:tc>
          <w:tcPr>
            <w:tcW w:w="1573" w:type="dxa"/>
            <w:tcBorders>
              <w:bottom w:val="single" w:sz="4" w:space="0" w:color="auto"/>
            </w:tcBorders>
            <w:vAlign w:val="bottom"/>
          </w:tcPr>
          <w:p w14:paraId="221395AF" w14:textId="77777777" w:rsidR="00790FFD" w:rsidRPr="00F4046B" w:rsidRDefault="00781C3E" w:rsidP="007556B9">
            <w:pPr>
              <w:jc w:val="center"/>
              <w:rPr>
                <w:rFonts w:cs="Times New Roman"/>
                <w:sz w:val="22"/>
              </w:rPr>
            </w:pPr>
            <w:r>
              <w:rPr>
                <w:rFonts w:cs="Times New Roman"/>
                <w:sz w:val="22"/>
              </w:rPr>
              <w:t>1</w:t>
            </w:r>
            <w:r w:rsidR="009720F4">
              <w:rPr>
                <w:rFonts w:cs="Times New Roman"/>
                <w:sz w:val="22"/>
              </w:rPr>
              <w:t>0</w:t>
            </w:r>
          </w:p>
        </w:tc>
        <w:tc>
          <w:tcPr>
            <w:tcW w:w="2024" w:type="dxa"/>
            <w:tcBorders>
              <w:bottom w:val="single" w:sz="4" w:space="0" w:color="auto"/>
            </w:tcBorders>
            <w:vAlign w:val="bottom"/>
          </w:tcPr>
          <w:p w14:paraId="646216F7" w14:textId="77777777" w:rsidR="00790FFD" w:rsidRPr="00F4046B" w:rsidRDefault="009720F4" w:rsidP="007556B9">
            <w:pPr>
              <w:jc w:val="center"/>
              <w:rPr>
                <w:rFonts w:cs="Times New Roman"/>
                <w:sz w:val="22"/>
              </w:rPr>
            </w:pPr>
            <w:r>
              <w:rPr>
                <w:rFonts w:cs="Times New Roman"/>
                <w:sz w:val="22"/>
              </w:rPr>
              <w:t>1.52 (1.24, 1.86)</w:t>
            </w:r>
          </w:p>
        </w:tc>
      </w:tr>
    </w:tbl>
    <w:p w14:paraId="0A9F6713" w14:textId="77777777" w:rsidR="00790FFD" w:rsidRDefault="00790FFD" w:rsidP="00790FFD">
      <w:pPr>
        <w:rPr>
          <w:rFonts w:cs="Times New Roman"/>
          <w:sz w:val="22"/>
        </w:rPr>
      </w:pPr>
      <w:r w:rsidRPr="00D57779">
        <w:rPr>
          <w:rFonts w:cs="Times New Roman"/>
          <w:i/>
          <w:sz w:val="22"/>
        </w:rPr>
        <w:t xml:space="preserve">Note. </w:t>
      </w:r>
      <w:r>
        <w:rPr>
          <w:rFonts w:cs="Times New Roman"/>
          <w:sz w:val="22"/>
        </w:rPr>
        <w:t xml:space="preserve">Classic and </w:t>
      </w:r>
      <w:proofErr w:type="spellStart"/>
      <w:r>
        <w:rPr>
          <w:rFonts w:cs="Times New Roman"/>
          <w:sz w:val="22"/>
        </w:rPr>
        <w:t>Orwin’s</w:t>
      </w:r>
      <w:proofErr w:type="spellEnd"/>
      <w:r>
        <w:rPr>
          <w:rFonts w:cs="Times New Roman"/>
          <w:sz w:val="22"/>
        </w:rPr>
        <w:t xml:space="preserve"> Fail-safe N values represent the number of studies required to nullify the observed effects; </w:t>
      </w:r>
      <w:proofErr w:type="spellStart"/>
      <w:r>
        <w:rPr>
          <w:rFonts w:cs="Times New Roman"/>
          <w:sz w:val="22"/>
        </w:rPr>
        <w:t>Begg</w:t>
      </w:r>
      <w:proofErr w:type="spellEnd"/>
      <w:r>
        <w:rPr>
          <w:rFonts w:cs="Times New Roman"/>
          <w:sz w:val="22"/>
        </w:rPr>
        <w:t xml:space="preserve"> and Mazumdar Rank Correlation Test computes the rank order correlation between effect estimates and standard error; Egger’s Test of the Intercept uses precision (i.e., the inverse of the standard error) to predict the standardized effect (i.e., effect size divided by the standard error). The size of the effect is reflected in the slope and bias is reflected in the intercept (B</w:t>
      </w:r>
      <w:r w:rsidRPr="00FB3715">
        <w:rPr>
          <w:rFonts w:cs="Times New Roman"/>
          <w:sz w:val="22"/>
          <w:vertAlign w:val="subscript"/>
        </w:rPr>
        <w:t>0</w:t>
      </w:r>
      <w:r>
        <w:rPr>
          <w:rFonts w:cs="Times New Roman"/>
          <w:sz w:val="22"/>
        </w:rPr>
        <w:t xml:space="preserve">); Missing cases under Duval &amp; Tweedie’s Trim &amp; Fill are the number of cases estimated as missing below the mean; </w:t>
      </w:r>
      <w:proofErr w:type="spellStart"/>
      <w:r w:rsidR="00F46A20">
        <w:rPr>
          <w:rFonts w:cs="Times New Roman"/>
          <w:sz w:val="22"/>
        </w:rPr>
        <w:t>w</w:t>
      </w:r>
      <w:r>
        <w:rPr>
          <w:rFonts w:cs="Times New Roman"/>
          <w:sz w:val="22"/>
        </w:rPr>
        <w:t>HR</w:t>
      </w:r>
      <w:proofErr w:type="spellEnd"/>
      <w:r>
        <w:rPr>
          <w:rFonts w:cs="Times New Roman"/>
          <w:sz w:val="22"/>
        </w:rPr>
        <w:t xml:space="preserve"> = weighted mean </w:t>
      </w:r>
      <w:r w:rsidR="00F46A20">
        <w:rPr>
          <w:rFonts w:cs="Times New Roman"/>
          <w:sz w:val="22"/>
        </w:rPr>
        <w:t>hazard</w:t>
      </w:r>
      <w:r>
        <w:rPr>
          <w:rFonts w:cs="Times New Roman"/>
          <w:sz w:val="22"/>
        </w:rPr>
        <w:t xml:space="preserve"> ratio.</w:t>
      </w:r>
    </w:p>
    <w:p w14:paraId="2041F1FC" w14:textId="77777777" w:rsidR="00790FFD" w:rsidRDefault="00790FFD" w:rsidP="00790FFD">
      <w:pPr>
        <w:spacing w:after="160" w:line="259" w:lineRule="auto"/>
        <w:rPr>
          <w:b/>
          <w:sz w:val="22"/>
        </w:rPr>
      </w:pPr>
      <w:r>
        <w:rPr>
          <w:b/>
          <w:sz w:val="22"/>
        </w:rPr>
        <w:br w:type="page"/>
      </w:r>
    </w:p>
    <w:p w14:paraId="1CED1F39" w14:textId="77777777" w:rsidR="00FD12C7" w:rsidRDefault="00FD12C7">
      <w:pPr>
        <w:rPr>
          <w:b/>
        </w:rPr>
        <w:sectPr w:rsidR="00FD12C7" w:rsidSect="009412F6">
          <w:pgSz w:w="15840" w:h="12240" w:orient="landscape"/>
          <w:pgMar w:top="1440" w:right="1440" w:bottom="1440" w:left="1440" w:header="720" w:footer="720" w:gutter="0"/>
          <w:cols w:space="720"/>
          <w:docGrid w:linePitch="360"/>
        </w:sectPr>
      </w:pPr>
    </w:p>
    <w:p w14:paraId="4FD39CE8" w14:textId="528523B3" w:rsidR="00942D4F" w:rsidRDefault="00FD12C7">
      <w:pPr>
        <w:rPr>
          <w:b/>
        </w:rPr>
      </w:pPr>
      <w:r>
        <w:rPr>
          <w:b/>
        </w:rPr>
        <w:lastRenderedPageBreak/>
        <w:t xml:space="preserve">Supplementary </w:t>
      </w:r>
      <w:r w:rsidR="009412F6">
        <w:rPr>
          <w:b/>
        </w:rPr>
        <w:t>Figure 1</w:t>
      </w:r>
      <w:r>
        <w:rPr>
          <w:b/>
        </w:rPr>
        <w:t>. Funnel Plots</w:t>
      </w:r>
    </w:p>
    <w:p w14:paraId="043749E6" w14:textId="77777777" w:rsidR="00FD12C7" w:rsidRDefault="00FD12C7">
      <w:pPr>
        <w:rPr>
          <w:b/>
        </w:rPr>
      </w:pPr>
    </w:p>
    <w:p w14:paraId="581AB952" w14:textId="77777777" w:rsidR="00FD12C7" w:rsidRDefault="00FD12C7">
      <w:pPr>
        <w:rPr>
          <w:b/>
        </w:rPr>
      </w:pPr>
    </w:p>
    <w:p w14:paraId="1444648B" w14:textId="77777777" w:rsidR="00FD12C7" w:rsidRDefault="005A60FF">
      <w:pPr>
        <w:rPr>
          <w:b/>
        </w:rPr>
      </w:pPr>
      <w:r>
        <w:rPr>
          <w:b/>
        </w:rPr>
        <w:t>A</w:t>
      </w:r>
      <w:r w:rsidR="00FD12C7">
        <w:rPr>
          <w:b/>
        </w:rPr>
        <w:t>. Suicide Attempt</w:t>
      </w:r>
    </w:p>
    <w:p w14:paraId="1ED1F59A" w14:textId="77777777" w:rsidR="005A60FF" w:rsidRDefault="005A60FF">
      <w:pPr>
        <w:rPr>
          <w:b/>
        </w:rPr>
      </w:pPr>
      <w:r>
        <w:rPr>
          <w:b/>
          <w:noProof/>
        </w:rPr>
        <w:drawing>
          <wp:inline distT="0" distB="0" distL="0" distR="0" wp14:anchorId="566DD897" wp14:editId="4F1AEAE7">
            <wp:extent cx="6324600" cy="2905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3365" b="3785"/>
                    <a:stretch/>
                  </pic:blipFill>
                  <pic:spPr bwMode="auto">
                    <a:xfrm>
                      <a:off x="0" y="0"/>
                      <a:ext cx="6324600" cy="2905125"/>
                    </a:xfrm>
                    <a:prstGeom prst="rect">
                      <a:avLst/>
                    </a:prstGeom>
                    <a:noFill/>
                    <a:ln>
                      <a:noFill/>
                    </a:ln>
                    <a:extLst>
                      <a:ext uri="{53640926-AAD7-44D8-BBD7-CCE9431645EC}">
                        <a14:shadowObscured xmlns:a14="http://schemas.microsoft.com/office/drawing/2010/main"/>
                      </a:ext>
                    </a:extLst>
                  </pic:spPr>
                </pic:pic>
              </a:graphicData>
            </a:graphic>
          </wp:inline>
        </w:drawing>
      </w:r>
    </w:p>
    <w:p w14:paraId="77C7C4E5" w14:textId="77777777" w:rsidR="00FD12C7" w:rsidRDefault="005A60FF">
      <w:pPr>
        <w:rPr>
          <w:b/>
        </w:rPr>
      </w:pPr>
      <w:r>
        <w:rPr>
          <w:b/>
        </w:rPr>
        <w:t>B</w:t>
      </w:r>
      <w:r w:rsidR="00FD12C7">
        <w:rPr>
          <w:b/>
        </w:rPr>
        <w:t>. Suicide Death</w:t>
      </w:r>
    </w:p>
    <w:p w14:paraId="45D98EFC" w14:textId="77777777" w:rsidR="009412F6" w:rsidRDefault="005A60FF">
      <w:pPr>
        <w:rPr>
          <w:b/>
        </w:rPr>
      </w:pPr>
      <w:r>
        <w:rPr>
          <w:b/>
          <w:noProof/>
        </w:rPr>
        <w:drawing>
          <wp:inline distT="0" distB="0" distL="0" distR="0" wp14:anchorId="56B275C9" wp14:editId="175D8001">
            <wp:extent cx="5943600" cy="3114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p w14:paraId="464F34E2" w14:textId="77777777" w:rsidR="005A60FF" w:rsidRDefault="005A60FF" w:rsidP="009412F6">
      <w:pPr>
        <w:rPr>
          <w:b/>
        </w:rPr>
      </w:pPr>
    </w:p>
    <w:p w14:paraId="67ACAC0C" w14:textId="77777777" w:rsidR="009412F6" w:rsidRDefault="009412F6" w:rsidP="009412F6">
      <w:r w:rsidRPr="00CB2407">
        <w:rPr>
          <w:rFonts w:cs="Times New Roman"/>
          <w:i/>
          <w:sz w:val="22"/>
        </w:rPr>
        <w:t>Note.</w:t>
      </w:r>
      <w:r>
        <w:rPr>
          <w:rFonts w:cs="Times New Roman"/>
          <w:sz w:val="22"/>
        </w:rPr>
        <w:t xml:space="preserve">   Open circles represent observed estimates; shaded circles represent imputed values estimated to be missing to the left of the mean (due to publication bias). Open diamond indicates unadjusted weighted mean odds ratio; shaded diamond indicates weighted mean odds ratio adjusted for publication bias.</w:t>
      </w:r>
    </w:p>
    <w:p w14:paraId="6651426A" w14:textId="76348B98" w:rsidR="009412F6" w:rsidRDefault="009412F6">
      <w:pPr>
        <w:rPr>
          <w:b/>
        </w:rPr>
      </w:pPr>
    </w:p>
    <w:sectPr w:rsidR="009412F6" w:rsidSect="00FD1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1AAE"/>
    <w:multiLevelType w:val="hybridMultilevel"/>
    <w:tmpl w:val="EA50BB80"/>
    <w:lvl w:ilvl="0" w:tplc="2F74B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FD"/>
    <w:rsid w:val="000127EE"/>
    <w:rsid w:val="00032E58"/>
    <w:rsid w:val="00185DB2"/>
    <w:rsid w:val="00242AC6"/>
    <w:rsid w:val="00267287"/>
    <w:rsid w:val="002A20F7"/>
    <w:rsid w:val="00364F84"/>
    <w:rsid w:val="003B5AA2"/>
    <w:rsid w:val="004D619C"/>
    <w:rsid w:val="00586EAE"/>
    <w:rsid w:val="005A60FF"/>
    <w:rsid w:val="006B034D"/>
    <w:rsid w:val="006D71FF"/>
    <w:rsid w:val="00715408"/>
    <w:rsid w:val="00765FCC"/>
    <w:rsid w:val="00775A38"/>
    <w:rsid w:val="00781C3E"/>
    <w:rsid w:val="00790FFD"/>
    <w:rsid w:val="007C1405"/>
    <w:rsid w:val="007C27D4"/>
    <w:rsid w:val="007E2AE9"/>
    <w:rsid w:val="008420A9"/>
    <w:rsid w:val="008953F5"/>
    <w:rsid w:val="008F319D"/>
    <w:rsid w:val="009412F6"/>
    <w:rsid w:val="009720F4"/>
    <w:rsid w:val="009A78BA"/>
    <w:rsid w:val="009C073C"/>
    <w:rsid w:val="00A53CFF"/>
    <w:rsid w:val="00B06E42"/>
    <w:rsid w:val="00B252B5"/>
    <w:rsid w:val="00B27DC0"/>
    <w:rsid w:val="00C41434"/>
    <w:rsid w:val="00CF73D1"/>
    <w:rsid w:val="00D34182"/>
    <w:rsid w:val="00D600D5"/>
    <w:rsid w:val="00D93630"/>
    <w:rsid w:val="00D94E75"/>
    <w:rsid w:val="00DC3015"/>
    <w:rsid w:val="00DD744E"/>
    <w:rsid w:val="00E12017"/>
    <w:rsid w:val="00E34A6A"/>
    <w:rsid w:val="00E42300"/>
    <w:rsid w:val="00E61411"/>
    <w:rsid w:val="00E81B1B"/>
    <w:rsid w:val="00E8491C"/>
    <w:rsid w:val="00EC531B"/>
    <w:rsid w:val="00F46A20"/>
    <w:rsid w:val="00F47955"/>
    <w:rsid w:val="00F717EE"/>
    <w:rsid w:val="00FD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2D9A"/>
  <w15:chartTrackingRefBased/>
  <w15:docId w15:val="{7991F7AD-2854-414A-AD9F-D06029B8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F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2C7"/>
    <w:pPr>
      <w:ind w:left="720"/>
      <w:contextualSpacing/>
    </w:pPr>
  </w:style>
  <w:style w:type="paragraph" w:styleId="BalloonText">
    <w:name w:val="Balloon Text"/>
    <w:basedOn w:val="Normal"/>
    <w:link w:val="BalloonTextChar"/>
    <w:uiPriority w:val="99"/>
    <w:semiHidden/>
    <w:unhideWhenUsed/>
    <w:rsid w:val="00F47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955"/>
    <w:rPr>
      <w:rFonts w:ascii="Segoe UI" w:hAnsi="Segoe UI" w:cs="Segoe UI"/>
      <w:sz w:val="18"/>
      <w:szCs w:val="18"/>
    </w:rPr>
  </w:style>
  <w:style w:type="paragraph" w:customStyle="1" w:styleId="Default">
    <w:name w:val="Default"/>
    <w:rsid w:val="00E4230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nl-NL"/>
    </w:rPr>
  </w:style>
  <w:style w:type="character" w:customStyle="1" w:styleId="Hyperlink2">
    <w:name w:val="Hyperlink.2"/>
    <w:basedOn w:val="DefaultParagraphFont"/>
    <w:rsid w:val="00E42300"/>
  </w:style>
  <w:style w:type="character" w:customStyle="1" w:styleId="Hyperlink3">
    <w:name w:val="Hyperlink.3"/>
    <w:basedOn w:val="DefaultParagraphFont"/>
    <w:rsid w:val="00E42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7/chi.0b013e318149e66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97/chi.0b013e318149e6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97/chi.0b013e318149e66f" TargetMode="External"/><Relationship Id="rId11" Type="http://schemas.openxmlformats.org/officeDocument/2006/relationships/image" Target="media/image2.png"/><Relationship Id="rId5" Type="http://schemas.openxmlformats.org/officeDocument/2006/relationships/hyperlink" Target="http://dx.doi.org/10.1097/chi.0b013e318149e66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x.doi.org/10.1016/j.jpsychires.2010.09.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27</Pages>
  <Words>5769</Words>
  <Characters>32886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Jessica</dc:creator>
  <cp:keywords/>
  <dc:description/>
  <cp:lastModifiedBy>Annalisa Welch</cp:lastModifiedBy>
  <cp:revision>9</cp:revision>
  <dcterms:created xsi:type="dcterms:W3CDTF">2018-02-12T09:18:00Z</dcterms:created>
  <dcterms:modified xsi:type="dcterms:W3CDTF">2018-02-12T13:05:00Z</dcterms:modified>
</cp:coreProperties>
</file>