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1713E" w14:textId="112561C6" w:rsidR="008667B3" w:rsidRPr="00270693" w:rsidRDefault="008667B3" w:rsidP="008667B3">
      <w:pPr>
        <w:rPr>
          <w:rFonts w:cs="Times New Roman"/>
          <w:b/>
        </w:rPr>
      </w:pPr>
      <w:r w:rsidRPr="00270693">
        <w:rPr>
          <w:rFonts w:cs="Times New Roman"/>
          <w:b/>
        </w:rPr>
        <w:t>Appendix</w:t>
      </w:r>
      <w:r w:rsidR="00BC32B5">
        <w:rPr>
          <w:rFonts w:cs="Times New Roman"/>
          <w:b/>
        </w:rPr>
        <w:t xml:space="preserve"> for Online Publication</w:t>
      </w:r>
    </w:p>
    <w:p w14:paraId="394EC671" w14:textId="77777777" w:rsidR="008667B3" w:rsidRPr="00270693" w:rsidRDefault="008667B3" w:rsidP="008667B3">
      <w:pPr>
        <w:rPr>
          <w:rFonts w:cs="Times New Roman"/>
          <w:b/>
        </w:rPr>
      </w:pPr>
    </w:p>
    <w:p w14:paraId="3DDB46FD" w14:textId="1F481ED5" w:rsidR="008667B3" w:rsidRPr="00407A73" w:rsidRDefault="008667B3" w:rsidP="00407A73">
      <w:pPr>
        <w:spacing w:line="480" w:lineRule="auto"/>
        <w:rPr>
          <w:rFonts w:cs="Times New Roman"/>
        </w:rPr>
      </w:pPr>
      <w:r w:rsidRPr="00270693">
        <w:rPr>
          <w:rFonts w:cs="Times New Roman"/>
        </w:rPr>
        <w:t xml:space="preserve">The Appendix provides additional information on </w:t>
      </w:r>
      <w:r w:rsidR="002D5070">
        <w:rPr>
          <w:rFonts w:cs="Times New Roman"/>
        </w:rPr>
        <w:t>the context of the Bogotá metro project</w:t>
      </w:r>
      <w:r w:rsidR="003B1347">
        <w:rPr>
          <w:rFonts w:cs="Times New Roman"/>
        </w:rPr>
        <w:t xml:space="preserve">, </w:t>
      </w:r>
      <w:r w:rsidR="00EF04E4">
        <w:rPr>
          <w:rFonts w:cs="Times New Roman"/>
        </w:rPr>
        <w:t xml:space="preserve">the </w:t>
      </w:r>
      <w:r w:rsidRPr="00270693">
        <w:rPr>
          <w:rFonts w:cs="Times New Roman"/>
        </w:rPr>
        <w:t xml:space="preserve">survey format, summary statistics and balance tests, </w:t>
      </w:r>
      <w:r w:rsidR="00101C34">
        <w:rPr>
          <w:rFonts w:cs="Times New Roman"/>
        </w:rPr>
        <w:t xml:space="preserve">additional </w:t>
      </w:r>
      <w:r w:rsidR="00B07FF5">
        <w:rPr>
          <w:rFonts w:cs="Times New Roman"/>
        </w:rPr>
        <w:t>results</w:t>
      </w:r>
      <w:r w:rsidRPr="00270693">
        <w:rPr>
          <w:rFonts w:cs="Times New Roman"/>
        </w:rPr>
        <w:t xml:space="preserve">, and </w:t>
      </w:r>
      <w:r w:rsidR="00B07FF5">
        <w:rPr>
          <w:rFonts w:cs="Times New Roman"/>
        </w:rPr>
        <w:t xml:space="preserve">the </w:t>
      </w:r>
      <w:r w:rsidRPr="00270693">
        <w:rPr>
          <w:rFonts w:cs="Times New Roman"/>
        </w:rPr>
        <w:t xml:space="preserve">sensitivity analysis.  </w:t>
      </w:r>
    </w:p>
    <w:p w14:paraId="686345D5" w14:textId="481A5E6D" w:rsidR="00EF04E4" w:rsidRPr="00EF04E4" w:rsidRDefault="002D5070" w:rsidP="006A0F8B">
      <w:pPr>
        <w:pStyle w:val="ListParagraph"/>
        <w:numPr>
          <w:ilvl w:val="0"/>
          <w:numId w:val="1"/>
        </w:numPr>
        <w:rPr>
          <w:b/>
        </w:rPr>
      </w:pPr>
      <w:r>
        <w:rPr>
          <w:b/>
        </w:rPr>
        <w:t>Context</w:t>
      </w:r>
    </w:p>
    <w:p w14:paraId="3A418265" w14:textId="77777777" w:rsidR="00EF04E4" w:rsidRPr="00EF04E4" w:rsidRDefault="00EF04E4" w:rsidP="00EF04E4">
      <w:pPr>
        <w:pStyle w:val="ListParagraph"/>
        <w:rPr>
          <w:bCs/>
        </w:rPr>
      </w:pPr>
    </w:p>
    <w:p w14:paraId="66B6CE70" w14:textId="6769314B" w:rsidR="00EF04E4" w:rsidRDefault="00EF04E4" w:rsidP="00EF04E4">
      <w:pPr>
        <w:widowControl w:val="0"/>
        <w:autoSpaceDE w:val="0"/>
        <w:autoSpaceDN w:val="0"/>
        <w:adjustRightInd w:val="0"/>
        <w:spacing w:after="240" w:line="480" w:lineRule="auto"/>
        <w:ind w:firstLine="720"/>
        <w:contextualSpacing/>
        <w:rPr>
          <w:color w:val="000000"/>
        </w:rPr>
      </w:pPr>
      <w:r w:rsidRPr="009F5D90">
        <w:rPr>
          <w:rFonts w:cs="Times New Roman"/>
          <w:color w:val="000000"/>
        </w:rPr>
        <w:t xml:space="preserve">One way to </w:t>
      </w:r>
      <w:r>
        <w:rPr>
          <w:rFonts w:cs="Times New Roman"/>
          <w:color w:val="000000"/>
        </w:rPr>
        <w:t xml:space="preserve">situate the Bogotá case is to look at </w:t>
      </w:r>
      <w:r w:rsidRPr="009F5D90">
        <w:rPr>
          <w:rFonts w:cs="Times New Roman"/>
          <w:color w:val="000000"/>
        </w:rPr>
        <w:t>subways globally.</w:t>
      </w:r>
      <w:r w:rsidR="003639D4">
        <w:rPr>
          <w:rStyle w:val="FootnoteReference"/>
          <w:rFonts w:cs="Times New Roman"/>
          <w:color w:val="000000"/>
        </w:rPr>
        <w:footnoteReference w:id="1"/>
      </w:r>
      <w:r w:rsidRPr="009F5D90">
        <w:rPr>
          <w:rFonts w:cs="Times New Roman"/>
          <w:color w:val="000000"/>
        </w:rPr>
        <w:t xml:space="preserve">   I built an original database of all subways.</w:t>
      </w:r>
      <w:r>
        <w:rPr>
          <w:rFonts w:cs="Times New Roman"/>
          <w:color w:val="000000"/>
        </w:rPr>
        <w:t xml:space="preserve">  </w:t>
      </w:r>
      <w:r w:rsidRPr="00053DE1">
        <w:rPr>
          <w:color w:val="000000"/>
        </w:rPr>
        <w:t xml:space="preserve">I define a ‘subway’ as an electric powered urban rail that is completely isolated from interactions with automobile traffic and pedestrians, following </w:t>
      </w:r>
      <w:r w:rsidRPr="00053DE1">
        <w:rPr>
          <w:color w:val="000000"/>
        </w:rPr>
        <w:fldChar w:fldCharType="begin" w:fldLock="1"/>
      </w:r>
      <w:r w:rsidR="0076278E">
        <w:rPr>
          <w:color w:val="000000"/>
        </w:rPr>
        <w:instrText>ADDIN CSL_CITATION {"citationItems":[{"id":"ITEM-1","itemData":{"abstract":"We investigate the relationship between the extent of a city’s subway network, its population and its spatial configuration. To accomplish this investigation, for the 632 largest cities in the world we construct panel data describing population, measures of centralization calculated from lights at night data, and the extent of each of the 138 subway systems in these cities. These data indicate that large cities are more likely to have subways but that subways have an economically insignificant effect on urban population growth. Our data also indicate that subways cause cities to decentralize, although the effect is smaller than previously documented effects of highways on decentralization. For a subset of subway cities we observe panel data describing subway and bus ridership. For those cities we find that a 10% increase in subway extent causes about a 6% increase in subway ridership and has no effect on bus ridership.","author":[{"dropping-particle":"","family":"Gonzalez-Navarro","given":"Marco","non-dropping-particle":"","parse-names":false,"suffix":""},{"dropping-particle":"","family":"Turner","given":"Matthew A.","non-dropping-particle":"","parse-names":false,"suffix":""}],"container-title":"Working Paper","id":"ITEM-1","issued":{"date-parts":[["2016"]]},"title":"Subways and Urban Growth: Evidence from Earth","type":"article-journal"},"uris":["http://www.mendeley.com/documents/?uuid=e97cd721-d6d5-4acb-9395-26d12cc84060"]}],"mendeley":{"formattedCitation":"(Gonzalez-Navarro and Turner 2016)","manualFormatting":"Gonzalez-Navarro and Turner (2016)","plainTextFormattedCitation":"(Gonzalez-Navarro and Turner 2016)","previouslyFormattedCitation":"(Gonzalez-Navarro and Turner 2016)"},"properties":{"noteIndex":0},"schema":"https://github.com/citation-style-language/schema/raw/master/csl-citation.json"}</w:instrText>
      </w:r>
      <w:r w:rsidRPr="00053DE1">
        <w:rPr>
          <w:color w:val="000000"/>
        </w:rPr>
        <w:fldChar w:fldCharType="separate"/>
      </w:r>
      <w:r w:rsidRPr="00270693">
        <w:rPr>
          <w:noProof/>
          <w:color w:val="000000"/>
        </w:rPr>
        <w:t xml:space="preserve">Gonzalez-Navarro and Turner </w:t>
      </w:r>
      <w:r>
        <w:rPr>
          <w:noProof/>
          <w:color w:val="000000"/>
        </w:rPr>
        <w:t>(</w:t>
      </w:r>
      <w:r w:rsidRPr="00270693">
        <w:rPr>
          <w:noProof/>
          <w:color w:val="000000"/>
        </w:rPr>
        <w:t>2016)</w:t>
      </w:r>
      <w:r w:rsidRPr="00053DE1">
        <w:rPr>
          <w:color w:val="000000"/>
        </w:rPr>
        <w:fldChar w:fldCharType="end"/>
      </w:r>
      <w:r w:rsidRPr="00053DE1">
        <w:rPr>
          <w:color w:val="000000"/>
        </w:rPr>
        <w:t xml:space="preserve">. This excludes most streetcars and BRT networks because they interact with vehicle traffic at stoplights and crossings.  Some combine both elements making them difficult to code. </w:t>
      </w:r>
      <w:r>
        <w:rPr>
          <w:color w:val="000000"/>
        </w:rPr>
        <w:t xml:space="preserve">If they contain some segregated element, they were included.  </w:t>
      </w:r>
      <w:r w:rsidR="00FD228E">
        <w:rPr>
          <w:color w:val="000000"/>
        </w:rPr>
        <w:t>T</w:t>
      </w:r>
      <w:r w:rsidRPr="00053DE1">
        <w:rPr>
          <w:color w:val="000000"/>
        </w:rPr>
        <w:t>o focus on intra-urban transportation systems, I also exclude heavy rail commuter lines. I do not distinguish between surface, underground</w:t>
      </w:r>
      <w:r w:rsidR="00144596">
        <w:rPr>
          <w:color w:val="000000"/>
        </w:rPr>
        <w:t xml:space="preserve">, </w:t>
      </w:r>
      <w:r w:rsidRPr="00053DE1">
        <w:rPr>
          <w:color w:val="000000"/>
        </w:rPr>
        <w:t xml:space="preserve">or aboveground subway lines </w:t>
      </w:r>
      <w:r w:rsidR="00FD228E">
        <w:rPr>
          <w:color w:val="000000"/>
        </w:rPr>
        <w:t>because the</w:t>
      </w:r>
      <w:r w:rsidRPr="00053DE1">
        <w:rPr>
          <w:color w:val="000000"/>
        </w:rPr>
        <w:t xml:space="preserve"> exclusive right of way condition is satisfied. These data come from </w:t>
      </w:r>
      <w:r w:rsidRPr="003B1347">
        <w:t>http://www.urbanrail.net/</w:t>
      </w:r>
      <w:r>
        <w:rPr>
          <w:color w:val="000000"/>
        </w:rPr>
        <w:t xml:space="preserve"> and are supplemented with information on each subway from news sources where necessary. For the purposes of this </w:t>
      </w:r>
      <w:r w:rsidR="00FD228E">
        <w:rPr>
          <w:color w:val="000000"/>
        </w:rPr>
        <w:t>article</w:t>
      </w:r>
      <w:r>
        <w:rPr>
          <w:color w:val="000000"/>
        </w:rPr>
        <w:t xml:space="preserve">, I simply code whether a subway exists in each city, regardless of length, opening date, etc. </w:t>
      </w:r>
    </w:p>
    <w:p w14:paraId="1DEFBBF1" w14:textId="743A414C" w:rsidR="00EF04E4" w:rsidRPr="00EF04E4" w:rsidRDefault="00EF04E4" w:rsidP="00EF04E4">
      <w:pPr>
        <w:widowControl w:val="0"/>
        <w:autoSpaceDE w:val="0"/>
        <w:autoSpaceDN w:val="0"/>
        <w:adjustRightInd w:val="0"/>
        <w:spacing w:after="240" w:line="480" w:lineRule="auto"/>
        <w:ind w:firstLine="720"/>
        <w:contextualSpacing/>
        <w:rPr>
          <w:color w:val="000000"/>
        </w:rPr>
      </w:pPr>
      <w:r>
        <w:rPr>
          <w:color w:val="000000"/>
        </w:rPr>
        <w:t xml:space="preserve">Identifying the relevant universe of cities also was a challenge.  </w:t>
      </w:r>
      <w:r w:rsidRPr="00723350">
        <w:rPr>
          <w:color w:val="000000"/>
        </w:rPr>
        <w:t xml:space="preserve">The UN </w:t>
      </w:r>
      <w:r w:rsidRPr="00723350">
        <w:rPr>
          <w:rFonts w:eastAsia="Times New Roman"/>
        </w:rPr>
        <w:t>World Cities Report</w:t>
      </w:r>
      <w:r w:rsidRPr="00723350">
        <w:rPr>
          <w:rStyle w:val="apple-converted-space"/>
          <w:rFonts w:eastAsia="Times New Roman"/>
        </w:rPr>
        <w:t> </w:t>
      </w:r>
      <w:r w:rsidRPr="00723350">
        <w:rPr>
          <w:color w:val="000000"/>
        </w:rPr>
        <w:t>provides data on urban agglomerations with 750,000 inhabitants or more.</w:t>
      </w:r>
      <w:r>
        <w:rPr>
          <w:rStyle w:val="FootnoteReference"/>
          <w:color w:val="000000"/>
        </w:rPr>
        <w:footnoteReference w:id="2"/>
      </w:r>
      <w:r w:rsidRPr="00723350">
        <w:rPr>
          <w:color w:val="000000"/>
        </w:rPr>
        <w:t xml:space="preserve">  This data set includes city population</w:t>
      </w:r>
      <w:r w:rsidR="00144596">
        <w:rPr>
          <w:color w:val="000000"/>
        </w:rPr>
        <w:t>s</w:t>
      </w:r>
      <w:r w:rsidRPr="00723350">
        <w:rPr>
          <w:color w:val="000000"/>
        </w:rPr>
        <w:t xml:space="preserve"> </w:t>
      </w:r>
      <w:r>
        <w:rPr>
          <w:color w:val="000000"/>
        </w:rPr>
        <w:t xml:space="preserve">in 2015.  </w:t>
      </w:r>
      <w:r w:rsidRPr="00723350">
        <w:rPr>
          <w:color w:val="000000"/>
        </w:rPr>
        <w:t xml:space="preserve">The drawback of the UN database is that it is limited to quite large cities.  Especially within the OECD, many smaller cities also have metro systems.  For instance, 53 of 245 cities with metros (22%) do not have information in the UN Cities Database.  </w:t>
      </w:r>
      <w:r>
        <w:rPr>
          <w:color w:val="000000"/>
        </w:rPr>
        <w:t>I</w:t>
      </w:r>
      <w:r w:rsidRPr="00723350">
        <w:rPr>
          <w:color w:val="000000"/>
        </w:rPr>
        <w:t xml:space="preserve"> </w:t>
      </w:r>
      <w:r w:rsidRPr="00723350">
        <w:rPr>
          <w:color w:val="000000"/>
        </w:rPr>
        <w:lastRenderedPageBreak/>
        <w:t>therefore supplement the UN data with OECD statistics on metropolitan areas.</w:t>
      </w:r>
      <w:r w:rsidRPr="00723350">
        <w:rPr>
          <w:rStyle w:val="FootnoteReference"/>
          <w:color w:val="000000"/>
        </w:rPr>
        <w:footnoteReference w:id="3"/>
      </w:r>
      <w:r w:rsidRPr="00723350">
        <w:rPr>
          <w:color w:val="000000"/>
        </w:rPr>
        <w:t xml:space="preserve">  </w:t>
      </w:r>
      <w:r w:rsidRPr="00723350">
        <w:rPr>
          <w:rFonts w:eastAsia="Times New Roman"/>
          <w:color w:val="000000"/>
        </w:rPr>
        <w:t xml:space="preserve">The OECD defines a metropolitan area as containing 500,000 people or more, and cities often have </w:t>
      </w:r>
      <w:r>
        <w:rPr>
          <w:rFonts w:eastAsia="Times New Roman"/>
          <w:color w:val="000000"/>
        </w:rPr>
        <w:t xml:space="preserve">around 100,000 inhabitants.  </w:t>
      </w:r>
      <w:r>
        <w:rPr>
          <w:color w:val="000000"/>
        </w:rPr>
        <w:t>Country wealth data comes from the World Bank Development Indicators.</w:t>
      </w:r>
    </w:p>
    <w:p w14:paraId="2ACF1986" w14:textId="7EE7CDED" w:rsidR="00EF04E4" w:rsidRPr="009F5D90" w:rsidRDefault="00EF04E4" w:rsidP="00EF04E4">
      <w:pPr>
        <w:spacing w:line="480" w:lineRule="auto"/>
        <w:ind w:firstLine="720"/>
        <w:rPr>
          <w:rFonts w:cs="Times New Roman"/>
        </w:rPr>
      </w:pPr>
      <w:r w:rsidRPr="009F5D90">
        <w:rPr>
          <w:rFonts w:cs="Times New Roman"/>
        </w:rPr>
        <w:t xml:space="preserve">Figure </w:t>
      </w:r>
      <w:r>
        <w:rPr>
          <w:rFonts w:cs="Times New Roman"/>
        </w:rPr>
        <w:t>A.</w:t>
      </w:r>
      <w:r w:rsidRPr="009F5D90">
        <w:rPr>
          <w:rFonts w:cs="Times New Roman"/>
        </w:rPr>
        <w:t>1 plots the relationship between city size (on the horizontal axis) and country wealth (on the vertical axis).  What stands out is that wealthy countries are far more likely to have subways even in quite small cities, as seen in the upper-left quadrant.  While 90 percent of cities above five million people in developed countries have subways, only 32 percent of similarly sized cities in the developing world have subways.</w:t>
      </w:r>
      <w:r w:rsidRPr="009F5D90">
        <w:rPr>
          <w:rStyle w:val="FootnoteReference"/>
          <w:rFonts w:cs="Times New Roman"/>
        </w:rPr>
        <w:footnoteReference w:id="4"/>
      </w:r>
      <w:r w:rsidRPr="009F5D90">
        <w:rPr>
          <w:rFonts w:cs="Times New Roman"/>
        </w:rPr>
        <w:t xml:space="preserve"> As </w:t>
      </w:r>
      <w:r>
        <w:rPr>
          <w:rFonts w:cs="Times New Roman"/>
        </w:rPr>
        <w:t>cities</w:t>
      </w:r>
      <w:r w:rsidRPr="009F5D90">
        <w:rPr>
          <w:rFonts w:cs="Times New Roman"/>
        </w:rPr>
        <w:t xml:space="preserve"> grow, they are more likely to have subways, as in the upper-right quadrant.  Not until cities reach populations above 20 million are they almost guaranteed to have a metro in the developing world.</w:t>
      </w:r>
    </w:p>
    <w:p w14:paraId="6612FCD9" w14:textId="77777777" w:rsidR="00EF04E4" w:rsidRPr="009F5D90" w:rsidRDefault="00EF04E4" w:rsidP="00EF04E4">
      <w:pPr>
        <w:keepNext/>
        <w:spacing w:line="480" w:lineRule="auto"/>
      </w:pPr>
      <w:r w:rsidRPr="009F5D90">
        <w:rPr>
          <w:rFonts w:cs="Times New Roman"/>
          <w:noProof/>
        </w:rPr>
        <w:lastRenderedPageBreak/>
        <w:drawing>
          <wp:inline distT="0" distB="0" distL="0" distR="0" wp14:anchorId="2C635327" wp14:editId="5CF6CB47">
            <wp:extent cx="4156953" cy="3212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Scatter.pdf"/>
                    <pic:cNvPicPr/>
                  </pic:nvPicPr>
                  <pic:blipFill>
                    <a:blip r:embed="rId8">
                      <a:extLst>
                        <a:ext uri="{28A0092B-C50C-407E-A947-70E740481C1C}">
                          <a14:useLocalDpi xmlns:a14="http://schemas.microsoft.com/office/drawing/2010/main" val="0"/>
                        </a:ext>
                      </a:extLst>
                    </a:blip>
                    <a:stretch>
                      <a:fillRect/>
                    </a:stretch>
                  </pic:blipFill>
                  <pic:spPr>
                    <a:xfrm>
                      <a:off x="0" y="0"/>
                      <a:ext cx="4160932" cy="3215265"/>
                    </a:xfrm>
                    <a:prstGeom prst="rect">
                      <a:avLst/>
                    </a:prstGeom>
                  </pic:spPr>
                </pic:pic>
              </a:graphicData>
            </a:graphic>
          </wp:inline>
        </w:drawing>
      </w:r>
    </w:p>
    <w:p w14:paraId="017B0281" w14:textId="369222AB" w:rsidR="00EF04E4" w:rsidRPr="009F5D90" w:rsidRDefault="00EF04E4" w:rsidP="00EF04E4">
      <w:pPr>
        <w:pStyle w:val="Caption"/>
        <w:spacing w:line="480" w:lineRule="auto"/>
        <w:contextualSpacing/>
        <w:rPr>
          <w:rFonts w:cs="Times New Roman"/>
          <w:color w:val="auto"/>
          <w:sz w:val="24"/>
          <w:szCs w:val="24"/>
        </w:rPr>
      </w:pPr>
      <w:r w:rsidRPr="009F5D90">
        <w:rPr>
          <w:rFonts w:cs="Times New Roman"/>
          <w:color w:val="auto"/>
          <w:sz w:val="24"/>
          <w:szCs w:val="24"/>
        </w:rPr>
        <w:t xml:space="preserve">Figure </w:t>
      </w:r>
      <w:r>
        <w:rPr>
          <w:rFonts w:cs="Times New Roman"/>
          <w:color w:val="auto"/>
          <w:sz w:val="24"/>
          <w:szCs w:val="24"/>
        </w:rPr>
        <w:t>A</w:t>
      </w:r>
      <w:r w:rsidR="009E1FFD">
        <w:rPr>
          <w:rFonts w:cs="Times New Roman"/>
          <w:color w:val="auto"/>
          <w:sz w:val="24"/>
          <w:szCs w:val="24"/>
        </w:rPr>
        <w:t>.</w:t>
      </w:r>
      <w:r w:rsidRPr="009F5D90">
        <w:rPr>
          <w:rFonts w:cs="Times New Roman"/>
          <w:color w:val="auto"/>
          <w:sz w:val="24"/>
          <w:szCs w:val="24"/>
        </w:rPr>
        <w:fldChar w:fldCharType="begin"/>
      </w:r>
      <w:r w:rsidRPr="009F5D90">
        <w:rPr>
          <w:rFonts w:cs="Times New Roman"/>
          <w:color w:val="auto"/>
          <w:sz w:val="24"/>
          <w:szCs w:val="24"/>
        </w:rPr>
        <w:instrText xml:space="preserve"> SEQ Figure \* ARABIC </w:instrText>
      </w:r>
      <w:r w:rsidRPr="009F5D90">
        <w:rPr>
          <w:rFonts w:cs="Times New Roman"/>
          <w:color w:val="auto"/>
          <w:sz w:val="24"/>
          <w:szCs w:val="24"/>
        </w:rPr>
        <w:fldChar w:fldCharType="separate"/>
      </w:r>
      <w:r>
        <w:rPr>
          <w:rFonts w:cs="Times New Roman"/>
          <w:noProof/>
          <w:color w:val="auto"/>
          <w:sz w:val="24"/>
          <w:szCs w:val="24"/>
        </w:rPr>
        <w:t>1</w:t>
      </w:r>
      <w:r w:rsidRPr="009F5D90">
        <w:rPr>
          <w:rFonts w:cs="Times New Roman"/>
          <w:color w:val="auto"/>
          <w:sz w:val="24"/>
          <w:szCs w:val="24"/>
        </w:rPr>
        <w:fldChar w:fldCharType="end"/>
      </w:r>
      <w:r w:rsidRPr="009F5D90">
        <w:rPr>
          <w:rFonts w:cs="Times New Roman"/>
          <w:color w:val="auto"/>
          <w:sz w:val="24"/>
          <w:szCs w:val="24"/>
        </w:rPr>
        <w:t xml:space="preserve">  Subways by City Population Size and GDP per Capita (2015)</w:t>
      </w:r>
    </w:p>
    <w:p w14:paraId="30BB479D" w14:textId="4D007F1C" w:rsidR="003B1347" w:rsidRDefault="00EF04E4" w:rsidP="00EF04E4">
      <w:pPr>
        <w:pStyle w:val="Caption"/>
        <w:spacing w:line="480" w:lineRule="auto"/>
        <w:contextualSpacing/>
        <w:rPr>
          <w:b w:val="0"/>
          <w:color w:val="auto"/>
          <w:sz w:val="24"/>
          <w:szCs w:val="24"/>
        </w:rPr>
      </w:pPr>
      <w:r w:rsidRPr="009F5D90">
        <w:rPr>
          <w:b w:val="0"/>
          <w:color w:val="auto"/>
          <w:sz w:val="24"/>
          <w:szCs w:val="24"/>
        </w:rPr>
        <w:t>Sources: Author’s Database compiled from Urban Rail Net</w:t>
      </w:r>
      <w:r>
        <w:rPr>
          <w:b w:val="0"/>
          <w:color w:val="auto"/>
          <w:sz w:val="24"/>
          <w:szCs w:val="24"/>
        </w:rPr>
        <w:t xml:space="preserve"> and</w:t>
      </w:r>
      <w:r w:rsidRPr="009F5D90">
        <w:rPr>
          <w:b w:val="0"/>
          <w:color w:val="auto"/>
          <w:sz w:val="24"/>
          <w:szCs w:val="24"/>
        </w:rPr>
        <w:t xml:space="preserve"> UN World Cities Report </w:t>
      </w:r>
      <w:r>
        <w:rPr>
          <w:b w:val="0"/>
          <w:color w:val="auto"/>
          <w:sz w:val="24"/>
          <w:szCs w:val="24"/>
        </w:rPr>
        <w:t>(2015</w:t>
      </w:r>
      <w:r w:rsidR="007652E4">
        <w:rPr>
          <w:b w:val="0"/>
          <w:color w:val="auto"/>
          <w:sz w:val="24"/>
          <w:szCs w:val="24"/>
        </w:rPr>
        <w:t>)</w:t>
      </w:r>
      <w:r>
        <w:rPr>
          <w:b w:val="0"/>
          <w:color w:val="auto"/>
          <w:sz w:val="24"/>
          <w:szCs w:val="24"/>
        </w:rPr>
        <w:t>.</w:t>
      </w:r>
    </w:p>
    <w:p w14:paraId="192766CC" w14:textId="4879B038" w:rsidR="008D72C8" w:rsidRDefault="008D72C8" w:rsidP="008D72C8">
      <w:pPr>
        <w:spacing w:line="480" w:lineRule="auto"/>
        <w:rPr>
          <w:rFonts w:cs="Times New Roman"/>
        </w:rPr>
      </w:pPr>
      <w:r>
        <w:tab/>
      </w:r>
      <w:r w:rsidR="00FD228E">
        <w:t xml:space="preserve">Turning to the Bogotá subway project, </w:t>
      </w:r>
      <w:r>
        <w:t>I asked several questions on my survey to probe general expectations about the subway in Bogotá</w:t>
      </w:r>
      <w:r w:rsidR="00331DB7">
        <w:t xml:space="preserve"> summarized in Table A.1</w:t>
      </w:r>
      <w:r>
        <w:t xml:space="preserve">.  </w:t>
      </w:r>
      <w:r w:rsidR="00F31995">
        <w:t>Most respondents had positive impressions that the subway would reduce their commute length and traffic in the city</w:t>
      </w:r>
      <w:r w:rsidR="002D5070">
        <w:t>, as well as raising property values.</w:t>
      </w:r>
      <w:r w:rsidR="00F31995">
        <w:t xml:space="preserve">  However, as in many cities, </w:t>
      </w:r>
      <w:r>
        <w:t>Bogotá residents expect substantial corruption in the metro project</w:t>
      </w:r>
      <w:r w:rsidR="002D5070">
        <w:t>,</w:t>
      </w:r>
      <w:r w:rsidR="00F31995">
        <w:t xml:space="preserve"> doubted when construction would begin</w:t>
      </w:r>
      <w:r w:rsidR="002D5070">
        <w:t>, and thought that they would pay for the project through higher taxes</w:t>
      </w:r>
      <w:r w:rsidR="00F31995">
        <w:t>.</w:t>
      </w:r>
      <w:r w:rsidR="00331DB7">
        <w:t xml:space="preserve">  </w:t>
      </w:r>
      <w:r w:rsidR="001A141D">
        <w:t xml:space="preserve">There also was uncertainty about the project: </w:t>
      </w:r>
      <w:r w:rsidR="001A141D">
        <w:rPr>
          <w:rFonts w:cs="Times New Roman"/>
        </w:rPr>
        <w:t>about half of respondents</w:t>
      </w:r>
      <w:r w:rsidR="001A141D" w:rsidRPr="0076678E">
        <w:rPr>
          <w:rFonts w:cs="Times New Roman"/>
        </w:rPr>
        <w:t xml:space="preserve"> believe</w:t>
      </w:r>
      <w:r w:rsidR="001A141D">
        <w:rPr>
          <w:rFonts w:cs="Times New Roman"/>
        </w:rPr>
        <w:t>d</w:t>
      </w:r>
      <w:r w:rsidR="001A141D" w:rsidRPr="0076678E">
        <w:rPr>
          <w:rFonts w:cs="Times New Roman"/>
        </w:rPr>
        <w:t xml:space="preserve"> that the </w:t>
      </w:r>
      <w:r w:rsidR="001A141D">
        <w:rPr>
          <w:rFonts w:cs="Times New Roman"/>
        </w:rPr>
        <w:t xml:space="preserve">metro would </w:t>
      </w:r>
      <w:r w:rsidR="001A141D" w:rsidRPr="0076678E">
        <w:rPr>
          <w:rFonts w:cs="Times New Roman"/>
        </w:rPr>
        <w:t xml:space="preserve">be under construction in </w:t>
      </w:r>
      <w:r w:rsidR="0050246E">
        <w:rPr>
          <w:rFonts w:cs="Times New Roman"/>
        </w:rPr>
        <w:t>five</w:t>
      </w:r>
      <w:r w:rsidR="001A141D" w:rsidRPr="0076678E">
        <w:rPr>
          <w:rFonts w:cs="Times New Roman"/>
        </w:rPr>
        <w:t xml:space="preserve"> years</w:t>
      </w:r>
      <w:r w:rsidR="001A141D">
        <w:rPr>
          <w:rFonts w:cs="Times New Roman"/>
        </w:rPr>
        <w:t>.</w:t>
      </w:r>
    </w:p>
    <w:p w14:paraId="7F6A3419" w14:textId="285DA888" w:rsidR="009E1FFD" w:rsidRDefault="009E1FFD" w:rsidP="008D72C8">
      <w:pPr>
        <w:spacing w:line="480" w:lineRule="auto"/>
        <w:rPr>
          <w:rFonts w:cs="Times New Roman"/>
        </w:rPr>
      </w:pPr>
    </w:p>
    <w:p w14:paraId="2C173037" w14:textId="10A17A69" w:rsidR="009E1FFD" w:rsidRDefault="009E1FFD" w:rsidP="008D72C8">
      <w:pPr>
        <w:spacing w:line="480" w:lineRule="auto"/>
        <w:rPr>
          <w:rFonts w:cs="Times New Roman"/>
        </w:rPr>
      </w:pPr>
    </w:p>
    <w:p w14:paraId="1DE1CC1D" w14:textId="7A603053" w:rsidR="009E1FFD" w:rsidRDefault="009E1FFD" w:rsidP="008D72C8">
      <w:pPr>
        <w:spacing w:line="480" w:lineRule="auto"/>
        <w:rPr>
          <w:rFonts w:cs="Times New Roman"/>
        </w:rPr>
      </w:pPr>
    </w:p>
    <w:p w14:paraId="572ADE68" w14:textId="22A3182C" w:rsidR="009E1FFD" w:rsidRDefault="009E1FFD" w:rsidP="008D72C8">
      <w:pPr>
        <w:spacing w:line="480" w:lineRule="auto"/>
        <w:rPr>
          <w:rFonts w:cs="Times New Roman"/>
        </w:rPr>
      </w:pPr>
    </w:p>
    <w:p w14:paraId="65E30209" w14:textId="77777777" w:rsidR="009E1FFD" w:rsidRDefault="009E1FFD" w:rsidP="008D72C8">
      <w:pPr>
        <w:spacing w:line="480" w:lineRule="auto"/>
      </w:pPr>
    </w:p>
    <w:p w14:paraId="10335AED" w14:textId="1F48D756" w:rsidR="0087284A" w:rsidRPr="0087284A" w:rsidRDefault="0087284A" w:rsidP="008D72C8">
      <w:pPr>
        <w:spacing w:line="480" w:lineRule="auto"/>
        <w:rPr>
          <w:b/>
          <w:bCs/>
        </w:rPr>
      </w:pPr>
      <w:r>
        <w:rPr>
          <w:b/>
          <w:bCs/>
        </w:rPr>
        <w:lastRenderedPageBreak/>
        <w:t>Table A</w:t>
      </w:r>
      <w:r w:rsidR="009E1FFD">
        <w:rPr>
          <w:b/>
          <w:bCs/>
        </w:rPr>
        <w:t>.</w:t>
      </w:r>
      <w:r>
        <w:rPr>
          <w:b/>
          <w:bCs/>
        </w:rPr>
        <w:t xml:space="preserve">1. Expectations for the Bogotá Subway Project </w:t>
      </w:r>
    </w:p>
    <w:p w14:paraId="2D5CCDC1" w14:textId="77777777" w:rsidR="000A6D9B" w:rsidRDefault="000A6D9B" w:rsidP="00F31995">
      <w:r w:rsidRPr="000A6D9B">
        <w:rPr>
          <w:noProof/>
        </w:rPr>
        <w:drawing>
          <wp:inline distT="0" distB="0" distL="0" distR="0" wp14:anchorId="19601B31" wp14:editId="3FC018F4">
            <wp:extent cx="4982705" cy="1625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402" cy="1632638"/>
                    </a:xfrm>
                    <a:prstGeom prst="rect">
                      <a:avLst/>
                    </a:prstGeom>
                  </pic:spPr>
                </pic:pic>
              </a:graphicData>
            </a:graphic>
          </wp:inline>
        </w:drawing>
      </w:r>
    </w:p>
    <w:p w14:paraId="4036AF4C" w14:textId="77777777" w:rsidR="000A6D9B" w:rsidRDefault="000A6D9B" w:rsidP="00F31995"/>
    <w:p w14:paraId="58A5D18C" w14:textId="5897F51F" w:rsidR="00F31995" w:rsidRDefault="00F31995" w:rsidP="00F31995">
      <w:r>
        <w:t xml:space="preserve">Notes: Responses are coded as </w:t>
      </w:r>
      <w:r w:rsidR="0050246E">
        <w:t>‘</w:t>
      </w:r>
      <w:r>
        <w:t>1</w:t>
      </w:r>
      <w:r w:rsidR="0050246E">
        <w:t>’</w:t>
      </w:r>
      <w:r>
        <w:t xml:space="preserve"> if respondent thought it was </w:t>
      </w:r>
      <w:r w:rsidR="0050246E">
        <w:t>‘</w:t>
      </w:r>
      <w:r>
        <w:t>likely</w:t>
      </w:r>
      <w:r w:rsidR="0050246E">
        <w:t xml:space="preserve">’ </w:t>
      </w:r>
      <w:r>
        <w:t xml:space="preserve">or </w:t>
      </w:r>
      <w:r w:rsidR="0050246E">
        <w:t>‘</w:t>
      </w:r>
      <w:r>
        <w:t>highly likely</w:t>
      </w:r>
      <w:r w:rsidR="0050246E">
        <w:t>’</w:t>
      </w:r>
      <w:r>
        <w:t xml:space="preserve"> that a condition would hold and </w:t>
      </w:r>
      <w:r w:rsidR="0050246E">
        <w:t>‘</w:t>
      </w:r>
      <w:r>
        <w:t>0</w:t>
      </w:r>
      <w:r w:rsidR="0050246E">
        <w:t>’</w:t>
      </w:r>
      <w:r>
        <w:t xml:space="preserve"> otherwise.  </w:t>
      </w:r>
      <w:r w:rsidR="00134C6D">
        <w:t>N=907.</w:t>
      </w:r>
    </w:p>
    <w:p w14:paraId="56BE534A" w14:textId="5E8E30BF" w:rsidR="00F31995" w:rsidRDefault="00F31995" w:rsidP="00F31995"/>
    <w:p w14:paraId="0FF0FAB0" w14:textId="77777777" w:rsidR="00F31995" w:rsidRPr="008D72C8" w:rsidRDefault="00F31995" w:rsidP="00F31995"/>
    <w:p w14:paraId="7BAC5AE9" w14:textId="10016D4F" w:rsidR="00314F9A" w:rsidRPr="00314F9A" w:rsidRDefault="008667B3" w:rsidP="008A510E">
      <w:pPr>
        <w:pStyle w:val="ListParagraph"/>
        <w:numPr>
          <w:ilvl w:val="0"/>
          <w:numId w:val="1"/>
        </w:numPr>
        <w:spacing w:line="480" w:lineRule="auto"/>
        <w:rPr>
          <w:rFonts w:cs="Times New Roman"/>
        </w:rPr>
      </w:pPr>
      <w:r w:rsidRPr="00314F9A">
        <w:rPr>
          <w:rFonts w:cs="Times New Roman"/>
          <w:b/>
        </w:rPr>
        <w:t xml:space="preserve">Survey </w:t>
      </w:r>
      <w:r w:rsidR="008E0312">
        <w:rPr>
          <w:rFonts w:cs="Times New Roman"/>
          <w:b/>
        </w:rPr>
        <w:t>Design</w:t>
      </w:r>
      <w:r w:rsidR="00314F9A">
        <w:rPr>
          <w:rFonts w:cs="Times New Roman"/>
          <w:b/>
        </w:rPr>
        <w:t xml:space="preserve"> and Sampling Procedures </w:t>
      </w:r>
    </w:p>
    <w:p w14:paraId="38D02F2E" w14:textId="67EE04AD" w:rsidR="002F358B" w:rsidRDefault="006C6C6A" w:rsidP="002F358B">
      <w:pPr>
        <w:spacing w:line="480" w:lineRule="auto"/>
        <w:ind w:firstLine="720"/>
        <w:rPr>
          <w:rFonts w:cs="Times New Roman"/>
        </w:rPr>
      </w:pPr>
      <w:r>
        <w:t>A</w:t>
      </w:r>
      <w:r w:rsidRPr="00AE3B24">
        <w:t xml:space="preserve">ll survey protocols and questionnaires were approved by </w:t>
      </w:r>
      <w:r w:rsidR="00F72AF7" w:rsidRPr="00D74CC0">
        <w:rPr>
          <w:color w:val="000000" w:themeColor="text1"/>
        </w:rPr>
        <w:t xml:space="preserve">Harvard University’s IRB </w:t>
      </w:r>
      <w:r w:rsidR="00F72AF7" w:rsidRPr="00D74CC0">
        <w:rPr>
          <w:color w:val="000000" w:themeColor="text1"/>
          <w:shd w:val="clear" w:color="auto" w:fill="FFFFFF"/>
        </w:rPr>
        <w:t>(#15-3150)</w:t>
      </w:r>
      <w:r>
        <w:rPr>
          <w:rFonts w:cs="Times New Roman"/>
        </w:rPr>
        <w:t xml:space="preserve"> and reviewed by local academics and the </w:t>
      </w:r>
      <w:r w:rsidR="007652E4">
        <w:rPr>
          <w:rFonts w:cs="Times New Roman"/>
        </w:rPr>
        <w:t xml:space="preserve">partner </w:t>
      </w:r>
      <w:r>
        <w:rPr>
          <w:rFonts w:cs="Times New Roman"/>
        </w:rPr>
        <w:t>survey firm</w:t>
      </w:r>
      <w:r w:rsidR="007652E4">
        <w:rPr>
          <w:rFonts w:cs="Times New Roman"/>
        </w:rPr>
        <w:t xml:space="preserve">, Centro Nacional de </w:t>
      </w:r>
      <w:proofErr w:type="spellStart"/>
      <w:r w:rsidR="007652E4">
        <w:rPr>
          <w:rFonts w:cs="Times New Roman"/>
        </w:rPr>
        <w:t>Consultoría</w:t>
      </w:r>
      <w:proofErr w:type="spellEnd"/>
      <w:r w:rsidR="007652E4">
        <w:rPr>
          <w:rFonts w:cs="Times New Roman"/>
        </w:rPr>
        <w:t xml:space="preserve">, </w:t>
      </w:r>
      <w:r>
        <w:rPr>
          <w:rFonts w:cs="Times New Roman"/>
        </w:rPr>
        <w:t xml:space="preserve">in Colombia.  </w:t>
      </w:r>
      <w:r w:rsidR="007E4B79" w:rsidRPr="000F0ABA">
        <w:t xml:space="preserve">The survey was administered to 900 respondents living in Bogotá, Colombia in August to </w:t>
      </w:r>
      <w:r w:rsidR="007E4B79">
        <w:t xml:space="preserve">October </w:t>
      </w:r>
      <w:r w:rsidR="007E4B79" w:rsidRPr="000F0ABA">
        <w:t xml:space="preserve">2016.  </w:t>
      </w:r>
    </w:p>
    <w:p w14:paraId="32424BFF" w14:textId="4987F7B0" w:rsidR="007E4B79" w:rsidRPr="002F358B" w:rsidRDefault="002F358B" w:rsidP="00B07FF5">
      <w:pPr>
        <w:spacing w:line="480" w:lineRule="auto"/>
        <w:ind w:firstLine="720"/>
        <w:rPr>
          <w:rFonts w:cs="Times New Roman"/>
        </w:rPr>
      </w:pPr>
      <w:r>
        <w:t xml:space="preserve">I </w:t>
      </w:r>
      <w:r w:rsidRPr="000F0ABA">
        <w:t xml:space="preserve">used a </w:t>
      </w:r>
      <w:r>
        <w:t>stratified</w:t>
      </w:r>
      <w:r w:rsidRPr="000F0ABA">
        <w:t xml:space="preserve"> sample to guarantee an adequate sample size living within each geographic </w:t>
      </w:r>
      <w:r w:rsidRPr="00EA22D6">
        <w:t>area.  Following standard practice in urban planning, I divided the city into three zones shown in Figure 1</w:t>
      </w:r>
      <w:r w:rsidR="003639D4">
        <w:t xml:space="preserve"> of the article</w:t>
      </w:r>
      <w:r w:rsidR="00B07FF5">
        <w:t>.</w:t>
      </w:r>
      <w:r>
        <w:t xml:space="preserve"> </w:t>
      </w:r>
      <w:r w:rsidR="00B07FF5">
        <w:rPr>
          <w:rFonts w:cs="Times New Roman"/>
        </w:rPr>
        <w:t xml:space="preserve"> </w:t>
      </w:r>
      <w:r>
        <w:rPr>
          <w:rFonts w:cs="Times New Roman"/>
        </w:rPr>
        <w:t xml:space="preserve">The survey firm </w:t>
      </w:r>
      <w:r w:rsidR="007E4B79">
        <w:t xml:space="preserve">then </w:t>
      </w:r>
      <w:r>
        <w:t xml:space="preserve">selected city blocks </w:t>
      </w:r>
      <w:r w:rsidR="00B07FF5">
        <w:t xml:space="preserve">within each transportation zone </w:t>
      </w:r>
      <w:r w:rsidR="007E4B79">
        <w:t xml:space="preserve">using government-defined class stratifications.  Colombia divides households into six </w:t>
      </w:r>
      <w:r w:rsidR="0050246E">
        <w:t>‘</w:t>
      </w:r>
      <w:r w:rsidR="007E4B79">
        <w:t>strata,</w:t>
      </w:r>
      <w:r w:rsidR="0050246E">
        <w:t>’</w:t>
      </w:r>
      <w:r w:rsidR="007E4B79">
        <w:t xml:space="preserve"> which often are grouped together with strata 1 and 2 as low-income households</w:t>
      </w:r>
      <w:r>
        <w:t xml:space="preserve"> (</w:t>
      </w:r>
      <w:r w:rsidR="0050246E">
        <w:t>‘</w:t>
      </w:r>
      <w:r>
        <w:t>lower</w:t>
      </w:r>
      <w:r w:rsidR="0050246E">
        <w:t>’</w:t>
      </w:r>
      <w:r>
        <w:t>)</w:t>
      </w:r>
      <w:r w:rsidR="007E4B79">
        <w:t>, strata 3 as lower-middle</w:t>
      </w:r>
      <w:r>
        <w:t xml:space="preserve"> (</w:t>
      </w:r>
      <w:r w:rsidR="0050246E">
        <w:t>‘</w:t>
      </w:r>
      <w:r>
        <w:t>middle</w:t>
      </w:r>
      <w:r w:rsidR="0050246E">
        <w:t>’</w:t>
      </w:r>
      <w:r>
        <w:t>)</w:t>
      </w:r>
      <w:r w:rsidR="007E4B79">
        <w:t>, and strata 4 and above as upper-middle class</w:t>
      </w:r>
      <w:r>
        <w:t xml:space="preserve"> (</w:t>
      </w:r>
      <w:r w:rsidR="0050246E">
        <w:t>‘</w:t>
      </w:r>
      <w:r>
        <w:t>upper</w:t>
      </w:r>
      <w:r w:rsidR="0050246E">
        <w:t>’</w:t>
      </w:r>
      <w:r>
        <w:t>)</w:t>
      </w:r>
      <w:r w:rsidR="007E4B79">
        <w:t xml:space="preserve">. Table </w:t>
      </w:r>
      <w:r w:rsidR="00B07FF5">
        <w:t>A2</w:t>
      </w:r>
      <w:r w:rsidR="007E4B79">
        <w:t xml:space="preserve"> shows the division of class groups in the sample and their relationship to Bogotá’s population.</w:t>
      </w:r>
      <w:r w:rsidR="007E4B79" w:rsidRPr="008C26D5">
        <w:t xml:space="preserve"> </w:t>
      </w:r>
      <w:r w:rsidR="00B07FF5">
        <w:t>T</w:t>
      </w:r>
      <w:r w:rsidR="007E4B79" w:rsidRPr="000F0ABA">
        <w:t xml:space="preserve">his method </w:t>
      </w:r>
      <w:r w:rsidR="007E4B79">
        <w:t xml:space="preserve">of respondent recruitment </w:t>
      </w:r>
      <w:r w:rsidR="007E4B79" w:rsidRPr="000F0ABA">
        <w:t>was preferable to an online convenience sample</w:t>
      </w:r>
      <w:r w:rsidR="007E4B79">
        <w:t xml:space="preserve"> because it covers the entire city and different class groups.  </w:t>
      </w:r>
      <w:r w:rsidR="00B07FF5">
        <w:t xml:space="preserve">I conducted a pilot using a Facebook sample but recruited a much younger, wealthier, and more centrally located sample than </w:t>
      </w:r>
      <w:r w:rsidR="007E4B79" w:rsidRPr="000F0ABA">
        <w:t xml:space="preserve">possible through direct recruitment in different neighborhoods.  </w:t>
      </w:r>
    </w:p>
    <w:p w14:paraId="473FE022" w14:textId="51E8890D" w:rsidR="007E4B79" w:rsidRDefault="007E4B79" w:rsidP="007E4B79">
      <w:pPr>
        <w:rPr>
          <w:b/>
        </w:rPr>
      </w:pPr>
      <w:r w:rsidRPr="000F0ABA">
        <w:rPr>
          <w:b/>
        </w:rPr>
        <w:lastRenderedPageBreak/>
        <w:t xml:space="preserve">Table </w:t>
      </w:r>
      <w:r w:rsidR="002E7A98">
        <w:rPr>
          <w:b/>
        </w:rPr>
        <w:t>A</w:t>
      </w:r>
      <w:r w:rsidR="009E1FFD">
        <w:rPr>
          <w:b/>
        </w:rPr>
        <w:t>.</w:t>
      </w:r>
      <w:r w:rsidR="002E7A98">
        <w:rPr>
          <w:b/>
        </w:rPr>
        <w:t>2</w:t>
      </w:r>
      <w:r>
        <w:rPr>
          <w:b/>
        </w:rPr>
        <w:t>:</w:t>
      </w:r>
      <w:r w:rsidRPr="000F0ABA">
        <w:rPr>
          <w:b/>
        </w:rPr>
        <w:t xml:space="preserve"> Sampling Procedure</w:t>
      </w:r>
    </w:p>
    <w:p w14:paraId="1ABD4BCA" w14:textId="77777777" w:rsidR="002F358B" w:rsidRPr="000F0ABA" w:rsidRDefault="002F358B" w:rsidP="007E4B7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332"/>
        <w:gridCol w:w="2335"/>
        <w:gridCol w:w="2332"/>
      </w:tblGrid>
      <w:tr w:rsidR="007E4B79" w:rsidRPr="000F0ABA" w14:paraId="04739D3A" w14:textId="77777777" w:rsidTr="00D05B51">
        <w:tc>
          <w:tcPr>
            <w:tcW w:w="2351" w:type="dxa"/>
            <w:shd w:val="clear" w:color="auto" w:fill="auto"/>
          </w:tcPr>
          <w:p w14:paraId="78864B98" w14:textId="77777777" w:rsidR="007E4B79" w:rsidRPr="000F0ABA" w:rsidRDefault="007E4B79" w:rsidP="003723B4">
            <w:pPr>
              <w:contextualSpacing/>
            </w:pPr>
            <w:r w:rsidRPr="000F0ABA">
              <w:t>Geographic Zone</w:t>
            </w:r>
          </w:p>
        </w:tc>
        <w:tc>
          <w:tcPr>
            <w:tcW w:w="2332" w:type="dxa"/>
            <w:shd w:val="clear" w:color="auto" w:fill="auto"/>
          </w:tcPr>
          <w:p w14:paraId="530EFEDA" w14:textId="77777777" w:rsidR="007E4B79" w:rsidRPr="00027575" w:rsidRDefault="007E4B79" w:rsidP="003723B4">
            <w:pPr>
              <w:contextualSpacing/>
              <w:rPr>
                <w:b/>
              </w:rPr>
            </w:pPr>
            <w:r w:rsidRPr="00027575">
              <w:rPr>
                <w:b/>
              </w:rPr>
              <w:t xml:space="preserve">Lower Class </w:t>
            </w:r>
          </w:p>
          <w:p w14:paraId="0153DC1F" w14:textId="77777777" w:rsidR="007E4B79" w:rsidRPr="000F0ABA" w:rsidRDefault="007E4B79" w:rsidP="003723B4">
            <w:pPr>
              <w:contextualSpacing/>
            </w:pPr>
            <w:r w:rsidRPr="000F0ABA">
              <w:t>(Strata 1 and 2)</w:t>
            </w:r>
          </w:p>
        </w:tc>
        <w:tc>
          <w:tcPr>
            <w:tcW w:w="2335" w:type="dxa"/>
            <w:shd w:val="clear" w:color="auto" w:fill="auto"/>
          </w:tcPr>
          <w:p w14:paraId="09304C75" w14:textId="77777777" w:rsidR="007E4B79" w:rsidRPr="00027575" w:rsidRDefault="007E4B79" w:rsidP="003723B4">
            <w:pPr>
              <w:contextualSpacing/>
              <w:rPr>
                <w:b/>
              </w:rPr>
            </w:pPr>
            <w:r w:rsidRPr="00027575">
              <w:rPr>
                <w:b/>
              </w:rPr>
              <w:t xml:space="preserve">Middle Class </w:t>
            </w:r>
          </w:p>
          <w:p w14:paraId="1CF1EB04" w14:textId="47C13C2A" w:rsidR="007E4B79" w:rsidRPr="000F0ABA" w:rsidRDefault="007E4B79" w:rsidP="003723B4">
            <w:pPr>
              <w:contextualSpacing/>
            </w:pPr>
            <w:r w:rsidRPr="000F0ABA">
              <w:t>(Strata 3</w:t>
            </w:r>
            <w:r w:rsidR="00F063C9">
              <w:t xml:space="preserve"> and 4</w:t>
            </w:r>
            <w:r w:rsidRPr="000F0ABA">
              <w:t>)</w:t>
            </w:r>
          </w:p>
        </w:tc>
        <w:tc>
          <w:tcPr>
            <w:tcW w:w="2332" w:type="dxa"/>
            <w:shd w:val="clear" w:color="auto" w:fill="auto"/>
          </w:tcPr>
          <w:p w14:paraId="07D1B483" w14:textId="77777777" w:rsidR="007E4B79" w:rsidRPr="00027575" w:rsidRDefault="007E4B79" w:rsidP="003723B4">
            <w:pPr>
              <w:contextualSpacing/>
              <w:rPr>
                <w:b/>
              </w:rPr>
            </w:pPr>
            <w:r w:rsidRPr="00027575">
              <w:rPr>
                <w:b/>
              </w:rPr>
              <w:t xml:space="preserve">Upper Class </w:t>
            </w:r>
          </w:p>
          <w:p w14:paraId="1306BC54" w14:textId="5B2DE9FA" w:rsidR="007E4B79" w:rsidRPr="000F0ABA" w:rsidRDefault="007E4B79" w:rsidP="003723B4">
            <w:pPr>
              <w:contextualSpacing/>
            </w:pPr>
            <w:r w:rsidRPr="000F0ABA">
              <w:t>(Strata 5 and 6)</w:t>
            </w:r>
          </w:p>
        </w:tc>
      </w:tr>
      <w:tr w:rsidR="00D05B51" w:rsidRPr="000F0ABA" w14:paraId="2E925A48" w14:textId="77777777" w:rsidTr="00D05B51">
        <w:tc>
          <w:tcPr>
            <w:tcW w:w="2351" w:type="dxa"/>
            <w:shd w:val="clear" w:color="auto" w:fill="auto"/>
          </w:tcPr>
          <w:p w14:paraId="2D73E7D7" w14:textId="215B7FCF" w:rsidR="00D05B51" w:rsidRPr="00027575" w:rsidRDefault="00D05B51" w:rsidP="00D05B51">
            <w:pPr>
              <w:contextualSpacing/>
              <w:rPr>
                <w:b/>
              </w:rPr>
            </w:pPr>
            <w:r w:rsidRPr="00027575">
              <w:rPr>
                <w:b/>
              </w:rPr>
              <w:t>Unaffected zone</w:t>
            </w:r>
          </w:p>
        </w:tc>
        <w:tc>
          <w:tcPr>
            <w:tcW w:w="2332" w:type="dxa"/>
            <w:shd w:val="clear" w:color="auto" w:fill="auto"/>
          </w:tcPr>
          <w:p w14:paraId="5291F646" w14:textId="4E42E929" w:rsidR="00D05B51" w:rsidRDefault="00D05B51" w:rsidP="00D05B51">
            <w:pPr>
              <w:contextualSpacing/>
            </w:pPr>
            <w:r>
              <w:t>131 (121)</w:t>
            </w:r>
          </w:p>
        </w:tc>
        <w:tc>
          <w:tcPr>
            <w:tcW w:w="2335" w:type="dxa"/>
            <w:shd w:val="clear" w:color="auto" w:fill="auto"/>
          </w:tcPr>
          <w:p w14:paraId="44A1CD19" w14:textId="77F7B63D" w:rsidR="00D05B51" w:rsidRDefault="00D05B51" w:rsidP="00D05B51">
            <w:pPr>
              <w:contextualSpacing/>
            </w:pPr>
            <w:r>
              <w:t>130 (112)</w:t>
            </w:r>
          </w:p>
        </w:tc>
        <w:tc>
          <w:tcPr>
            <w:tcW w:w="2332" w:type="dxa"/>
            <w:shd w:val="clear" w:color="auto" w:fill="auto"/>
          </w:tcPr>
          <w:p w14:paraId="0E46009E" w14:textId="75173506" w:rsidR="00D05B51" w:rsidRDefault="00D05B51" w:rsidP="00D05B51">
            <w:pPr>
              <w:contextualSpacing/>
            </w:pPr>
            <w:r>
              <w:t xml:space="preserve">40 (30) </w:t>
            </w:r>
          </w:p>
        </w:tc>
      </w:tr>
      <w:tr w:rsidR="00D05B51" w:rsidRPr="000F0ABA" w14:paraId="461BF46E" w14:textId="77777777" w:rsidTr="00D05B51">
        <w:tc>
          <w:tcPr>
            <w:tcW w:w="2351" w:type="dxa"/>
            <w:shd w:val="clear" w:color="auto" w:fill="auto"/>
          </w:tcPr>
          <w:p w14:paraId="7D9D54DA" w14:textId="77777777" w:rsidR="00D05B51" w:rsidRPr="00027575" w:rsidRDefault="00D05B51" w:rsidP="00D05B51">
            <w:pPr>
              <w:contextualSpacing/>
              <w:rPr>
                <w:b/>
              </w:rPr>
            </w:pPr>
            <w:r w:rsidRPr="00027575">
              <w:rPr>
                <w:b/>
              </w:rPr>
              <w:t>Secondary influence zone</w:t>
            </w:r>
          </w:p>
        </w:tc>
        <w:tc>
          <w:tcPr>
            <w:tcW w:w="2332" w:type="dxa"/>
            <w:shd w:val="clear" w:color="auto" w:fill="auto"/>
          </w:tcPr>
          <w:p w14:paraId="17CD20A4" w14:textId="77777777" w:rsidR="00D05B51" w:rsidRPr="000F0ABA" w:rsidRDefault="00D05B51" w:rsidP="00D05B51">
            <w:pPr>
              <w:contextualSpacing/>
            </w:pPr>
            <w:r>
              <w:t>132 (123)</w:t>
            </w:r>
          </w:p>
        </w:tc>
        <w:tc>
          <w:tcPr>
            <w:tcW w:w="2335" w:type="dxa"/>
            <w:shd w:val="clear" w:color="auto" w:fill="auto"/>
          </w:tcPr>
          <w:p w14:paraId="3369E75B" w14:textId="77777777" w:rsidR="00D05B51" w:rsidRPr="000F0ABA" w:rsidRDefault="00D05B51" w:rsidP="00D05B51">
            <w:pPr>
              <w:contextualSpacing/>
            </w:pPr>
            <w:r>
              <w:t>135 (127)</w:t>
            </w:r>
          </w:p>
        </w:tc>
        <w:tc>
          <w:tcPr>
            <w:tcW w:w="2332" w:type="dxa"/>
            <w:shd w:val="clear" w:color="auto" w:fill="auto"/>
          </w:tcPr>
          <w:p w14:paraId="00DD553F" w14:textId="77777777" w:rsidR="00D05B51" w:rsidRPr="000F0ABA" w:rsidRDefault="00D05B51" w:rsidP="00D05B51">
            <w:pPr>
              <w:contextualSpacing/>
            </w:pPr>
            <w:r>
              <w:t>39 (35)</w:t>
            </w:r>
          </w:p>
        </w:tc>
      </w:tr>
      <w:tr w:rsidR="00D05B51" w:rsidRPr="000F0ABA" w14:paraId="29C8166C" w14:textId="77777777" w:rsidTr="00D05B51">
        <w:tc>
          <w:tcPr>
            <w:tcW w:w="2351" w:type="dxa"/>
            <w:shd w:val="clear" w:color="auto" w:fill="auto"/>
          </w:tcPr>
          <w:p w14:paraId="397CEFB0" w14:textId="50C9A1FC" w:rsidR="00D05B51" w:rsidRPr="00027575" w:rsidRDefault="00D05B51" w:rsidP="00D05B51">
            <w:pPr>
              <w:contextualSpacing/>
              <w:rPr>
                <w:b/>
              </w:rPr>
            </w:pPr>
            <w:r w:rsidRPr="00027575">
              <w:rPr>
                <w:b/>
              </w:rPr>
              <w:t>Direct influence zone</w:t>
            </w:r>
          </w:p>
        </w:tc>
        <w:tc>
          <w:tcPr>
            <w:tcW w:w="2332" w:type="dxa"/>
            <w:shd w:val="clear" w:color="auto" w:fill="auto"/>
          </w:tcPr>
          <w:p w14:paraId="0903FC12" w14:textId="697D53AF" w:rsidR="00D05B51" w:rsidRPr="000F0ABA" w:rsidRDefault="00D05B51" w:rsidP="00D05B51">
            <w:pPr>
              <w:contextualSpacing/>
            </w:pPr>
            <w:r>
              <w:t>130 (124)</w:t>
            </w:r>
          </w:p>
        </w:tc>
        <w:tc>
          <w:tcPr>
            <w:tcW w:w="2335" w:type="dxa"/>
            <w:shd w:val="clear" w:color="auto" w:fill="auto"/>
          </w:tcPr>
          <w:p w14:paraId="78E9FCCD" w14:textId="11D280DD" w:rsidR="00D05B51" w:rsidRPr="000F0ABA" w:rsidRDefault="00D05B51" w:rsidP="00D05B51">
            <w:pPr>
              <w:contextualSpacing/>
            </w:pPr>
            <w:r>
              <w:t>130 (121)</w:t>
            </w:r>
          </w:p>
        </w:tc>
        <w:tc>
          <w:tcPr>
            <w:tcW w:w="2332" w:type="dxa"/>
            <w:shd w:val="clear" w:color="auto" w:fill="auto"/>
          </w:tcPr>
          <w:p w14:paraId="43944281" w14:textId="30F71C5B" w:rsidR="00D05B51" w:rsidRPr="000F0ABA" w:rsidRDefault="00D05B51" w:rsidP="00D05B51">
            <w:pPr>
              <w:contextualSpacing/>
            </w:pPr>
            <w:r>
              <w:t>40 (35)</w:t>
            </w:r>
          </w:p>
        </w:tc>
      </w:tr>
      <w:tr w:rsidR="00D05B51" w:rsidRPr="000F0ABA" w14:paraId="54B4785D" w14:textId="77777777" w:rsidTr="00D05B51">
        <w:tc>
          <w:tcPr>
            <w:tcW w:w="2351" w:type="dxa"/>
            <w:shd w:val="clear" w:color="auto" w:fill="auto"/>
          </w:tcPr>
          <w:p w14:paraId="7C10F29D" w14:textId="77777777" w:rsidR="00D05B51" w:rsidRPr="000F0ABA" w:rsidRDefault="00D05B51" w:rsidP="00D05B51">
            <w:pPr>
              <w:contextualSpacing/>
            </w:pPr>
            <w:r w:rsidRPr="009C679F">
              <w:rPr>
                <w:i/>
              </w:rPr>
              <w:t>Total</w:t>
            </w:r>
            <w:r>
              <w:rPr>
                <w:i/>
              </w:rPr>
              <w:t xml:space="preserve"> in Sample (907)</w:t>
            </w:r>
          </w:p>
        </w:tc>
        <w:tc>
          <w:tcPr>
            <w:tcW w:w="2332" w:type="dxa"/>
            <w:shd w:val="clear" w:color="auto" w:fill="auto"/>
          </w:tcPr>
          <w:p w14:paraId="313878E2" w14:textId="77777777" w:rsidR="00D05B51" w:rsidRPr="000F0ABA" w:rsidRDefault="00D05B51" w:rsidP="00D05B51">
            <w:pPr>
              <w:contextualSpacing/>
            </w:pPr>
            <w:r w:rsidRPr="009C679F">
              <w:rPr>
                <w:i/>
              </w:rPr>
              <w:t>39</w:t>
            </w:r>
            <w:r>
              <w:rPr>
                <w:i/>
              </w:rPr>
              <w:t>3 (368)</w:t>
            </w:r>
          </w:p>
        </w:tc>
        <w:tc>
          <w:tcPr>
            <w:tcW w:w="2335" w:type="dxa"/>
            <w:shd w:val="clear" w:color="auto" w:fill="auto"/>
          </w:tcPr>
          <w:p w14:paraId="5E8235B7" w14:textId="77777777" w:rsidR="00D05B51" w:rsidRPr="000F0ABA" w:rsidRDefault="00D05B51" w:rsidP="00D05B51">
            <w:pPr>
              <w:contextualSpacing/>
            </w:pPr>
            <w:r w:rsidRPr="009C679F">
              <w:rPr>
                <w:i/>
              </w:rPr>
              <w:t>39</w:t>
            </w:r>
            <w:r>
              <w:rPr>
                <w:i/>
              </w:rPr>
              <w:t>5 (360)</w:t>
            </w:r>
          </w:p>
        </w:tc>
        <w:tc>
          <w:tcPr>
            <w:tcW w:w="2332" w:type="dxa"/>
            <w:shd w:val="clear" w:color="auto" w:fill="auto"/>
          </w:tcPr>
          <w:p w14:paraId="44538F7D" w14:textId="77777777" w:rsidR="00D05B51" w:rsidRPr="001F29B9" w:rsidRDefault="00D05B51" w:rsidP="00D05B51">
            <w:pPr>
              <w:contextualSpacing/>
              <w:rPr>
                <w:i/>
              </w:rPr>
            </w:pPr>
            <w:r w:rsidRPr="009C679F">
              <w:rPr>
                <w:i/>
              </w:rPr>
              <w:t>1</w:t>
            </w:r>
            <w:r>
              <w:rPr>
                <w:i/>
              </w:rPr>
              <w:t xml:space="preserve">19 (100) </w:t>
            </w:r>
          </w:p>
        </w:tc>
      </w:tr>
      <w:tr w:rsidR="00D05B51" w:rsidRPr="000F0ABA" w14:paraId="435DB017" w14:textId="77777777" w:rsidTr="00D05B51">
        <w:tc>
          <w:tcPr>
            <w:tcW w:w="2351" w:type="dxa"/>
            <w:shd w:val="clear" w:color="auto" w:fill="auto"/>
          </w:tcPr>
          <w:p w14:paraId="2A7A6C57" w14:textId="77777777" w:rsidR="00D05B51" w:rsidRPr="009C679F" w:rsidRDefault="00D05B51" w:rsidP="00D05B51">
            <w:pPr>
              <w:contextualSpacing/>
              <w:rPr>
                <w:i/>
              </w:rPr>
            </w:pPr>
            <w:r>
              <w:rPr>
                <w:i/>
              </w:rPr>
              <w:t>As Percent of Bogotá’s population</w:t>
            </w:r>
          </w:p>
        </w:tc>
        <w:tc>
          <w:tcPr>
            <w:tcW w:w="2332" w:type="dxa"/>
            <w:shd w:val="clear" w:color="auto" w:fill="auto"/>
          </w:tcPr>
          <w:p w14:paraId="359B164E" w14:textId="77777777" w:rsidR="00D05B51" w:rsidRPr="001F29B9" w:rsidRDefault="00D05B51" w:rsidP="00D05B51">
            <w:pPr>
              <w:contextualSpacing/>
            </w:pPr>
            <w:r>
              <w:t>48.8%</w:t>
            </w:r>
          </w:p>
        </w:tc>
        <w:tc>
          <w:tcPr>
            <w:tcW w:w="2335" w:type="dxa"/>
            <w:shd w:val="clear" w:color="auto" w:fill="auto"/>
          </w:tcPr>
          <w:p w14:paraId="19B379DE" w14:textId="77777777" w:rsidR="00D05B51" w:rsidRPr="001F29B9" w:rsidRDefault="00D05B51" w:rsidP="00D05B51">
            <w:pPr>
              <w:contextualSpacing/>
            </w:pPr>
            <w:r>
              <w:t>35.7%</w:t>
            </w:r>
          </w:p>
        </w:tc>
        <w:tc>
          <w:tcPr>
            <w:tcW w:w="2332" w:type="dxa"/>
            <w:shd w:val="clear" w:color="auto" w:fill="auto"/>
          </w:tcPr>
          <w:p w14:paraId="1556F0B9" w14:textId="77777777" w:rsidR="00D05B51" w:rsidRPr="001F29B9" w:rsidRDefault="00D05B51" w:rsidP="00D05B51">
            <w:pPr>
              <w:contextualSpacing/>
            </w:pPr>
            <w:r>
              <w:t>13.8%</w:t>
            </w:r>
          </w:p>
        </w:tc>
      </w:tr>
    </w:tbl>
    <w:p w14:paraId="4FAE8F2F" w14:textId="77777777" w:rsidR="0050246E" w:rsidRDefault="0050246E" w:rsidP="007E4B79"/>
    <w:p w14:paraId="7C3935BF" w14:textId="6C24827B" w:rsidR="007E4B79" w:rsidRPr="00865D0A" w:rsidRDefault="007E4B79" w:rsidP="007E4B79">
      <w:pPr>
        <w:rPr>
          <w:color w:val="000000" w:themeColor="text1"/>
        </w:rPr>
      </w:pPr>
      <w:r w:rsidRPr="00865D0A">
        <w:rPr>
          <w:color w:val="000000" w:themeColor="text1"/>
        </w:rPr>
        <w:t xml:space="preserve">Notes: Software glitches meant that some QV responses were not recorded.  The numbers indicate the completed surveys on demographic questions.  The numbers in parentheses indicate the completed survey on both demographic and QV questions. </w:t>
      </w:r>
    </w:p>
    <w:p w14:paraId="5411F2B3" w14:textId="44F54253" w:rsidR="007E4B79" w:rsidRDefault="007E4B79" w:rsidP="008667B3">
      <w:pPr>
        <w:rPr>
          <w:rFonts w:cs="Times New Roman"/>
        </w:rPr>
      </w:pPr>
    </w:p>
    <w:p w14:paraId="788E8E29" w14:textId="4BFCA6A7" w:rsidR="004A10EC" w:rsidRDefault="007E4B79" w:rsidP="00AA0B7E">
      <w:pPr>
        <w:widowControl w:val="0"/>
        <w:autoSpaceDE w:val="0"/>
        <w:autoSpaceDN w:val="0"/>
        <w:adjustRightInd w:val="0"/>
        <w:spacing w:line="480" w:lineRule="auto"/>
        <w:ind w:firstLine="720"/>
      </w:pPr>
      <w:r w:rsidRPr="000F0ABA">
        <w:t xml:space="preserve">The QV instrument must be administered online, which created some </w:t>
      </w:r>
      <w:r>
        <w:t xml:space="preserve">logistical </w:t>
      </w:r>
      <w:r w:rsidRPr="000F0ABA">
        <w:t xml:space="preserve">challenges in a </w:t>
      </w:r>
      <w:r w:rsidR="002F358B">
        <w:t>city with spotty internet access and high rates of crime</w:t>
      </w:r>
      <w:r w:rsidRPr="000F0ABA">
        <w:t>.</w:t>
      </w:r>
      <w:r w:rsidR="002F358B">
        <w:t xml:space="preserve">  </w:t>
      </w:r>
      <w:r w:rsidRPr="000F0ABA">
        <w:t xml:space="preserve">Security concerns also meant that enumerators were unwilling to carry portable electronic devices in all areas of the city.  But Internet cafes are widespread.  Rather than conduct a household survey, </w:t>
      </w:r>
      <w:r>
        <w:t>enumerators approached</w:t>
      </w:r>
      <w:r w:rsidRPr="000F0ABA">
        <w:t xml:space="preserve"> respondents in public spaces</w:t>
      </w:r>
      <w:r w:rsidR="00194444">
        <w:t xml:space="preserve"> and </w:t>
      </w:r>
      <w:r w:rsidR="00AA0B7E">
        <w:t>at starting places on the selected blocks</w:t>
      </w:r>
      <w:r>
        <w:t>.  They first verified that the respondent lived in the defined area around the metro project and their class stratification.  They then</w:t>
      </w:r>
      <w:r w:rsidRPr="000F0ABA">
        <w:t xml:space="preserve"> </w:t>
      </w:r>
      <w:r>
        <w:t xml:space="preserve">recruited </w:t>
      </w:r>
      <w:r w:rsidRPr="000F0ABA">
        <w:t xml:space="preserve">them to take the survey in an Internet café set up to administer the survey.  </w:t>
      </w:r>
      <w:r w:rsidR="00AA0B7E" w:rsidRPr="000F0ABA">
        <w:t xml:space="preserve">To encourage respondents to take the survey, they were offered a small </w:t>
      </w:r>
      <w:r w:rsidR="00AA0B7E">
        <w:t xml:space="preserve">gift for completing the survey.  The preliminary screening interview ensured that respondents met the distance and demographic criteria even in more dangerous </w:t>
      </w:r>
      <w:r w:rsidR="00AA0B7E" w:rsidRPr="00432C33">
        <w:t>neighborhoods.  Response rates were 18 percent, which is somewhat lower than face-to-face surveys conducted</w:t>
      </w:r>
      <w:r w:rsidR="00AA0B7E">
        <w:t xml:space="preserve"> in Bogotá by the same survey company</w:t>
      </w:r>
      <w:r w:rsidR="00315024">
        <w:t xml:space="preserve"> </w:t>
      </w:r>
      <w:r w:rsidR="00AA0B7E">
        <w:t xml:space="preserve">but higher than most telephone surveys.  </w:t>
      </w:r>
      <w:r w:rsidR="0066719A">
        <w:t xml:space="preserve">The survey firm verified that observable demographic features are </w:t>
      </w:r>
      <w:r w:rsidR="009E1FFD">
        <w:t>like</w:t>
      </w:r>
      <w:r w:rsidR="0066719A">
        <w:t xml:space="preserve"> the</w:t>
      </w:r>
      <w:r w:rsidR="00315024">
        <w:t xml:space="preserve"> features of the</w:t>
      </w:r>
      <w:r w:rsidR="0066719A">
        <w:t xml:space="preserve"> underlying city population.  </w:t>
      </w:r>
    </w:p>
    <w:p w14:paraId="2602AC83" w14:textId="06C0AE20" w:rsidR="006C6C6A" w:rsidRPr="00430720" w:rsidRDefault="007E4B79" w:rsidP="00430720">
      <w:pPr>
        <w:widowControl w:val="0"/>
        <w:autoSpaceDE w:val="0"/>
        <w:autoSpaceDN w:val="0"/>
        <w:adjustRightInd w:val="0"/>
        <w:spacing w:line="480" w:lineRule="auto"/>
        <w:ind w:firstLine="720"/>
      </w:pPr>
      <w:r>
        <w:t xml:space="preserve">Even using the Internet cafes to increase the chances of a reliable Internet connection, software </w:t>
      </w:r>
      <w:r w:rsidRPr="00EA22D6">
        <w:t xml:space="preserve">problems </w:t>
      </w:r>
      <w:r w:rsidR="002F358B">
        <w:t xml:space="preserve">emerged in </w:t>
      </w:r>
      <w:r w:rsidRPr="00EA22D6">
        <w:t xml:space="preserve">recording the QV responses on the first module of the survey.  The </w:t>
      </w:r>
      <w:r w:rsidRPr="00EA22D6">
        <w:lastRenderedPageBreak/>
        <w:t>numbers in parentheses in Table 3 indicate the number of surveys with complete responses on the QV/Likert conditions and experiment</w:t>
      </w:r>
      <w:r>
        <w:t xml:space="preserve">.  Luckily, there was no systematic missingness to induce bias into the survey responses.  But the lost data reduce the power to detect significant effects, especially in the subgroup analyses.  </w:t>
      </w:r>
    </w:p>
    <w:p w14:paraId="638C8DD9" w14:textId="666C0847" w:rsidR="006C6C6A" w:rsidRDefault="006C6C6A" w:rsidP="00430720">
      <w:pPr>
        <w:spacing w:line="480" w:lineRule="auto"/>
        <w:ind w:firstLine="720"/>
        <w:rPr>
          <w:rFonts w:cs="Times New Roman"/>
        </w:rPr>
      </w:pPr>
      <w:r>
        <w:rPr>
          <w:rFonts w:cs="Times New Roman"/>
          <w:bCs/>
        </w:rPr>
        <w:t xml:space="preserve">The experimental vignettes were assigned through simple randomization.  </w:t>
      </w:r>
      <w:r w:rsidR="00430720">
        <w:rPr>
          <w:rFonts w:cs="Times New Roman"/>
          <w:bCs/>
        </w:rPr>
        <w:t xml:space="preserve">Block randomization is even more powerful but wasn’t possible given that the QV software </w:t>
      </w:r>
      <w:r w:rsidR="00DB5611">
        <w:rPr>
          <w:rFonts w:cs="Times New Roman"/>
        </w:rPr>
        <w:t>required first administering the specialized QV modules and then directing respondents to</w:t>
      </w:r>
      <w:r w:rsidR="00DB5611" w:rsidRPr="00C566C1">
        <w:rPr>
          <w:rFonts w:cs="Times New Roman"/>
        </w:rPr>
        <w:t xml:space="preserve"> demographic and political questions.</w:t>
      </w:r>
      <w:r w:rsidR="00DB5611">
        <w:rPr>
          <w:rFonts w:cs="Times New Roman"/>
        </w:rPr>
        <w:t xml:space="preserve">  </w:t>
      </w:r>
      <w:r w:rsidR="007652E4">
        <w:rPr>
          <w:rFonts w:cs="Times New Roman"/>
          <w:bCs/>
        </w:rPr>
        <w:t xml:space="preserve">Power calculations were complicated given the novelty of the survey technique and subject matter, which gave me little sense of a reasonable effect size and standard deviation.  I simulated the different sample sizes required using </w:t>
      </w:r>
      <w:hyperlink r:id="rId10" w:history="1">
        <w:r w:rsidR="007652E4" w:rsidRPr="00B33CCB">
          <w:rPr>
            <w:rStyle w:val="Hyperlink"/>
            <w:rFonts w:cs="Times New Roman"/>
            <w:bCs/>
          </w:rPr>
          <w:t>https://egap.shinyapps.io/power-app/</w:t>
        </w:r>
      </w:hyperlink>
      <w:r w:rsidR="007652E4">
        <w:rPr>
          <w:rFonts w:cs="Times New Roman"/>
          <w:bCs/>
        </w:rPr>
        <w:t xml:space="preserve"> in which I looked for a significance level of 0.5 (alpha), assumed a standard deviation of 2, a power target of 0.8.</w:t>
      </w:r>
      <w:r w:rsidR="00430720" w:rsidRPr="00430720">
        <w:t xml:space="preserve"> </w:t>
      </w:r>
      <w:r w:rsidR="00430720">
        <w:t xml:space="preserve">Given four experimental groups, 225 respondents received each control or treatment. I have statistical power to distinguish only relatively large heterogeneous treatment effects (i.e., different reactions to the experimental treatments between renters and owners, affected and unaffected areas).  </w:t>
      </w:r>
      <w:r w:rsidR="0066719A">
        <w:t>The high costs of geographic sampling and recruitment limited</w:t>
      </w:r>
      <w:r w:rsidR="00430720">
        <w:t xml:space="preserve"> </w:t>
      </w:r>
      <w:r w:rsidR="00315024">
        <w:t xml:space="preserve">the ability to </w:t>
      </w:r>
      <w:r w:rsidR="00430720">
        <w:t>increa</w:t>
      </w:r>
      <w:r w:rsidR="00315024">
        <w:t>se</w:t>
      </w:r>
      <w:r w:rsidR="00430720">
        <w:t xml:space="preserve"> the sample size.</w:t>
      </w:r>
      <w:r w:rsidR="00430720">
        <w:rPr>
          <w:rFonts w:cs="Times New Roman"/>
        </w:rPr>
        <w:t xml:space="preserve">  </w:t>
      </w:r>
    </w:p>
    <w:p w14:paraId="58CAE4C4" w14:textId="06C42823" w:rsidR="004A10EC" w:rsidRDefault="00EC26AC" w:rsidP="002B784C">
      <w:pPr>
        <w:spacing w:line="480" w:lineRule="auto"/>
        <w:ind w:firstLine="720"/>
        <w:rPr>
          <w:rFonts w:eastAsia="Times New Roman" w:cs="Times New Roman"/>
        </w:rPr>
      </w:pPr>
      <w:r>
        <w:t xml:space="preserve">Survey enumerators </w:t>
      </w:r>
      <w:r w:rsidRPr="000F0ABA">
        <w:t xml:space="preserve">were trained to assist the respondents with any questions regarding the instructions and implementation of the survey.  </w:t>
      </w:r>
      <w:r>
        <w:rPr>
          <w:rFonts w:cs="Times New Roman"/>
        </w:rPr>
        <w:t xml:space="preserve">An alternative design would be to use a linear budget to assign priority across issues.  </w:t>
      </w:r>
      <w:r w:rsidRPr="005C008F">
        <w:rPr>
          <w:rFonts w:cs="Times New Roman"/>
        </w:rPr>
        <w:fldChar w:fldCharType="begin" w:fldLock="1"/>
      </w:r>
      <w:r w:rsidRPr="005C008F">
        <w:rPr>
          <w:rFonts w:cs="Times New Roman"/>
        </w:rPr>
        <w:instrText>ADDIN CSL_CITATION {"citationItems":[{"id":"ITEM-1","itemData":{"author":[{"dropping-particle":"","family":"Lalley","given":"Steven P.","non-dropping-particle":"","parse-names":false,"suffix":""},{"dropping-particle":"","family":"Weyl","given":"E. Glen","non-dropping-particle":"","parse-names":false,"suffix":""}],"container-title":"American Economic Association Papers and Proceedings","id":"ITEM-1","issued":{"date-parts":[["2018"]]},"page":"33-37","title":"Quadratic Voting: How Mechanism Design Can Radicalize Democracy","type":"article-journal","volume":"108"},"uris":["http://www.mendeley.com/documents/?uuid=dd1c563f-8318-418d-ad0b-a4935ddeceee"]}],"mendeley":{"formattedCitation":"(Lalley and Weyl 2018)","manualFormatting":"Lalley and Weyl (2018)","plainTextFormattedCitation":"(Lalley and Weyl 2018)","previouslyFormattedCitation":"(Lalley and Weyl 2018)"},"properties":{"noteIndex":0},"schema":"https://github.com/citation-style-language/schema/raw/master/csl-citation.json"}</w:instrText>
      </w:r>
      <w:r w:rsidRPr="005C008F">
        <w:rPr>
          <w:rFonts w:cs="Times New Roman"/>
        </w:rPr>
        <w:fldChar w:fldCharType="separate"/>
      </w:r>
      <w:r w:rsidRPr="005C008F">
        <w:rPr>
          <w:rFonts w:cs="Times New Roman"/>
          <w:noProof/>
        </w:rPr>
        <w:t>Lalley and Weyl (2018)</w:t>
      </w:r>
      <w:r w:rsidRPr="005C008F">
        <w:rPr>
          <w:rFonts w:cs="Times New Roman"/>
        </w:rPr>
        <w:fldChar w:fldCharType="end"/>
      </w:r>
      <w:r w:rsidRPr="005C008F">
        <w:rPr>
          <w:rFonts w:cs="Times New Roman"/>
        </w:rPr>
        <w:t xml:space="preserve"> show formally that a quadratic price results in a more accurate reporting of preference inten</w:t>
      </w:r>
      <w:r>
        <w:rPr>
          <w:rFonts w:cs="Times New Roman"/>
        </w:rPr>
        <w:t>sity relative to a linear price</w:t>
      </w:r>
      <w:r w:rsidRPr="005C008F">
        <w:t xml:space="preserve">.  </w:t>
      </w:r>
      <w:r>
        <w:t>However, l</w:t>
      </w:r>
      <w:r>
        <w:rPr>
          <w:rFonts w:cs="Times New Roman"/>
        </w:rPr>
        <w:t>inear budgets are easier to understand and have been used successfully in survey research.</w:t>
      </w:r>
      <w:r w:rsidR="0066719A">
        <w:rPr>
          <w:rFonts w:cs="Times New Roman"/>
        </w:rPr>
        <w:t xml:space="preserve">  For instance, </w:t>
      </w:r>
      <w:r w:rsidR="0066719A">
        <w:rPr>
          <w:rFonts w:cs="Times New Roman"/>
        </w:rPr>
        <w:fldChar w:fldCharType="begin" w:fldLock="1"/>
      </w:r>
      <w:r w:rsidR="0066719A">
        <w:rPr>
          <w:rFonts w:cs="Times New Roman"/>
        </w:rPr>
        <w:instrText>ADDIN CSL_CITATION {"citationItems":[{"id":"ITEM-1","itemData":{"author":[{"dropping-particle":"","family":"Altamirano","given":"Melina","non-dropping-particle":"","parse-names":false,"suffix":""},{"dropping-particle":"","family":"Berens","given":"Sarah","non-dropping-particle":"","parse-names":false,"suffix":""},{"dropping-particle":"","family":"Ley","given":"Sandra","non-dropping-particle":"","parse-names":false,"suffix":""}],"container-title":"Working Paper","id":"ITEM-1","issued":{"date-parts":[["2020"]]},"title":"Between Security and Social Policy Spending","type":"article-journal"},"uris":["http://www.mendeley.com/documents/?uuid=7835ea83-a2ea-497e-b4fa-a84cb83e7857"]}],"mendeley":{"formattedCitation":"(Altamirano, Berens, and Ley 2020)","manualFormatting":"Altamirano, Berens, and Ley (2020)","plainTextFormattedCitation":"(Altamirano, Berens, and Ley 2020)","previouslyFormattedCitation":"(Altamirano, Berens, and Ley 2020)"},"properties":{"noteIndex":0},"schema":"https://github.com/citation-style-language/schema/raw/master/csl-citation.json"}</w:instrText>
      </w:r>
      <w:r w:rsidR="0066719A">
        <w:rPr>
          <w:rFonts w:cs="Times New Roman"/>
        </w:rPr>
        <w:fldChar w:fldCharType="separate"/>
      </w:r>
      <w:r w:rsidR="0066719A" w:rsidRPr="009664FB">
        <w:rPr>
          <w:rFonts w:cs="Times New Roman"/>
          <w:noProof/>
        </w:rPr>
        <w:t>Altamirano</w:t>
      </w:r>
      <w:r w:rsidR="00315024">
        <w:rPr>
          <w:rFonts w:cs="Times New Roman"/>
          <w:noProof/>
        </w:rPr>
        <w:t xml:space="preserve"> et al.</w:t>
      </w:r>
      <w:r w:rsidR="0066719A" w:rsidRPr="009664FB">
        <w:rPr>
          <w:rFonts w:cs="Times New Roman"/>
          <w:noProof/>
        </w:rPr>
        <w:t xml:space="preserve"> </w:t>
      </w:r>
      <w:r w:rsidR="0066719A">
        <w:rPr>
          <w:rFonts w:cs="Times New Roman"/>
          <w:noProof/>
        </w:rPr>
        <w:t>(</w:t>
      </w:r>
      <w:r w:rsidR="0066719A" w:rsidRPr="009664FB">
        <w:rPr>
          <w:rFonts w:cs="Times New Roman"/>
          <w:noProof/>
        </w:rPr>
        <w:t>2020)</w:t>
      </w:r>
      <w:r w:rsidR="0066719A">
        <w:rPr>
          <w:rFonts w:cs="Times New Roman"/>
        </w:rPr>
        <w:fldChar w:fldCharType="end"/>
      </w:r>
      <w:r w:rsidR="0066719A">
        <w:rPr>
          <w:rFonts w:cs="Times New Roman"/>
        </w:rPr>
        <w:t xml:space="preserve"> ask respondents to assign 100 points across pensions, public security, health, and education to understand the priorities assigned to different spending issues in high-crime settings in any way that they like.</w:t>
      </w:r>
      <w:r>
        <w:rPr>
          <w:rFonts w:cs="Times New Roman"/>
        </w:rPr>
        <w:t xml:space="preserve">  The main risk is that respondents allocate all their points to one </w:t>
      </w:r>
      <w:r>
        <w:rPr>
          <w:rFonts w:cs="Times New Roman"/>
        </w:rPr>
        <w:lastRenderedPageBreak/>
        <w:t xml:space="preserve">issue and zero to the rest.  No direct comparisons exist of quadratic and linear budget survey questions, though </w:t>
      </w:r>
      <w:r w:rsidRPr="009805EB">
        <w:rPr>
          <w:rFonts w:cs="Times New Roman"/>
          <w:noProof/>
        </w:rPr>
        <w:t xml:space="preserve">Casella and Sanchez </w:t>
      </w:r>
      <w:r>
        <w:rPr>
          <w:rFonts w:cs="Times New Roman"/>
          <w:noProof/>
        </w:rPr>
        <w:t>(</w:t>
      </w:r>
      <w:r w:rsidRPr="009805EB">
        <w:rPr>
          <w:rFonts w:cs="Times New Roman"/>
          <w:noProof/>
        </w:rPr>
        <w:t>2019</w:t>
      </w:r>
      <w:r>
        <w:rPr>
          <w:rFonts w:cs="Times New Roman"/>
          <w:noProof/>
        </w:rPr>
        <w:t xml:space="preserve">) </w:t>
      </w:r>
      <w:r>
        <w:rPr>
          <w:rFonts w:cs="Times New Roman"/>
        </w:rPr>
        <w:t>compare QV to linear vote systems in referenda settings and find advantages to both.</w:t>
      </w:r>
      <w:r>
        <w:t xml:space="preserve"> B</w:t>
      </w:r>
      <w:r w:rsidRPr="00DF0F94">
        <w:rPr>
          <w:rFonts w:cs="Times New Roman"/>
        </w:rPr>
        <w:t>oth systems create better incentives for voters to express the intensity of their preferences</w:t>
      </w:r>
      <w:r w:rsidR="00315024">
        <w:rPr>
          <w:rFonts w:cs="Times New Roman"/>
        </w:rPr>
        <w:t>.</w:t>
      </w:r>
      <w:r>
        <w:rPr>
          <w:rFonts w:cs="Times New Roman"/>
        </w:rPr>
        <w:t xml:space="preserve"> </w:t>
      </w:r>
      <w:r w:rsidR="00315024">
        <w:rPr>
          <w:rFonts w:cs="Times New Roman"/>
        </w:rPr>
        <w:t>I</w:t>
      </w:r>
      <w:r>
        <w:rPr>
          <w:rFonts w:cs="Times New Roman"/>
        </w:rPr>
        <w:t xml:space="preserve">n a referenda context, </w:t>
      </w:r>
      <w:r w:rsidRPr="00DF0F94">
        <w:rPr>
          <w:rFonts w:eastAsia="Times New Roman" w:cs="Times New Roman"/>
        </w:rPr>
        <w:t xml:space="preserve">QV achieves higher average welfare, but also leads to inefficient minority victories. </w:t>
      </w:r>
    </w:p>
    <w:p w14:paraId="79130448" w14:textId="68C4D310" w:rsidR="002B784C" w:rsidRPr="002B784C" w:rsidRDefault="002B784C" w:rsidP="002B784C">
      <w:pPr>
        <w:spacing w:line="480" w:lineRule="auto"/>
        <w:ind w:firstLine="720"/>
        <w:rPr>
          <w:rFonts w:eastAsia="Times New Roman" w:cs="Times New Roman"/>
        </w:rPr>
      </w:pPr>
      <w:r>
        <w:rPr>
          <w:rFonts w:eastAsia="Times New Roman" w:cs="Times New Roman"/>
        </w:rPr>
        <w:t xml:space="preserve">Initial focus groups </w:t>
      </w:r>
      <w:r>
        <w:rPr>
          <w:rFonts w:cs="Times New Roman"/>
        </w:rPr>
        <w:t xml:space="preserve">highlighted the need to change the terminology around QV.  </w:t>
      </w:r>
      <w:r w:rsidRPr="009F5D90">
        <w:t xml:space="preserve">QV was set up to involve the </w:t>
      </w:r>
      <w:r w:rsidR="00315024">
        <w:t>‘</w:t>
      </w:r>
      <w:r w:rsidRPr="009F5D90">
        <w:t>purchase of votes,</w:t>
      </w:r>
      <w:r w:rsidR="00315024">
        <w:t>’</w:t>
      </w:r>
      <w:r w:rsidRPr="009F5D90">
        <w:t xml:space="preserve"> </w:t>
      </w:r>
      <w:r>
        <w:t xml:space="preserve">but </w:t>
      </w:r>
      <w:r w:rsidRPr="009F5D90">
        <w:t xml:space="preserve">I instructed respondents only to </w:t>
      </w:r>
      <w:r w:rsidR="00315024">
        <w:t>‘</w:t>
      </w:r>
      <w:r w:rsidRPr="009F5D90">
        <w:t>allocate credits</w:t>
      </w:r>
      <w:r w:rsidR="00315024">
        <w:t>’</w:t>
      </w:r>
      <w:r w:rsidRPr="009F5D90">
        <w:t xml:space="preserve"> across questions, given the largely condemned practice of vote buying in Colombia.    </w:t>
      </w:r>
    </w:p>
    <w:p w14:paraId="16CFFCBD" w14:textId="227738C1" w:rsidR="008667B3" w:rsidRPr="008E0312" w:rsidRDefault="008667B3" w:rsidP="008E0312">
      <w:pPr>
        <w:pStyle w:val="ListParagraph"/>
        <w:numPr>
          <w:ilvl w:val="0"/>
          <w:numId w:val="1"/>
        </w:numPr>
        <w:rPr>
          <w:rFonts w:cs="Times New Roman"/>
          <w:b/>
        </w:rPr>
      </w:pPr>
      <w:r w:rsidRPr="008E0312">
        <w:rPr>
          <w:rFonts w:cs="Times New Roman"/>
          <w:b/>
        </w:rPr>
        <w:t>Descriptive Statistics and Balance Tests</w:t>
      </w:r>
    </w:p>
    <w:p w14:paraId="441FACBC" w14:textId="77777777" w:rsidR="008667B3" w:rsidRPr="00270693" w:rsidRDefault="008667B3" w:rsidP="008667B3">
      <w:pPr>
        <w:rPr>
          <w:rFonts w:cs="Times New Roman"/>
          <w:b/>
        </w:rPr>
      </w:pPr>
    </w:p>
    <w:p w14:paraId="2F0CEBFA" w14:textId="0773488A" w:rsidR="00CE5E9D" w:rsidRDefault="008667B3" w:rsidP="00CE5E9D">
      <w:pPr>
        <w:rPr>
          <w:rFonts w:cs="Times New Roman"/>
        </w:rPr>
      </w:pPr>
      <w:r w:rsidRPr="00270693">
        <w:rPr>
          <w:rFonts w:cs="Times New Roman"/>
        </w:rPr>
        <w:t>Table A</w:t>
      </w:r>
      <w:r w:rsidR="00790728">
        <w:rPr>
          <w:rFonts w:cs="Times New Roman"/>
        </w:rPr>
        <w:t>.</w:t>
      </w:r>
      <w:r w:rsidR="00CE5E9D">
        <w:rPr>
          <w:rFonts w:cs="Times New Roman"/>
        </w:rPr>
        <w:t>3</w:t>
      </w:r>
      <w:r w:rsidRPr="00270693">
        <w:rPr>
          <w:rFonts w:cs="Times New Roman"/>
        </w:rPr>
        <w:t xml:space="preserve"> presents descriptive statistics for the main dependent and independent variables.  </w:t>
      </w:r>
    </w:p>
    <w:p w14:paraId="7CABE81C" w14:textId="77777777" w:rsidR="00CE5E9D" w:rsidRPr="00270693" w:rsidRDefault="00CE5E9D" w:rsidP="00CE5E9D">
      <w:pPr>
        <w:rPr>
          <w:rFonts w:cs="Times New Roman"/>
        </w:rPr>
      </w:pPr>
    </w:p>
    <w:p w14:paraId="7EA2A643" w14:textId="67BDA21B" w:rsidR="008667B3" w:rsidRPr="00270693" w:rsidRDefault="008667B3" w:rsidP="008667B3">
      <w:pPr>
        <w:pStyle w:val="Caption"/>
        <w:keepNext/>
        <w:rPr>
          <w:color w:val="000000" w:themeColor="text1"/>
          <w:sz w:val="24"/>
          <w:szCs w:val="24"/>
        </w:rPr>
      </w:pPr>
      <w:r w:rsidRPr="00270693">
        <w:rPr>
          <w:color w:val="000000" w:themeColor="text1"/>
          <w:sz w:val="24"/>
          <w:szCs w:val="24"/>
        </w:rPr>
        <w:lastRenderedPageBreak/>
        <w:t>Table A.</w:t>
      </w:r>
      <w:r w:rsidR="002E7A98">
        <w:rPr>
          <w:color w:val="000000" w:themeColor="text1"/>
          <w:sz w:val="24"/>
          <w:szCs w:val="24"/>
        </w:rPr>
        <w:t>3</w:t>
      </w:r>
      <w:r w:rsidRPr="00270693">
        <w:rPr>
          <w:color w:val="000000" w:themeColor="text1"/>
          <w:sz w:val="24"/>
          <w:szCs w:val="24"/>
        </w:rPr>
        <w:t>.  Descriptive Statistics</w:t>
      </w:r>
    </w:p>
    <w:p w14:paraId="40D15A44" w14:textId="6EEA0E15" w:rsidR="008667B3" w:rsidRPr="00270693" w:rsidRDefault="00CE5E9D" w:rsidP="008667B3">
      <w:pPr>
        <w:rPr>
          <w:rFonts w:cs="Times New Roman"/>
          <w:b/>
        </w:rPr>
      </w:pPr>
      <w:r w:rsidRPr="00CE5E9D">
        <w:rPr>
          <w:rFonts w:cs="Times New Roman"/>
          <w:b/>
          <w:noProof/>
        </w:rPr>
        <w:drawing>
          <wp:inline distT="0" distB="0" distL="0" distR="0" wp14:anchorId="242B21C2" wp14:editId="049ADAF9">
            <wp:extent cx="3945073" cy="547343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6839" cy="5475880"/>
                    </a:xfrm>
                    <a:prstGeom prst="rect">
                      <a:avLst/>
                    </a:prstGeom>
                  </pic:spPr>
                </pic:pic>
              </a:graphicData>
            </a:graphic>
          </wp:inline>
        </w:drawing>
      </w:r>
    </w:p>
    <w:p w14:paraId="3A80BB58" w14:textId="77777777" w:rsidR="008667B3" w:rsidRPr="00270693" w:rsidRDefault="008667B3" w:rsidP="008667B3">
      <w:pPr>
        <w:rPr>
          <w:rFonts w:cs="Times New Roman"/>
          <w:b/>
        </w:rPr>
      </w:pPr>
    </w:p>
    <w:p w14:paraId="779FF43C" w14:textId="52A71D31" w:rsidR="008667B3" w:rsidRPr="00270693" w:rsidRDefault="008667B3" w:rsidP="00CE5E9D">
      <w:pPr>
        <w:spacing w:line="480" w:lineRule="auto"/>
        <w:ind w:firstLine="720"/>
        <w:rPr>
          <w:rFonts w:cs="Times New Roman"/>
        </w:rPr>
      </w:pPr>
      <w:r w:rsidRPr="00270693">
        <w:rPr>
          <w:rFonts w:cs="Times New Roman"/>
        </w:rPr>
        <w:t>Table A.</w:t>
      </w:r>
      <w:r w:rsidR="00CE5E9D">
        <w:rPr>
          <w:rFonts w:cs="Times New Roman"/>
        </w:rPr>
        <w:t>4</w:t>
      </w:r>
      <w:r w:rsidRPr="00270693">
        <w:rPr>
          <w:rFonts w:cs="Times New Roman"/>
        </w:rPr>
        <w:t xml:space="preserve"> presents the balance tests on the key covariates across the two experiments based on rush hour assignment and information treatments.  The results are based on two-sided t-tests with unequal variances, as well as an F-test with all covariates.  Age is statistically different in the logrolling and value capture treatment assignment, but age has no association with the outcome and the results are unchanged controlling for all observable variables.  </w:t>
      </w:r>
    </w:p>
    <w:p w14:paraId="4E6996C2" w14:textId="77777777" w:rsidR="008667B3" w:rsidRPr="00270693" w:rsidRDefault="008667B3" w:rsidP="008667B3">
      <w:pPr>
        <w:rPr>
          <w:rFonts w:cs="Times New Roman"/>
          <w:b/>
        </w:rPr>
      </w:pPr>
    </w:p>
    <w:p w14:paraId="43C97F25" w14:textId="30912EAE" w:rsidR="008667B3" w:rsidRPr="00270693" w:rsidRDefault="008667B3" w:rsidP="008667B3">
      <w:pPr>
        <w:pStyle w:val="Caption"/>
        <w:keepNext/>
        <w:rPr>
          <w:color w:val="000000" w:themeColor="text1"/>
          <w:sz w:val="24"/>
          <w:szCs w:val="24"/>
        </w:rPr>
      </w:pPr>
      <w:r w:rsidRPr="00270693">
        <w:rPr>
          <w:color w:val="000000" w:themeColor="text1"/>
          <w:sz w:val="24"/>
          <w:szCs w:val="24"/>
        </w:rPr>
        <w:lastRenderedPageBreak/>
        <w:t>Table A.</w:t>
      </w:r>
      <w:r w:rsidR="002E7A98">
        <w:rPr>
          <w:color w:val="000000" w:themeColor="text1"/>
          <w:sz w:val="24"/>
          <w:szCs w:val="24"/>
        </w:rPr>
        <w:t>4</w:t>
      </w:r>
      <w:r w:rsidRPr="00270693">
        <w:rPr>
          <w:color w:val="000000" w:themeColor="text1"/>
          <w:sz w:val="24"/>
          <w:szCs w:val="24"/>
        </w:rPr>
        <w:t>.  Balance Tests for Rush Hour and Informational Experiments</w:t>
      </w:r>
    </w:p>
    <w:p w14:paraId="5A982AFC" w14:textId="186AC46D" w:rsidR="00D87B12" w:rsidRDefault="008667B3" w:rsidP="008667B3">
      <w:pPr>
        <w:rPr>
          <w:rFonts w:cs="Times New Roman"/>
          <w:b/>
        </w:rPr>
      </w:pPr>
      <w:r w:rsidRPr="00270693">
        <w:rPr>
          <w:rFonts w:cs="Times New Roman"/>
          <w:b/>
          <w:noProof/>
        </w:rPr>
        <w:drawing>
          <wp:inline distT="0" distB="0" distL="0" distR="0" wp14:anchorId="58D94738" wp14:editId="228E0849">
            <wp:extent cx="5486400" cy="150496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504967"/>
                    </a:xfrm>
                    <a:prstGeom prst="rect">
                      <a:avLst/>
                    </a:prstGeom>
                    <a:noFill/>
                    <a:ln>
                      <a:noFill/>
                    </a:ln>
                  </pic:spPr>
                </pic:pic>
              </a:graphicData>
            </a:graphic>
          </wp:inline>
        </w:drawing>
      </w:r>
    </w:p>
    <w:p w14:paraId="6BAD43DB" w14:textId="77777777" w:rsidR="00251751" w:rsidRPr="00251751" w:rsidRDefault="00251751" w:rsidP="00251751">
      <w:pPr>
        <w:rPr>
          <w:rFonts w:cs="Times New Roman"/>
          <w:b/>
        </w:rPr>
      </w:pPr>
    </w:p>
    <w:p w14:paraId="617DE518" w14:textId="227933BD" w:rsidR="008667B3" w:rsidRPr="005F3D37" w:rsidRDefault="00251751" w:rsidP="005F3D37">
      <w:pPr>
        <w:pStyle w:val="ListParagraph"/>
        <w:numPr>
          <w:ilvl w:val="0"/>
          <w:numId w:val="1"/>
        </w:numPr>
        <w:rPr>
          <w:rFonts w:cs="Times New Roman"/>
          <w:b/>
        </w:rPr>
      </w:pPr>
      <w:r>
        <w:rPr>
          <w:rFonts w:cs="Times New Roman"/>
          <w:b/>
        </w:rPr>
        <w:t>Alternative Explanations</w:t>
      </w:r>
    </w:p>
    <w:p w14:paraId="35CAADC0" w14:textId="77777777" w:rsidR="008667B3" w:rsidRPr="00270693" w:rsidRDefault="008667B3" w:rsidP="008667B3">
      <w:pPr>
        <w:rPr>
          <w:rFonts w:cs="Times New Roman"/>
          <w:b/>
        </w:rPr>
      </w:pPr>
    </w:p>
    <w:p w14:paraId="3E7329CD" w14:textId="07331A46" w:rsidR="007B6C1C" w:rsidRDefault="007B6C1C" w:rsidP="003B1347">
      <w:pPr>
        <w:spacing w:line="480" w:lineRule="auto"/>
        <w:ind w:firstLine="720"/>
        <w:rPr>
          <w:rFonts w:cs="Times New Roman"/>
        </w:rPr>
      </w:pPr>
      <w:r>
        <w:rPr>
          <w:rFonts w:cs="Times New Roman"/>
        </w:rPr>
        <w:t>Table A.</w:t>
      </w:r>
      <w:r w:rsidR="002E7A98">
        <w:rPr>
          <w:rFonts w:cs="Times New Roman"/>
        </w:rPr>
        <w:t>5</w:t>
      </w:r>
      <w:r>
        <w:rPr>
          <w:rFonts w:cs="Times New Roman"/>
        </w:rPr>
        <w:t xml:space="preserve"> considers </w:t>
      </w:r>
      <w:r w:rsidR="00772122">
        <w:rPr>
          <w:rFonts w:cs="Times New Roman"/>
        </w:rPr>
        <w:t xml:space="preserve">additional explanations based on property value expectations, transit use, and government attitudes.  First, it’s possible that </w:t>
      </w:r>
      <w:r>
        <w:rPr>
          <w:rFonts w:cs="Times New Roman"/>
        </w:rPr>
        <w:t xml:space="preserve">respondents simply were unsure about how the metro would affect property values.  Model 1 shows that property owners generally behave as expected: owners in the closest zone are more likely to expect that their property value will increase.  Models 2 and 3, however, </w:t>
      </w:r>
      <w:r w:rsidR="00CD56E5">
        <w:rPr>
          <w:rFonts w:cs="Times New Roman"/>
        </w:rPr>
        <w:t>demonstrate</w:t>
      </w:r>
      <w:r>
        <w:rPr>
          <w:rFonts w:cs="Times New Roman"/>
        </w:rPr>
        <w:t xml:space="preserve"> that this expectation doesn’t shape attitudes towards the metro more broadly.  Model 2 indicates that nearby property owners are no more supportive of the metro, and Model 3 shows that owners that expect their property values to rise are no more supportive of the metro.</w:t>
      </w:r>
      <w:r w:rsidR="00340B8B">
        <w:rPr>
          <w:rFonts w:cs="Times New Roman"/>
        </w:rPr>
        <w:t xml:space="preserve">  These results provide further evidence that geography and property ownership doesn’t seem to be shaping preferences as expected. </w:t>
      </w:r>
      <w:r>
        <w:rPr>
          <w:rFonts w:cs="Times New Roman"/>
        </w:rPr>
        <w:t xml:space="preserve"> </w:t>
      </w:r>
      <w:r w:rsidR="00340B8B">
        <w:rPr>
          <w:rFonts w:cs="Times New Roman"/>
        </w:rPr>
        <w:t xml:space="preserve">An important limitation is that the sample covers individuals who live at their residence (homeowners), rather than landlords or businessowners who may be less worried about construction nuisances or have different expectations for property value rises.  </w:t>
      </w:r>
    </w:p>
    <w:p w14:paraId="4DCBF9B5" w14:textId="506A6F2B" w:rsidR="00AE5E27" w:rsidRPr="00AE5E27" w:rsidRDefault="00AE5E27" w:rsidP="00AE5E27">
      <w:pPr>
        <w:pStyle w:val="Caption"/>
        <w:keepNext/>
        <w:rPr>
          <w:color w:val="000000" w:themeColor="text1"/>
          <w:sz w:val="24"/>
          <w:szCs w:val="24"/>
        </w:rPr>
      </w:pPr>
      <w:r w:rsidRPr="00AE5E27">
        <w:rPr>
          <w:color w:val="000000" w:themeColor="text1"/>
          <w:sz w:val="24"/>
          <w:szCs w:val="24"/>
        </w:rPr>
        <w:lastRenderedPageBreak/>
        <w:t>Table A</w:t>
      </w:r>
      <w:r w:rsidR="002E7A98">
        <w:rPr>
          <w:color w:val="000000" w:themeColor="text1"/>
          <w:sz w:val="24"/>
          <w:szCs w:val="24"/>
        </w:rPr>
        <w:t>5</w:t>
      </w:r>
      <w:r w:rsidRPr="00AE5E27">
        <w:rPr>
          <w:color w:val="000000" w:themeColor="text1"/>
          <w:sz w:val="24"/>
          <w:szCs w:val="24"/>
        </w:rPr>
        <w:t xml:space="preserve">. </w:t>
      </w:r>
      <w:r w:rsidRPr="00AE5E27">
        <w:rPr>
          <w:b w:val="0"/>
          <w:bCs w:val="0"/>
          <w:color w:val="000000" w:themeColor="text1"/>
          <w:sz w:val="24"/>
          <w:szCs w:val="24"/>
        </w:rPr>
        <w:t>Expectations of Property Value Change and Metro Support</w:t>
      </w:r>
      <w:r w:rsidRPr="00AE5E27">
        <w:rPr>
          <w:color w:val="000000" w:themeColor="text1"/>
          <w:sz w:val="24"/>
          <w:szCs w:val="24"/>
        </w:rPr>
        <w:t xml:space="preserve"> </w:t>
      </w:r>
    </w:p>
    <w:p w14:paraId="150CD7F7" w14:textId="14841C67" w:rsidR="007B6C1C" w:rsidRDefault="00E66BFB" w:rsidP="00CD56E5">
      <w:pPr>
        <w:spacing w:line="480" w:lineRule="auto"/>
        <w:rPr>
          <w:rFonts w:cs="Times New Roman"/>
        </w:rPr>
      </w:pPr>
      <w:r w:rsidRPr="00E66BFB">
        <w:rPr>
          <w:rFonts w:cs="Times New Roman"/>
          <w:noProof/>
        </w:rPr>
        <w:drawing>
          <wp:inline distT="0" distB="0" distL="0" distR="0" wp14:anchorId="2B4245D4" wp14:editId="287DA883">
            <wp:extent cx="5575300" cy="692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5300" cy="6921500"/>
                    </a:xfrm>
                    <a:prstGeom prst="rect">
                      <a:avLst/>
                    </a:prstGeom>
                  </pic:spPr>
                </pic:pic>
              </a:graphicData>
            </a:graphic>
          </wp:inline>
        </w:drawing>
      </w:r>
    </w:p>
    <w:p w14:paraId="36C05189" w14:textId="77777777" w:rsidR="005B2138" w:rsidRDefault="005B2138" w:rsidP="005B2138">
      <w:pPr>
        <w:rPr>
          <w:rFonts w:cs="Times New Roman"/>
        </w:rPr>
      </w:pPr>
      <w:r>
        <w:rPr>
          <w:rFonts w:cs="Times New Roman"/>
        </w:rPr>
        <w:t>Notes: OLS regressions, s</w:t>
      </w:r>
      <w:r w:rsidRPr="00270693">
        <w:rPr>
          <w:rFonts w:cs="Times New Roman"/>
        </w:rPr>
        <w:t xml:space="preserve">tandard errors are included in parentheses, * indicates significance at the 95 percent level.  </w:t>
      </w:r>
    </w:p>
    <w:p w14:paraId="1A151B2D" w14:textId="77777777" w:rsidR="005B2138" w:rsidRDefault="005B2138" w:rsidP="00CD56E5">
      <w:pPr>
        <w:spacing w:line="480" w:lineRule="auto"/>
        <w:rPr>
          <w:rFonts w:cs="Times New Roman"/>
        </w:rPr>
      </w:pPr>
    </w:p>
    <w:p w14:paraId="0D38D110" w14:textId="651DE7A0" w:rsidR="00CD56E5" w:rsidRDefault="00CD56E5" w:rsidP="00CD56E5">
      <w:pPr>
        <w:spacing w:line="480" w:lineRule="auto"/>
        <w:ind w:firstLine="720"/>
        <w:rPr>
          <w:rFonts w:cs="Times New Roman"/>
        </w:rPr>
      </w:pPr>
      <w:r>
        <w:rPr>
          <w:rFonts w:cs="Times New Roman"/>
        </w:rPr>
        <w:lastRenderedPageBreak/>
        <w:t>Model 4 turns to theories based on existing transit use.  Redistributive theories can be based on the uneven distribution of costs of projects</w:t>
      </w:r>
      <w:r w:rsidR="00790728">
        <w:rPr>
          <w:rFonts w:cs="Times New Roman"/>
        </w:rPr>
        <w:t xml:space="preserve"> </w:t>
      </w:r>
      <w:r>
        <w:rPr>
          <w:rFonts w:cs="Times New Roman"/>
        </w:rPr>
        <w:t xml:space="preserve">or the uneven benefits they provide.  One way to think about the benefits is by </w:t>
      </w:r>
      <w:r w:rsidRPr="009F5D90">
        <w:rPr>
          <w:rFonts w:cs="Times New Roman"/>
        </w:rPr>
        <w:t xml:space="preserve">asking individuals about their current commute.  </w:t>
      </w:r>
      <w:r>
        <w:rPr>
          <w:rFonts w:cs="Times New Roman"/>
        </w:rPr>
        <w:t>C</w:t>
      </w:r>
      <w:r w:rsidRPr="009F5D90">
        <w:rPr>
          <w:rFonts w:cs="Times New Roman"/>
        </w:rPr>
        <w:t xml:space="preserve">ar owners </w:t>
      </w:r>
      <w:r>
        <w:rPr>
          <w:rFonts w:cs="Times New Roman"/>
        </w:rPr>
        <w:t>might</w:t>
      </w:r>
      <w:r w:rsidRPr="009F5D90">
        <w:rPr>
          <w:rFonts w:cs="Times New Roman"/>
        </w:rPr>
        <w:t xml:space="preserve"> be less supportive of the metro, given their access to alternative means of transportation</w:t>
      </w:r>
      <w:r>
        <w:rPr>
          <w:rFonts w:cs="Times New Roman"/>
        </w:rPr>
        <w:t>.  Model 4 includes an indicator variable for whether an individual owns a car</w:t>
      </w:r>
      <w:r w:rsidRPr="009F5D90">
        <w:rPr>
          <w:rFonts w:cs="Times New Roman"/>
        </w:rPr>
        <w:t xml:space="preserve"> (</w:t>
      </w:r>
      <w:r w:rsidRPr="009F5D90">
        <w:rPr>
          <w:rFonts w:cs="Times New Roman"/>
          <w:i/>
        </w:rPr>
        <w:t>Car</w:t>
      </w:r>
      <w:r>
        <w:rPr>
          <w:rFonts w:cs="Times New Roman"/>
        </w:rPr>
        <w:t>).  I also</w:t>
      </w:r>
      <w:r w:rsidRPr="009F5D90">
        <w:rPr>
          <w:rFonts w:cs="Times New Roman"/>
        </w:rPr>
        <w:t xml:space="preserve"> look at whether reliance on </w:t>
      </w:r>
      <w:r>
        <w:rPr>
          <w:rFonts w:cs="Times New Roman"/>
        </w:rPr>
        <w:t>the existing bus system (</w:t>
      </w:r>
      <w:r>
        <w:rPr>
          <w:rFonts w:cs="Times New Roman"/>
          <w:i/>
          <w:iCs/>
        </w:rPr>
        <w:t xml:space="preserve">Public Transit) </w:t>
      </w:r>
      <w:r>
        <w:rPr>
          <w:rFonts w:cs="Times New Roman"/>
        </w:rPr>
        <w:t xml:space="preserve">or </w:t>
      </w:r>
      <w:r w:rsidRPr="009F5D90">
        <w:rPr>
          <w:rFonts w:cs="Times New Roman"/>
        </w:rPr>
        <w:t>informal transport providers (</w:t>
      </w:r>
      <w:r w:rsidRPr="009F5D90">
        <w:rPr>
          <w:rFonts w:cs="Times New Roman"/>
          <w:i/>
        </w:rPr>
        <w:t>Informal</w:t>
      </w:r>
      <w:r>
        <w:rPr>
          <w:rFonts w:cs="Times New Roman"/>
          <w:i/>
        </w:rPr>
        <w:t xml:space="preserve"> Transit</w:t>
      </w:r>
      <w:r w:rsidRPr="009F5D90">
        <w:rPr>
          <w:rFonts w:cs="Times New Roman"/>
        </w:rPr>
        <w:t>)</w:t>
      </w:r>
      <w:r>
        <w:rPr>
          <w:rFonts w:cs="Times New Roman"/>
        </w:rPr>
        <w:t xml:space="preserve"> </w:t>
      </w:r>
      <w:r w:rsidRPr="009F5D90">
        <w:rPr>
          <w:rFonts w:cs="Times New Roman"/>
        </w:rPr>
        <w:t>is associated with less support for the metro</w:t>
      </w:r>
      <w:r>
        <w:rPr>
          <w:rFonts w:cs="Times New Roman"/>
        </w:rPr>
        <w:t>, given possible crowding out of investments in these alternative transit networks</w:t>
      </w:r>
      <w:r w:rsidRPr="009F5D90">
        <w:rPr>
          <w:rFonts w:cs="Times New Roman"/>
        </w:rPr>
        <w:t xml:space="preserve">.  </w:t>
      </w:r>
      <w:r>
        <w:rPr>
          <w:rFonts w:cs="Times New Roman"/>
        </w:rPr>
        <w:t xml:space="preserve">Car ownership doesn’t predict support for the metro, which is consistent with an </w:t>
      </w:r>
      <w:proofErr w:type="gramStart"/>
      <w:r>
        <w:rPr>
          <w:rFonts w:cs="Times New Roman"/>
        </w:rPr>
        <w:t>externalities</w:t>
      </w:r>
      <w:proofErr w:type="gramEnd"/>
      <w:r>
        <w:rPr>
          <w:rFonts w:cs="Times New Roman"/>
        </w:rPr>
        <w:t xml:space="preserve"> explanation in which wealthy car owners don’t intend to take the metro.  However, public transit use is associated with greater support for the metro, suggesting that lower-class transit users are more likely to support the metro.  </w:t>
      </w:r>
    </w:p>
    <w:p w14:paraId="57B8FEA5" w14:textId="1DAFC970" w:rsidR="00CD56E5" w:rsidRPr="009F5D90" w:rsidRDefault="00CD56E5" w:rsidP="00CD56E5">
      <w:pPr>
        <w:tabs>
          <w:tab w:val="left" w:pos="1971"/>
        </w:tabs>
        <w:spacing w:line="480" w:lineRule="auto"/>
        <w:ind w:firstLine="720"/>
        <w:rPr>
          <w:rFonts w:cs="Times New Roman"/>
        </w:rPr>
      </w:pPr>
      <w:r>
        <w:rPr>
          <w:rFonts w:cs="Times New Roman"/>
        </w:rPr>
        <w:t xml:space="preserve">An alternative theory looks at how trust in government conditions support for public works projects.  Model </w:t>
      </w:r>
      <w:r w:rsidR="005B2138">
        <w:rPr>
          <w:rFonts w:cs="Times New Roman"/>
        </w:rPr>
        <w:t>5</w:t>
      </w:r>
      <w:r w:rsidRPr="009F5D90">
        <w:rPr>
          <w:rFonts w:cs="Times New Roman"/>
        </w:rPr>
        <w:t xml:space="preserve"> </w:t>
      </w:r>
      <w:r>
        <w:rPr>
          <w:rFonts w:cs="Times New Roman"/>
        </w:rPr>
        <w:t>examines</w:t>
      </w:r>
      <w:r w:rsidRPr="009F5D90">
        <w:rPr>
          <w:rFonts w:cs="Times New Roman"/>
        </w:rPr>
        <w:t xml:space="preserve"> whether attitudes toward government or </w:t>
      </w:r>
      <w:r>
        <w:rPr>
          <w:rFonts w:cs="Times New Roman"/>
        </w:rPr>
        <w:t xml:space="preserve">the </w:t>
      </w:r>
      <w:r w:rsidRPr="009F5D90">
        <w:rPr>
          <w:rFonts w:cs="Times New Roman"/>
        </w:rPr>
        <w:t>mayor in power drive support.  To capture anti-government views, I look at a standard question that asks the respondent to choose between “the less government, the better” or “there are more things that the government should be doing” (</w:t>
      </w:r>
      <w:r w:rsidRPr="009F5D90">
        <w:rPr>
          <w:rFonts w:cs="Times New Roman"/>
          <w:i/>
        </w:rPr>
        <w:t>Anti-Government</w:t>
      </w:r>
      <w:r w:rsidRPr="009F5D90">
        <w:rPr>
          <w:rFonts w:cs="Times New Roman"/>
        </w:rPr>
        <w:t xml:space="preserve">).  Wanting a smaller government is somewhat different than trust in government.  </w:t>
      </w:r>
      <w:r w:rsidR="005B2138">
        <w:rPr>
          <w:rFonts w:cs="Times New Roman"/>
        </w:rPr>
        <w:t>I also probe</w:t>
      </w:r>
      <w:r w:rsidRPr="009F5D90">
        <w:rPr>
          <w:rFonts w:cs="Times New Roman"/>
        </w:rPr>
        <w:t xml:space="preserve"> whether individuals think that the government will lose money to corruption in the metro project </w:t>
      </w:r>
      <w:r w:rsidRPr="009F5D90">
        <w:rPr>
          <w:rFonts w:cs="Times New Roman"/>
          <w:i/>
        </w:rPr>
        <w:t>(Corruption</w:t>
      </w:r>
      <w:r w:rsidRPr="009F5D90">
        <w:rPr>
          <w:rFonts w:cs="Times New Roman"/>
        </w:rPr>
        <w:t>)</w:t>
      </w:r>
      <w:r w:rsidR="000B12A0">
        <w:rPr>
          <w:rFonts w:cs="Times New Roman"/>
        </w:rPr>
        <w:t xml:space="preserve"> </w:t>
      </w:r>
      <w:r w:rsidRPr="009F5D90">
        <w:rPr>
          <w:rFonts w:cs="Times New Roman"/>
        </w:rPr>
        <w:t>and whether respondents voted for the mayor in office (</w:t>
      </w:r>
      <w:r w:rsidRPr="009F5D90">
        <w:rPr>
          <w:rFonts w:cs="Times New Roman"/>
          <w:i/>
        </w:rPr>
        <w:t xml:space="preserve">Voted Mayor).  </w:t>
      </w:r>
      <w:r w:rsidRPr="009F5D90">
        <w:rPr>
          <w:rFonts w:cs="Times New Roman"/>
        </w:rPr>
        <w:t>Individuals who support a larger government role in general, perceive less corruption, or supported the current mayor should be enthusiastic about the metro.</w:t>
      </w:r>
    </w:p>
    <w:p w14:paraId="0486333C" w14:textId="1B7629C6" w:rsidR="00AE622C" w:rsidRPr="005B2138" w:rsidRDefault="00CD56E5" w:rsidP="005B2138">
      <w:pPr>
        <w:spacing w:line="480" w:lineRule="auto"/>
        <w:ind w:firstLine="720"/>
        <w:rPr>
          <w:rFonts w:cs="Times New Roman"/>
          <w:color w:val="000000"/>
        </w:rPr>
      </w:pPr>
      <w:r w:rsidRPr="009F5D90">
        <w:rPr>
          <w:rFonts w:cs="Times New Roman"/>
        </w:rPr>
        <w:t xml:space="preserve">Attitudes towards government do condition support toward public works, as the literature would predict.  Anti-government attitudes predict less support for the metro.  </w:t>
      </w:r>
      <w:r>
        <w:rPr>
          <w:rFonts w:cs="Times New Roman"/>
        </w:rPr>
        <w:t>But</w:t>
      </w:r>
      <w:r w:rsidRPr="009F5D90">
        <w:rPr>
          <w:rFonts w:cs="Times New Roman"/>
        </w:rPr>
        <w:t xml:space="preserve"> anti-government attitudes </w:t>
      </w:r>
      <w:r>
        <w:rPr>
          <w:rFonts w:cs="Times New Roman"/>
        </w:rPr>
        <w:t xml:space="preserve">also </w:t>
      </w:r>
      <w:r w:rsidRPr="009F5D90">
        <w:rPr>
          <w:rFonts w:cs="Times New Roman"/>
        </w:rPr>
        <w:t xml:space="preserve">are rare: in Bogotá, just 20 percent of the sample agrees that less government would be </w:t>
      </w:r>
      <w:r w:rsidRPr="009F5D90">
        <w:rPr>
          <w:rFonts w:cs="Times New Roman"/>
        </w:rPr>
        <w:lastRenderedPageBreak/>
        <w:t xml:space="preserve">better.  By comparison, this question </w:t>
      </w:r>
      <w:r w:rsidRPr="009F5D90">
        <w:rPr>
          <w:rFonts w:cs="Times New Roman"/>
          <w:color w:val="000000"/>
        </w:rPr>
        <w:t>draws support from 59 percent of American voters.</w:t>
      </w:r>
      <w:r w:rsidRPr="009F5D90">
        <w:rPr>
          <w:rStyle w:val="FootnoteReference"/>
        </w:rPr>
        <w:footnoteReference w:id="5"/>
      </w:r>
      <w:r w:rsidRPr="009F5D90">
        <w:rPr>
          <w:rFonts w:cs="Times New Roman"/>
          <w:color w:val="000000"/>
        </w:rPr>
        <w:t xml:space="preserve">  This discrepancy suggests that theories rooted in American conservatism may have less leverage in understanding public works in the developing world.  In contrast, concerns about corruption in project implementation are widespread, with two-thirds of respondents </w:t>
      </w:r>
      <w:r>
        <w:rPr>
          <w:rFonts w:cs="Times New Roman"/>
          <w:color w:val="000000"/>
        </w:rPr>
        <w:t>suspecting a loss of funds</w:t>
      </w:r>
      <w:r w:rsidRPr="009F5D90">
        <w:rPr>
          <w:rFonts w:cs="Times New Roman"/>
          <w:color w:val="000000"/>
        </w:rPr>
        <w:t>.  But corruption concerns are not associated with support for the metro.  Voting for the elected mayor is associated with greater support for the metro.  This is somewhat surprising, given that the mayor at the time of the survey (</w:t>
      </w:r>
      <w:proofErr w:type="spellStart"/>
      <w:r w:rsidRPr="009F5D90">
        <w:rPr>
          <w:rFonts w:cs="Times New Roman"/>
          <w:color w:val="000000"/>
        </w:rPr>
        <w:t>Peñalosa</w:t>
      </w:r>
      <w:proofErr w:type="spellEnd"/>
      <w:r w:rsidRPr="009F5D90">
        <w:rPr>
          <w:rFonts w:cs="Times New Roman"/>
          <w:color w:val="000000"/>
        </w:rPr>
        <w:t xml:space="preserve">) turned against the underground subway project. </w:t>
      </w:r>
    </w:p>
    <w:p w14:paraId="6F820588" w14:textId="77777777" w:rsidR="003B1347" w:rsidRDefault="003B1347" w:rsidP="008667B3">
      <w:pPr>
        <w:rPr>
          <w:rFonts w:cs="Times New Roman"/>
          <w:b/>
        </w:rPr>
      </w:pPr>
    </w:p>
    <w:p w14:paraId="3796A93B" w14:textId="119C98C1" w:rsidR="008667B3" w:rsidRPr="005F3D37" w:rsidRDefault="008667B3" w:rsidP="005F3D37">
      <w:pPr>
        <w:pStyle w:val="ListParagraph"/>
        <w:numPr>
          <w:ilvl w:val="0"/>
          <w:numId w:val="1"/>
        </w:numPr>
        <w:rPr>
          <w:rFonts w:cs="Times New Roman"/>
        </w:rPr>
      </w:pPr>
      <w:r w:rsidRPr="005F3D37">
        <w:rPr>
          <w:rFonts w:cs="Times New Roman"/>
          <w:b/>
        </w:rPr>
        <w:t>Sensitivity to the Choice Set</w:t>
      </w:r>
    </w:p>
    <w:p w14:paraId="29E71753" w14:textId="77777777" w:rsidR="008667B3" w:rsidRPr="00270693" w:rsidRDefault="008667B3" w:rsidP="008667B3">
      <w:pPr>
        <w:rPr>
          <w:rFonts w:cs="Times New Roman"/>
          <w:b/>
        </w:rPr>
      </w:pPr>
    </w:p>
    <w:p w14:paraId="43944E7D" w14:textId="3C4E326C" w:rsidR="00282E2E" w:rsidRPr="00270693" w:rsidRDefault="008667B3" w:rsidP="0076278E">
      <w:pPr>
        <w:spacing w:line="480" w:lineRule="auto"/>
        <w:ind w:firstLine="720"/>
        <w:rPr>
          <w:rFonts w:cs="Times New Roman"/>
        </w:rPr>
      </w:pPr>
      <w:r w:rsidRPr="00270693">
        <w:rPr>
          <w:rFonts w:cs="Times New Roman"/>
        </w:rPr>
        <w:t xml:space="preserve">An important concern with QV is that the question responses are sensitive to the choice set provided.  For instance, it might be the case that low-income individuals place all their votes on the peace process, but once this issue is off the political agenda in Colombia, the response patterns would look quite difference and the poor would support infrastructure or social policy or any other issue.  A robustness check therefore involves removing certain issues from the choice set and rescaling the responses to understand what preferences look like on a subset of the issues analyzed.  </w:t>
      </w:r>
      <w:proofErr w:type="gramStart"/>
      <w:r w:rsidR="0076278E">
        <w:rPr>
          <w:rFonts w:cs="Times New Roman"/>
        </w:rPr>
        <w:t>A</w:t>
      </w:r>
      <w:r w:rsidRPr="00270693">
        <w:rPr>
          <w:rFonts w:cs="Times New Roman"/>
        </w:rPr>
        <w:t xml:space="preserve">s long </w:t>
      </w:r>
      <w:r w:rsidRPr="0076278E">
        <w:rPr>
          <w:rFonts w:cs="Times New Roman"/>
        </w:rPr>
        <w:t>as</w:t>
      </w:r>
      <w:proofErr w:type="gramEnd"/>
      <w:r w:rsidRPr="0076278E">
        <w:rPr>
          <w:rFonts w:cs="Times New Roman"/>
        </w:rPr>
        <w:t xml:space="preserve"> the questions were included in the choice set, I can take a non-linear transformation of the data to understand how much individuals care about a given issue relative to a subset of those explained. </w:t>
      </w:r>
      <w:r w:rsidR="00E11D37" w:rsidRPr="0076278E">
        <w:rPr>
          <w:rFonts w:cs="Times New Roman"/>
        </w:rPr>
        <w:t xml:space="preserve"> This method assumes the independence of irrelevant alternatives, meaning that choices depend only on the issue at stake and not on the characteristics of other </w:t>
      </w:r>
      <w:r w:rsidR="0076278E" w:rsidRPr="0076278E">
        <w:rPr>
          <w:rFonts w:cs="Times New Roman"/>
        </w:rPr>
        <w:t>items</w:t>
      </w:r>
      <w:r w:rsidR="00E11D37" w:rsidRPr="0076278E">
        <w:rPr>
          <w:rFonts w:cs="Times New Roman"/>
        </w:rPr>
        <w:t xml:space="preserve"> in the choice set.  </w:t>
      </w:r>
      <w:r w:rsidR="0076278E" w:rsidRPr="0076278E">
        <w:rPr>
          <w:rFonts w:cs="Times New Roman"/>
        </w:rPr>
        <w:t xml:space="preserve">This assumption could be violated in practice.  As often is argued in behavioral research, perceptions of one item are often linked to perceptions of others, leading responses to depend on other, correlated attributes.  Future research may examine whether this assumption is violated in practice in the spirit of </w:t>
      </w:r>
      <w:r w:rsidR="0076278E" w:rsidRPr="0076278E">
        <w:rPr>
          <w:rFonts w:cs="Times New Roman"/>
        </w:rPr>
        <w:fldChar w:fldCharType="begin" w:fldLock="1"/>
      </w:r>
      <w:r w:rsidR="001C36EE">
        <w:rPr>
          <w:rFonts w:cs="Times New Roman"/>
        </w:rPr>
        <w:instrText>ADDIN CSL_CITATION {"citationItems":[{"id":"ITEM-1","itemData":{"DOI":"10.1017/PAN.2017.40","ISSN":"1047-1987","abstract":"In recent years, political and social scientists have made increasing use of conjoint survey designs to study decision-making. Here, we study a consequential question which researchers confront when implementing conjoint designs: How many choice tasks can respondents perform before survey satisficing degrades response quality? To answer the question, we run a set of experiments where respondents are asked to complete as many as 30 conjoint tasks. Experiments conducted through Amazon’s Mechanical Turk and Survey Sampling International demonstrate the surprising robustness of conjoint designs, as there are detectable but quite limited increases in survey satisficing as the number of tasks increases. Our evidence suggests that in similar study contexts researchers can assign dozens of tasks without substantial declines in response quality.","author":[{"dropping-particle":"","family":"Bansak","given":"Kirk","non-dropping-particle":"","parse-names":false,"suffix":""},{"dropping-particle":"","family":"Hainmueller","given":"Jens","non-dropping-particle":"","parse-names":false,"suffix":""},{"dropping-particle":"","family":"Hopkins","given":"Daniel J.","non-dropping-particle":"","parse-names":false,"suffix":""},{"dropping-particle":"","family":"Yamamoto","given":"Teppei","non-dropping-particle":"","parse-names":false,"suffix":""}],"container-title":"Political Analysis","id":"ITEM-1","issue":"1","issued":{"date-parts":[["2018","1","1"]]},"page":"112-119","publisher":"Cambridge University Press","title":"The Number of Choice Tasks and Survey Satisficing in Conjoint Experiments","type":"article-journal","volume":"26"},"uris":["http://www.mendeley.com/documents/?uuid=de2249e4-5a3d-3366-8614-14744bfa7c6e"]}],"mendeley":{"formattedCitation":"(Bansak et al. 2018)","manualFormatting":"Bansak et al.'s (2018)","plainTextFormattedCitation":"(Bansak et al. 2018)","previouslyFormattedCitation":"(Bansak et al. 2018)"},"properties":{"noteIndex":0},"schema":"https://github.com/citation-style-language/schema/raw/master/csl-citation.json"}</w:instrText>
      </w:r>
      <w:r w:rsidR="0076278E" w:rsidRPr="0076278E">
        <w:rPr>
          <w:rFonts w:cs="Times New Roman"/>
        </w:rPr>
        <w:fldChar w:fldCharType="separate"/>
      </w:r>
      <w:r w:rsidR="0076278E" w:rsidRPr="0076278E">
        <w:rPr>
          <w:rFonts w:cs="Times New Roman"/>
          <w:noProof/>
        </w:rPr>
        <w:t>Bansak et al.'s (2018)</w:t>
      </w:r>
      <w:r w:rsidR="0076278E" w:rsidRPr="0076278E">
        <w:rPr>
          <w:rFonts w:cs="Times New Roman"/>
        </w:rPr>
        <w:fldChar w:fldCharType="end"/>
      </w:r>
      <w:r w:rsidR="0076278E" w:rsidRPr="0076278E">
        <w:rPr>
          <w:rFonts w:cs="Times New Roman"/>
        </w:rPr>
        <w:t xml:space="preserve"> work on changing the number of attributes in a conjoint </w:t>
      </w:r>
      <w:r w:rsidR="0076278E" w:rsidRPr="0076278E">
        <w:rPr>
          <w:rFonts w:cs="Times New Roman"/>
        </w:rPr>
        <w:lastRenderedPageBreak/>
        <w:t>experiment.  For the moment, I concentrate on the formal analysis and assume the independence of irrelevant alternatives.</w:t>
      </w:r>
      <w:r w:rsidR="0076278E">
        <w:rPr>
          <w:rFonts w:cs="Times New Roman"/>
        </w:rPr>
        <w:t xml:space="preserve">    </w:t>
      </w:r>
    </w:p>
    <w:p w14:paraId="3EB19D39" w14:textId="004F32C4" w:rsidR="00E475DD" w:rsidRPr="00270693" w:rsidRDefault="00E475DD" w:rsidP="00E475DD">
      <w:pPr>
        <w:spacing w:line="480" w:lineRule="auto"/>
        <w:ind w:firstLine="720"/>
        <w:rPr>
          <w:rFonts w:cs="Times New Roman"/>
        </w:rPr>
      </w:pPr>
      <w:r w:rsidRPr="00270693">
        <w:rPr>
          <w:rFonts w:cs="Times New Roman"/>
        </w:rPr>
        <w:t xml:space="preserve">In general terms, consider the set of </w:t>
      </w:r>
      <m:oMath>
        <m:r>
          <w:rPr>
            <w:rFonts w:ascii="Cambria Math" w:hAnsi="Cambria Math" w:cs="Times New Roman"/>
          </w:rPr>
          <m:t>N</m:t>
        </m:r>
      </m:oMath>
      <w:r w:rsidRPr="00270693">
        <w:rPr>
          <w:rFonts w:cs="Times New Roman"/>
          <w:i/>
        </w:rPr>
        <w:t xml:space="preserve"> </w:t>
      </w:r>
      <w:r w:rsidRPr="00270693">
        <w:rPr>
          <w:rFonts w:cs="Times New Roman"/>
        </w:rPr>
        <w:t xml:space="preserve">propositions initially included in the QV module with a budget of </w:t>
      </w:r>
      <w:r w:rsidRPr="00270693">
        <w:rPr>
          <w:rFonts w:cs="Times New Roman"/>
          <w:i/>
        </w:rPr>
        <w:t>B</w:t>
      </w:r>
      <w:r w:rsidRPr="00270693">
        <w:rPr>
          <w:rFonts w:cs="Times New Roman"/>
        </w:rPr>
        <w:t>.  For the full question set, individual</w:t>
      </w:r>
      <w:r>
        <w:rPr>
          <w:rFonts w:cs="Times New Roman"/>
        </w:rPr>
        <w:t xml:space="preserve"> </w:t>
      </w:r>
      <m:oMath>
        <m:r>
          <w:rPr>
            <w:rFonts w:ascii="Cambria Math" w:hAnsi="Cambria Math" w:cs="Times New Roman"/>
          </w:rPr>
          <m:t>j</m:t>
        </m:r>
      </m:oMath>
      <w:r w:rsidRPr="00270693">
        <w:rPr>
          <w:rFonts w:cs="Times New Roman"/>
        </w:rPr>
        <w:t xml:space="preserve"> allocate</w:t>
      </w:r>
      <w:r>
        <w:rPr>
          <w:rFonts w:cs="Times New Roman"/>
        </w:rPr>
        <w:t xml:space="preserve">s </w:t>
      </w:r>
      <w:r w:rsidR="000B12A0">
        <w:rPr>
          <w:rFonts w:cs="Times New Roman"/>
        </w:rPr>
        <w:t>their</w:t>
      </w:r>
      <w:r w:rsidRPr="00270693">
        <w:rPr>
          <w:rFonts w:cs="Times New Roman"/>
        </w:rPr>
        <w:t xml:space="preserve"> votes </w:t>
      </w:r>
      <w:r>
        <w:rPr>
          <w:rFonts w:cs="Times New Roman"/>
        </w:rPr>
        <w:t xml:space="preserve">on subjects such as </w:t>
      </w:r>
      <m:oMath>
        <m:r>
          <w:rPr>
            <w:rFonts w:ascii="Cambria Math" w:hAnsi="Cambria Math" w:cs="Times New Roman"/>
          </w:rPr>
          <m:t>i</m:t>
        </m:r>
      </m:oMath>
      <w:r>
        <w:rPr>
          <w:rFonts w:cs="Times New Roman"/>
        </w:rPr>
        <w:t xml:space="preserve"> denoted by </w:t>
      </w:r>
      <m:oMath>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oMath>
      <w:r w:rsidRPr="00270693">
        <w:rPr>
          <w:rFonts w:cs="Times New Roman"/>
        </w:rPr>
        <w:t xml:space="preserve"> to the constraint that</w:t>
      </w:r>
    </w:p>
    <w:p w14:paraId="3EE96ED2" w14:textId="77777777" w:rsidR="00E475DD" w:rsidRPr="00270693" w:rsidRDefault="00000000" w:rsidP="00E475DD">
      <w:pPr>
        <w:spacing w:line="480" w:lineRule="auto"/>
        <w:ind w:firstLine="720"/>
        <w:rPr>
          <w:rFonts w:cs="Times New Roman"/>
        </w:rPr>
      </w:pPr>
      <m:oMathPara>
        <m:oMath>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e>
                  </m:d>
                </m:e>
                <m:sup>
                  <m:r>
                    <w:rPr>
                      <w:rFonts w:ascii="Cambria Math" w:hAnsi="Cambria Math" w:cs="Times New Roman"/>
                    </w:rPr>
                    <m:t>2</m:t>
                  </m:r>
                </m:sup>
              </m:sSup>
              <m:r>
                <w:rPr>
                  <w:rFonts w:ascii="Cambria Math" w:hAnsi="Cambria Math" w:cs="Times New Roman"/>
                </w:rPr>
                <m:t>=B</m:t>
              </m:r>
            </m:e>
          </m:nary>
          <m:r>
            <w:rPr>
              <w:rFonts w:ascii="Cambria Math" w:hAnsi="Cambria Math" w:cs="Times New Roman"/>
            </w:rPr>
            <m:t>.</m:t>
          </m:r>
        </m:oMath>
      </m:oMathPara>
    </w:p>
    <w:p w14:paraId="1C4D4356" w14:textId="77777777" w:rsidR="00E475DD" w:rsidRPr="00270693" w:rsidRDefault="00E475DD" w:rsidP="00E475DD">
      <w:pPr>
        <w:spacing w:line="480" w:lineRule="auto"/>
        <w:ind w:firstLine="720"/>
        <w:rPr>
          <w:rFonts w:cs="Times New Roman"/>
        </w:rPr>
      </w:pPr>
      <w:r>
        <w:rPr>
          <w:rFonts w:cs="Times New Roman"/>
        </w:rPr>
        <w:t>Now suppose we are</w:t>
      </w:r>
      <w:r w:rsidRPr="00270693">
        <w:rPr>
          <w:rFonts w:cs="Times New Roman"/>
        </w:rPr>
        <w:t xml:space="preserve"> interested in the subset of issues </w:t>
      </w:r>
      <m:oMath>
        <m:r>
          <w:rPr>
            <w:rFonts w:ascii="Cambria Math" w:hAnsi="Cambria Math" w:cs="Times New Roman"/>
          </w:rPr>
          <m:t>Μ</m:t>
        </m:r>
      </m:oMath>
      <w:r w:rsidRPr="00270693">
        <w:rPr>
          <w:rFonts w:cs="Times New Roman"/>
        </w:rPr>
        <w:t xml:space="preserve">, where </w:t>
      </w:r>
      <m:oMath>
        <m:r>
          <w:rPr>
            <w:rFonts w:ascii="Cambria Math" w:hAnsi="Cambria Math" w:cs="Times New Roman"/>
          </w:rPr>
          <m:t>M=</m:t>
        </m:r>
        <m:d>
          <m:dPr>
            <m:begChr m:val="|"/>
            <m:endChr m:val="|"/>
            <m:ctrlPr>
              <w:rPr>
                <w:rFonts w:ascii="Cambria Math" w:hAnsi="Cambria Math" w:cs="Times New Roman"/>
                <w:i/>
              </w:rPr>
            </m:ctrlPr>
          </m:dPr>
          <m:e>
            <m:r>
              <w:rPr>
                <w:rFonts w:ascii="Cambria Math" w:hAnsi="Cambria Math" w:cs="Times New Roman"/>
              </w:rPr>
              <m:t>Μ</m:t>
            </m:r>
          </m:e>
        </m:d>
        <m:r>
          <w:rPr>
            <w:rFonts w:ascii="Cambria Math" w:hAnsi="Cambria Math" w:cs="Times New Roman"/>
          </w:rPr>
          <m:t>&lt;</m:t>
        </m:r>
        <m:d>
          <m:dPr>
            <m:begChr m:val="|"/>
            <m:endChr m:val="|"/>
            <m:ctrlPr>
              <w:rPr>
                <w:rFonts w:ascii="Cambria Math" w:hAnsi="Cambria Math" w:cs="Times New Roman"/>
                <w:i/>
              </w:rPr>
            </m:ctrlPr>
          </m:dPr>
          <m:e>
            <m:r>
              <w:rPr>
                <w:rFonts w:ascii="Cambria Math" w:hAnsi="Cambria Math" w:cs="Times New Roman"/>
              </w:rPr>
              <m:t>N</m:t>
            </m:r>
          </m:e>
        </m:d>
      </m:oMath>
      <w:r w:rsidRPr="00270693">
        <w:rPr>
          <w:rFonts w:cs="Times New Roman"/>
        </w:rPr>
        <w:t xml:space="preserve">.  In the survey, each individual </w:t>
      </w:r>
      <w:r w:rsidRPr="00270693">
        <w:rPr>
          <w:rFonts w:cs="Times New Roman"/>
          <w:i/>
        </w:rPr>
        <w:t xml:space="preserve">j </w:t>
      </w:r>
      <w:r w:rsidRPr="00270693">
        <w:rPr>
          <w:rFonts w:cs="Times New Roman"/>
        </w:rPr>
        <w:t xml:space="preserve">will have allocated a total number of credits to the issues in </w:t>
      </w:r>
      <m:oMath>
        <m:r>
          <w:rPr>
            <w:rFonts w:ascii="Cambria Math" w:hAnsi="Cambria Math" w:cs="Times New Roman"/>
          </w:rPr>
          <m:t>Μ</m:t>
        </m:r>
      </m:oMath>
      <w:r w:rsidRPr="00270693">
        <w:rPr>
          <w:rFonts w:cs="Times New Roman"/>
        </w:rPr>
        <w:t xml:space="preserve"> equal to</w:t>
      </w:r>
    </w:p>
    <w:p w14:paraId="5B1CF3F0" w14:textId="77777777" w:rsidR="00E475DD" w:rsidRPr="00270693" w:rsidRDefault="00000000" w:rsidP="00E475DD">
      <w:pPr>
        <w:spacing w:line="480" w:lineRule="auto"/>
        <w:ind w:firstLine="720"/>
        <w:rPr>
          <w:rFonts w:cs="Times New Roman"/>
        </w:rPr>
      </w:pPr>
      <m:oMathPara>
        <m:oMath>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j</m:t>
              </m:r>
            </m:sup>
          </m:sSup>
          <m:r>
            <w:rPr>
              <w:rFonts w:ascii="Cambria Math" w:hAnsi="Cambria Math" w:cs="Times New Roman"/>
            </w:rPr>
            <m:t>≡</m:t>
          </m:r>
          <m:nary>
            <m:naryPr>
              <m:chr m:val="∑"/>
              <m:limLoc m:val="undOvr"/>
              <m:supHide m:val="1"/>
              <m:ctrlPr>
                <w:rPr>
                  <w:rFonts w:ascii="Cambria Math" w:hAnsi="Cambria Math" w:cs="Times New Roman"/>
                  <w:i/>
                </w:rPr>
              </m:ctrlPr>
            </m:naryPr>
            <m:sub>
              <m:r>
                <w:rPr>
                  <w:rFonts w:ascii="Cambria Math" w:hAnsi="Cambria Math" w:cs="Times New Roman"/>
                </w:rPr>
                <m:t>i∈Μ</m:t>
              </m:r>
            </m:sub>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e>
                  </m:d>
                </m:e>
                <m:sup>
                  <m:r>
                    <w:rPr>
                      <w:rFonts w:ascii="Cambria Math" w:hAnsi="Cambria Math" w:cs="Times New Roman"/>
                    </w:rPr>
                    <m:t>2</m:t>
                  </m:r>
                </m:sup>
              </m:sSup>
            </m:e>
          </m:nary>
          <m:r>
            <w:rPr>
              <w:rFonts w:ascii="Cambria Math" w:hAnsi="Cambria Math" w:cs="Times New Roman"/>
            </w:rPr>
            <m:t>≤B.</m:t>
          </m:r>
        </m:oMath>
      </m:oMathPara>
    </w:p>
    <w:p w14:paraId="00C712C9" w14:textId="23DF2B8E" w:rsidR="00E475DD" w:rsidRPr="00270693" w:rsidRDefault="00E475DD" w:rsidP="00E475DD">
      <w:pPr>
        <w:spacing w:line="480" w:lineRule="auto"/>
        <w:ind w:firstLine="720"/>
        <w:rPr>
          <w:rFonts w:cs="Times New Roman"/>
        </w:rPr>
      </w:pPr>
      <w:r w:rsidRPr="00270693">
        <w:rPr>
          <w:rFonts w:cs="Times New Roman"/>
        </w:rPr>
        <w:t>By the assumption that, regardless of budget, individuals vote across issues in proportion to their utilities, under any rescaling of the budget individuals would simply have scaled up or down their votes.</w:t>
      </w:r>
      <w:r w:rsidR="001C36EE">
        <w:rPr>
          <w:rStyle w:val="FootnoteReference"/>
          <w:rFonts w:cs="Times New Roman"/>
        </w:rPr>
        <w:footnoteReference w:id="6"/>
      </w:r>
      <w:r w:rsidRPr="00270693">
        <w:rPr>
          <w:rFonts w:cs="Times New Roman"/>
        </w:rPr>
        <w:t xml:space="preserve">  Using this assumption, I can derive what individuals would have done had they been presented only with a subset of the issues </w:t>
      </w:r>
      <m:oMath>
        <m:r>
          <w:rPr>
            <w:rFonts w:ascii="Cambria Math" w:hAnsi="Cambria Math" w:cs="Times New Roman"/>
          </w:rPr>
          <m:t>Μ</m:t>
        </m:r>
      </m:oMath>
      <w:r w:rsidRPr="00270693">
        <w:rPr>
          <w:rFonts w:cs="Times New Roman"/>
        </w:rPr>
        <w:t xml:space="preserve">.  </w:t>
      </w:r>
      <w:proofErr w:type="gramStart"/>
      <w:r w:rsidRPr="00270693">
        <w:rPr>
          <w:rFonts w:cs="Times New Roman"/>
        </w:rPr>
        <w:t xml:space="preserve">In particular, </w:t>
      </w:r>
      <w:r w:rsidR="009255CE">
        <w:rPr>
          <w:rFonts w:cs="Times New Roman"/>
        </w:rPr>
        <w:t>I</w:t>
      </w:r>
      <w:proofErr w:type="gramEnd"/>
      <w:r w:rsidR="009255CE">
        <w:rPr>
          <w:rFonts w:cs="Times New Roman"/>
        </w:rPr>
        <w:t xml:space="preserve"> </w:t>
      </w:r>
      <w:r w:rsidRPr="00270693">
        <w:rPr>
          <w:rFonts w:cs="Times New Roman"/>
        </w:rPr>
        <w:t xml:space="preserve">suppose that everyone had a budget of </w:t>
      </w:r>
      <m:oMath>
        <m:r>
          <w:rPr>
            <w:rFonts w:ascii="Cambria Math" w:hAnsi="Cambria Math" w:cs="Times New Roman"/>
          </w:rPr>
          <m:t>B</m:t>
        </m:r>
      </m:oMath>
      <w:r w:rsidRPr="00270693">
        <w:rPr>
          <w:rFonts w:cs="Times New Roman"/>
        </w:rPr>
        <w:t xml:space="preserve"> to vote on the issues </w:t>
      </w:r>
      <m:oMath>
        <m:r>
          <w:rPr>
            <w:rFonts w:ascii="Cambria Math" w:hAnsi="Cambria Math" w:cs="Times New Roman"/>
          </w:rPr>
          <m:t>Μ</m:t>
        </m:r>
      </m:oMath>
      <w:r w:rsidRPr="00270693">
        <w:rPr>
          <w:rFonts w:cs="Times New Roman"/>
        </w:rPr>
        <w:t xml:space="preserve">.  Then, there exists a scaling factor </w:t>
      </w:r>
      <m:oMath>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oMath>
      <w:r w:rsidRPr="00270693">
        <w:rPr>
          <w:rFonts w:cs="Times New Roman"/>
        </w:rPr>
        <w:t xml:space="preserve"> such that </w:t>
      </w:r>
      <w:r w:rsidRPr="00270693">
        <w:rPr>
          <w:rFonts w:cs="Times New Roman"/>
          <w:i/>
        </w:rPr>
        <w:t>j</w:t>
      </w:r>
      <w:r w:rsidRPr="00270693">
        <w:rPr>
          <w:rFonts w:cs="Times New Roman"/>
        </w:rPr>
        <w:t xml:space="preserve">’s votes would have been </w:t>
      </w:r>
      <m:oMath>
        <m:acc>
          <m:accPr>
            <m:ctrlPr>
              <w:rPr>
                <w:rFonts w:ascii="Cambria Math" w:hAnsi="Cambria Math" w:cs="Times New Roman"/>
                <w:i/>
              </w:rPr>
            </m:ctrlPr>
          </m:accPr>
          <m:e>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e>
        </m:acc>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oMath>
      <w:r w:rsidRPr="00270693">
        <w:rPr>
          <w:rFonts w:cs="Times New Roman"/>
        </w:rPr>
        <w:t xml:space="preserve"> solving:</w:t>
      </w:r>
    </w:p>
    <w:p w14:paraId="70285F44" w14:textId="77777777" w:rsidR="00E475DD" w:rsidRPr="00270693" w:rsidRDefault="00000000" w:rsidP="00E475DD">
      <w:pPr>
        <w:spacing w:line="480" w:lineRule="auto"/>
        <w:ind w:firstLine="720"/>
        <w:rPr>
          <w:rFonts w:cs="Times New Roman"/>
        </w:rPr>
      </w:pPr>
      <m:oMathPara>
        <m:oMath>
          <m:nary>
            <m:naryPr>
              <m:chr m:val="∑"/>
              <m:limLoc m:val="undOvr"/>
              <m:supHide m:val="1"/>
              <m:ctrlPr>
                <w:rPr>
                  <w:rFonts w:ascii="Cambria Math" w:hAnsi="Cambria Math" w:cs="Times New Roman"/>
                  <w:i/>
                </w:rPr>
              </m:ctrlPr>
            </m:naryPr>
            <m:sub>
              <m:r>
                <w:rPr>
                  <w:rFonts w:ascii="Cambria Math" w:hAnsi="Cambria Math" w:cs="Times New Roman"/>
                </w:rPr>
                <m:t>i∈Μ</m:t>
              </m:r>
            </m:sub>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e>
                  </m:d>
                </m:e>
                <m:sup>
                  <m:r>
                    <w:rPr>
                      <w:rFonts w:ascii="Cambria Math" w:hAnsi="Cambria Math" w:cs="Times New Roman"/>
                    </w:rPr>
                    <m:t>2</m:t>
                  </m:r>
                </m:sup>
              </m:sSup>
              <m:r>
                <w:rPr>
                  <w:rFonts w:ascii="Cambria Math" w:hAnsi="Cambria Math" w:cs="Times New Roman"/>
                </w:rPr>
                <m:t>=B⟹</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e>
                  </m:d>
                </m:e>
                <m:sup>
                  <m:r>
                    <w:rPr>
                      <w:rFonts w:ascii="Cambria Math" w:hAnsi="Cambria Math" w:cs="Times New Roman"/>
                    </w:rPr>
                    <m:t>2</m:t>
                  </m:r>
                </m:sup>
              </m:sSup>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sSup>
                    <m:sSupPr>
                      <m:ctrlPr>
                        <w:rPr>
                          <w:rFonts w:ascii="Cambria Math" w:hAnsi="Cambria Math" w:cs="Times New Roman"/>
                          <w:i/>
                        </w:rPr>
                      </m:ctrlPr>
                    </m:sSupPr>
                    <m:e>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j</m:t>
                              </m:r>
                            </m:sup>
                          </m:sSubSup>
                        </m:e>
                      </m:d>
                    </m:e>
                    <m:sup>
                      <m:r>
                        <w:rPr>
                          <w:rFonts w:ascii="Cambria Math" w:hAnsi="Cambria Math" w:cs="Times New Roman"/>
                        </w:rPr>
                        <m:t>2</m:t>
                      </m:r>
                    </m:sup>
                  </m:sSup>
                  <m:r>
                    <w:rPr>
                      <w:rFonts w:ascii="Cambria Math" w:hAnsi="Cambria Math" w:cs="Times New Roman"/>
                    </w:rPr>
                    <m:t>=B</m:t>
                  </m:r>
                </m:e>
              </m:nary>
            </m:e>
          </m:nary>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e>
              </m:d>
            </m:e>
            <m:sup>
              <m:r>
                <w:rPr>
                  <w:rFonts w:ascii="Cambria Math" w:hAnsi="Cambria Math" w:cs="Times New Roman"/>
                </w:rPr>
                <m:t>2</m:t>
              </m:r>
            </m:sup>
          </m:sSup>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j</m:t>
              </m:r>
            </m:sup>
          </m:sSup>
          <m:r>
            <w:rPr>
              <w:rFonts w:ascii="Cambria Math" w:hAnsi="Cambria Math" w:cs="Times New Roman"/>
            </w:rPr>
            <m:t>=B⟹</m:t>
          </m:r>
          <m:sSup>
            <m:sSupPr>
              <m:ctrlPr>
                <w:rPr>
                  <w:rFonts w:ascii="Cambria Math" w:hAnsi="Cambria Math" w:cs="Times New Roman"/>
                  <w:i/>
                </w:rPr>
              </m:ctrlPr>
            </m:sSupPr>
            <m:e>
              <m:r>
                <w:rPr>
                  <w:rFonts w:ascii="Cambria Math" w:hAnsi="Cambria Math" w:cs="Times New Roman"/>
                </w:rPr>
                <m:t>λ</m:t>
              </m:r>
            </m:e>
            <m:sup>
              <m:r>
                <w:rPr>
                  <w:rFonts w:ascii="Cambria Math" w:hAnsi="Cambria Math" w:cs="Times New Roman"/>
                </w:rPr>
                <m:t>j</m:t>
              </m:r>
            </m:sup>
          </m:sSup>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B</m:t>
                  </m:r>
                </m:num>
                <m:den>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j</m:t>
                      </m:r>
                    </m:sup>
                  </m:sSup>
                </m:den>
              </m:f>
            </m:e>
          </m:rad>
          <m:r>
            <w:rPr>
              <w:rFonts w:ascii="Cambria Math" w:hAnsi="Cambria Math" w:cs="Times New Roman"/>
            </w:rPr>
            <m:t>.</m:t>
          </m:r>
        </m:oMath>
      </m:oMathPara>
    </w:p>
    <w:p w14:paraId="57DBA106" w14:textId="77777777" w:rsidR="00E475DD" w:rsidRPr="00270693" w:rsidRDefault="00E475DD" w:rsidP="00E475DD">
      <w:pPr>
        <w:spacing w:line="480" w:lineRule="auto"/>
        <w:ind w:firstLine="720"/>
        <w:rPr>
          <w:rFonts w:cs="Times New Roman"/>
        </w:rPr>
      </w:pPr>
      <w:r w:rsidRPr="00270693">
        <w:rPr>
          <w:rFonts w:cs="Times New Roman"/>
        </w:rPr>
        <w:t xml:space="preserve">So, all I need to do to obtain the counterfactual votes in this setting is scale up </w:t>
      </w:r>
      <w:proofErr w:type="gramStart"/>
      <w:r w:rsidRPr="00270693">
        <w:rPr>
          <w:rFonts w:cs="Times New Roman"/>
        </w:rPr>
        <w:t>each individual’s</w:t>
      </w:r>
      <w:proofErr w:type="gramEnd"/>
      <w:r w:rsidRPr="00270693">
        <w:rPr>
          <w:rFonts w:cs="Times New Roman"/>
        </w:rPr>
        <w:t xml:space="preserve"> votes on the issues in </w:t>
      </w:r>
      <m:oMath>
        <m:r>
          <w:rPr>
            <w:rFonts w:ascii="Cambria Math" w:hAnsi="Cambria Math" w:cs="Times New Roman"/>
          </w:rPr>
          <m:t>Μ</m:t>
        </m:r>
      </m:oMath>
      <w:r w:rsidRPr="00270693">
        <w:rPr>
          <w:rFonts w:cs="Times New Roman"/>
        </w:rPr>
        <w:t xml:space="preserve"> by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B</m:t>
                </m:r>
              </m:num>
              <m:den>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j</m:t>
                    </m:r>
                  </m:sup>
                </m:sSup>
              </m:den>
            </m:f>
          </m:e>
        </m:rad>
      </m:oMath>
      <w:r w:rsidRPr="00270693">
        <w:rPr>
          <w:rFonts w:cs="Times New Roman"/>
        </w:rPr>
        <w:t xml:space="preserve">.  Another way to think of this is that there is a </w:t>
      </w:r>
      <w:r w:rsidRPr="00270693">
        <w:rPr>
          <w:rFonts w:cs="Times New Roman"/>
        </w:rPr>
        <w:lastRenderedPageBreak/>
        <w:t xml:space="preserve">Euclidean length to all the issues that an individual cares about, and this scaling factor extends the Euclidean length as appropriate for </w:t>
      </w:r>
      <w:proofErr w:type="gramStart"/>
      <w:r w:rsidRPr="00270693">
        <w:rPr>
          <w:rFonts w:cs="Times New Roman"/>
        </w:rPr>
        <w:t>each individual</w:t>
      </w:r>
      <w:proofErr w:type="gramEnd"/>
      <w:r w:rsidRPr="00270693">
        <w:rPr>
          <w:rFonts w:cs="Times New Roman"/>
        </w:rPr>
        <w:t xml:space="preserve"> by the amount that is removed by taking some elements out of the choice set so that each individual in the survey has the same budget for the subset of issues under consideration.  </w:t>
      </w:r>
    </w:p>
    <w:p w14:paraId="1FBD4929" w14:textId="4FE3E0B7" w:rsidR="00E475DD" w:rsidRPr="00270693" w:rsidRDefault="009255CE" w:rsidP="00E475DD">
      <w:pPr>
        <w:spacing w:line="480" w:lineRule="auto"/>
        <w:ind w:firstLine="720"/>
        <w:rPr>
          <w:rFonts w:cs="Times New Roman"/>
        </w:rPr>
      </w:pPr>
      <w:r>
        <w:rPr>
          <w:rFonts w:cs="Times New Roman"/>
        </w:rPr>
        <w:t>Again, r</w:t>
      </w:r>
      <w:r w:rsidR="00E475DD" w:rsidRPr="00270693">
        <w:rPr>
          <w:rFonts w:cs="Times New Roman"/>
        </w:rPr>
        <w:t xml:space="preserve">escaling cannot account for omitted issues or framing effects.  In other words, this formula works for any hypothesis that we have about what public opinion looks like when removing elements from the choice set; it does not allow us to test hypotheses about scenarios in which different issues are added to the choice set.  It also assumes that there are no framing effects caused by </w:t>
      </w:r>
      <w:r>
        <w:rPr>
          <w:rFonts w:cs="Times New Roman"/>
        </w:rPr>
        <w:t>seeing a</w:t>
      </w:r>
      <w:r w:rsidR="00E475DD" w:rsidRPr="00270693">
        <w:rPr>
          <w:rFonts w:cs="Times New Roman"/>
        </w:rPr>
        <w:t xml:space="preserve"> proposition in the choice set.  It is possible that the mere presence of an issue in the choice set makes respondents think differently about other issues.  For instance, including a question about taxation may lead the rich to voice more opposition to other forms of government spending than would be the case if no questions </w:t>
      </w:r>
      <w:r>
        <w:rPr>
          <w:rFonts w:cs="Times New Roman"/>
        </w:rPr>
        <w:t>were presented on</w:t>
      </w:r>
      <w:r w:rsidR="00E475DD" w:rsidRPr="00270693">
        <w:rPr>
          <w:rFonts w:cs="Times New Roman"/>
        </w:rPr>
        <w:t xml:space="preserve"> taxation.  </w:t>
      </w:r>
    </w:p>
    <w:p w14:paraId="3BAC658A" w14:textId="77777777" w:rsidR="00E475DD" w:rsidRPr="00270693" w:rsidRDefault="00E475DD" w:rsidP="00E475DD">
      <w:pPr>
        <w:spacing w:line="480" w:lineRule="auto"/>
        <w:ind w:firstLine="720"/>
        <w:rPr>
          <w:rFonts w:cs="Times New Roman"/>
        </w:rPr>
      </w:pPr>
      <w:r w:rsidRPr="00270693">
        <w:rPr>
          <w:rFonts w:cs="Times New Roman"/>
        </w:rPr>
        <w:t>To give an example, I may be interested in focusing on the trade-off between the metro project and social expenditures relative only to each other.  If so, imagine that an individual had placed 5 votes on the metro and 3 votes on redistribution.  They spent a total of 34 credits (</w:t>
      </w:r>
      <m:oMath>
        <m:sSup>
          <m:sSupPr>
            <m:ctrlPr>
              <w:rPr>
                <w:rFonts w:ascii="Cambria Math" w:hAnsi="Cambria Math" w:cs="Times New Roman"/>
                <w:i/>
              </w:rPr>
            </m:ctrlPr>
          </m:sSupPr>
          <m:e>
            <m:r>
              <w:rPr>
                <w:rFonts w:ascii="Cambria Math" w:hAnsi="Cambria Math" w:cs="Times New Roman"/>
              </w:rPr>
              <m:t>5</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3</m:t>
            </m:r>
          </m:e>
          <m:sup>
            <m:r>
              <w:rPr>
                <w:rFonts w:ascii="Cambria Math" w:hAnsi="Cambria Math" w:cs="Times New Roman"/>
              </w:rPr>
              <m:t>2</m:t>
            </m:r>
          </m:sup>
        </m:sSup>
        <m:r>
          <w:rPr>
            <w:rFonts w:ascii="Cambria Math" w:hAnsi="Cambria Math" w:cs="Times New Roman"/>
          </w:rPr>
          <m:t>=34</m:t>
        </m:r>
      </m:oMath>
      <w:r w:rsidRPr="00270693">
        <w:rPr>
          <w:rFonts w:cs="Times New Roman"/>
        </w:rPr>
        <w:t xml:space="preserve">) on those two issues.  We then calculate their individual </w:t>
      </w:r>
      <m:oMath>
        <m:r>
          <w:rPr>
            <w:rFonts w:ascii="Cambria Math" w:hAnsi="Cambria Math" w:cs="Times New Roman"/>
          </w:rPr>
          <m:t>λ,</m:t>
        </m:r>
      </m:oMath>
      <w:r w:rsidRPr="00270693">
        <w:rPr>
          <w:rFonts w:cs="Times New Roman"/>
        </w:rPr>
        <w:t xml:space="preserve"> following the formula derived above as </w:t>
      </w:r>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B</m:t>
                </m:r>
              </m:num>
              <m:den>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j</m:t>
                    </m:r>
                  </m:sup>
                </m:sSup>
              </m:den>
            </m:f>
          </m:e>
        </m:rad>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100</m:t>
                </m:r>
              </m:num>
              <m:den>
                <m:r>
                  <w:rPr>
                    <w:rFonts w:ascii="Cambria Math" w:hAnsi="Cambria Math" w:cs="Times New Roman"/>
                  </w:rPr>
                  <m:t>34</m:t>
                </m:r>
              </m:den>
            </m:f>
            <m:r>
              <w:rPr>
                <w:rFonts w:ascii="Cambria Math" w:hAnsi="Cambria Math" w:cs="Times New Roman"/>
              </w:rPr>
              <m:t xml:space="preserve"> </m:t>
            </m:r>
          </m:e>
        </m:rad>
      </m:oMath>
      <w:r w:rsidRPr="00270693">
        <w:rPr>
          <w:rFonts w:cs="Times New Roman"/>
        </w:rPr>
        <w:t xml:space="preserve">=1.7, which when scaled up implies that they placed 8.5 votes on the metro and 5 votes on redistribution.  We would repeat the same procedure for </w:t>
      </w:r>
      <w:proofErr w:type="gramStart"/>
      <w:r w:rsidRPr="00270693">
        <w:rPr>
          <w:rFonts w:cs="Times New Roman"/>
        </w:rPr>
        <w:t>each individual</w:t>
      </w:r>
      <w:proofErr w:type="gramEnd"/>
      <w:r w:rsidRPr="00270693">
        <w:rPr>
          <w:rFonts w:cs="Times New Roman"/>
        </w:rPr>
        <w:t xml:space="preserve"> in the sample and then be able to make statements about the relative choice between transit and redistribution. </w:t>
      </w:r>
    </w:p>
    <w:p w14:paraId="5FC02916" w14:textId="12578A31" w:rsidR="00E475DD" w:rsidRPr="00270693" w:rsidRDefault="00E475DD" w:rsidP="00E475DD">
      <w:pPr>
        <w:spacing w:line="480" w:lineRule="auto"/>
        <w:ind w:firstLine="720"/>
        <w:rPr>
          <w:rFonts w:cs="Times New Roman"/>
        </w:rPr>
      </w:pPr>
      <w:r w:rsidRPr="00270693">
        <w:rPr>
          <w:rFonts w:cs="Times New Roman"/>
        </w:rPr>
        <w:t xml:space="preserve">There will be different views on which comparisons represent the best model of politics.  Surveys using Likert long assumed that there were no trade-offs on the table.  Much theorizing remains to be done on how to best conceptualize the meaningful relative comparisons under QV.  </w:t>
      </w:r>
      <w:r w:rsidRPr="00270693">
        <w:rPr>
          <w:rFonts w:cs="Times New Roman"/>
        </w:rPr>
        <w:lastRenderedPageBreak/>
        <w:t xml:space="preserve">But this scaling approach suggests a tractable way </w:t>
      </w:r>
      <w:r w:rsidR="009255CE">
        <w:rPr>
          <w:rFonts w:cs="Times New Roman"/>
        </w:rPr>
        <w:t xml:space="preserve">to examine the way that different issues are linked across the presented choice set.  </w:t>
      </w:r>
    </w:p>
    <w:p w14:paraId="69F5158B" w14:textId="655F92D5" w:rsidR="00E475DD" w:rsidRPr="00270693" w:rsidRDefault="00E475DD" w:rsidP="00E475DD">
      <w:pPr>
        <w:spacing w:line="480" w:lineRule="auto"/>
        <w:rPr>
          <w:rFonts w:cs="Times New Roman"/>
        </w:rPr>
      </w:pPr>
      <w:r w:rsidRPr="00270693">
        <w:rPr>
          <w:rFonts w:cs="Times New Roman"/>
          <w:b/>
        </w:rPr>
        <w:tab/>
      </w:r>
      <w:r w:rsidRPr="00270693">
        <w:rPr>
          <w:rFonts w:cs="Times New Roman"/>
        </w:rPr>
        <w:t>Applied to this paper, I removed the redistributive issues from the choice set.  These included three questions on poverty relief, taxes on the rich, and health and education expenditures.  Table A.5 shows the results from removing each of these issues on support for the metro.  Model</w:t>
      </w:r>
      <w:r w:rsidR="004E2379">
        <w:rPr>
          <w:rFonts w:cs="Times New Roman"/>
        </w:rPr>
        <w:t xml:space="preserve"> </w:t>
      </w:r>
      <w:r w:rsidRPr="00270693">
        <w:rPr>
          <w:rFonts w:cs="Times New Roman"/>
        </w:rPr>
        <w:t xml:space="preserve">1 replicates the core model used in the paper prior to removing any issues.  Models 2 through 4 remove each issue individually, and Model 5 shows the results to removing the trio of redistributive issues.  The most interesting fact is that class differences on the metro </w:t>
      </w:r>
      <w:proofErr w:type="gramStart"/>
      <w:r w:rsidRPr="00270693">
        <w:rPr>
          <w:rFonts w:cs="Times New Roman"/>
        </w:rPr>
        <w:t>actually are</w:t>
      </w:r>
      <w:proofErr w:type="gramEnd"/>
      <w:r w:rsidRPr="00270693">
        <w:rPr>
          <w:rFonts w:cs="Times New Roman"/>
        </w:rPr>
        <w:t xml:space="preserve"> strengthened by the removal of redistributive issues.  It therefore does not seem like class cleavages around the metro are simply the byproduct of low-income voters prioritizing redistributive issues.  </w:t>
      </w:r>
    </w:p>
    <w:p w14:paraId="1F2D5651" w14:textId="77777777" w:rsidR="005B2138" w:rsidRDefault="005B2138" w:rsidP="005B2138">
      <w:pPr>
        <w:spacing w:line="480" w:lineRule="auto"/>
        <w:ind w:firstLine="720"/>
        <w:rPr>
          <w:rFonts w:cs="Times New Roman"/>
        </w:rPr>
      </w:pPr>
      <w:r>
        <w:rPr>
          <w:rFonts w:cs="Times New Roman"/>
        </w:rPr>
        <w:t xml:space="preserve">Table A.6 considers whether class cleavages on other issues drive the metro results.  Model 1 through 3 disaggregate the redistributive issues bundled together in the paper into their component parts.  Class doesn’t predict the votes places on any of the redistributive issues, so can’t induce the divisions around the metro project under QV.  Models 4 and 5 show the two issues on which class differences emerge on the QV survey, street vending and corruption.  In both cases, upper-class groups put more votes on the issue than lower-class respondents.  Models 6 and 7 use the sensitivity analysis to remove street vending and corruption from the choice set and reweight the votes placed on the metro.  The dependent variable then is the reweighted votes on the metro.  Removing these issues from the choice set and reweighting the data strengthens the class differences on the metro.  It therefore doesn’t seem like class differences on other issues included on the choice set are driving the metro results.  </w:t>
      </w:r>
    </w:p>
    <w:p w14:paraId="29551C8C" w14:textId="77777777" w:rsidR="005B2138" w:rsidRPr="00144E88" w:rsidRDefault="005B2138" w:rsidP="005B2138">
      <w:pPr>
        <w:pStyle w:val="Caption"/>
        <w:keepNext/>
        <w:rPr>
          <w:color w:val="000000" w:themeColor="text1"/>
          <w:sz w:val="24"/>
          <w:szCs w:val="24"/>
        </w:rPr>
      </w:pPr>
      <w:r w:rsidRPr="00AE5E27">
        <w:rPr>
          <w:color w:val="000000" w:themeColor="text1"/>
          <w:sz w:val="24"/>
          <w:szCs w:val="24"/>
        </w:rPr>
        <w:lastRenderedPageBreak/>
        <w:t>Table A</w:t>
      </w:r>
      <w:r>
        <w:rPr>
          <w:color w:val="000000" w:themeColor="text1"/>
          <w:sz w:val="24"/>
          <w:szCs w:val="24"/>
        </w:rPr>
        <w:t>6</w:t>
      </w:r>
      <w:r w:rsidRPr="00AE5E27">
        <w:rPr>
          <w:color w:val="000000" w:themeColor="text1"/>
          <w:sz w:val="24"/>
          <w:szCs w:val="24"/>
        </w:rPr>
        <w:t xml:space="preserve">. </w:t>
      </w:r>
      <w:r>
        <w:rPr>
          <w:b w:val="0"/>
          <w:bCs w:val="0"/>
          <w:color w:val="000000" w:themeColor="text1"/>
          <w:sz w:val="24"/>
          <w:szCs w:val="24"/>
        </w:rPr>
        <w:t xml:space="preserve">Class Differences on Other Issues in the Choice Set </w:t>
      </w:r>
      <w:r w:rsidRPr="00AE5E27">
        <w:rPr>
          <w:color w:val="000000" w:themeColor="text1"/>
          <w:sz w:val="24"/>
          <w:szCs w:val="24"/>
        </w:rPr>
        <w:t xml:space="preserve"> </w:t>
      </w:r>
    </w:p>
    <w:p w14:paraId="4134E666" w14:textId="3D72A1F9" w:rsidR="005B2138" w:rsidRDefault="00A6338A" w:rsidP="005B2138">
      <w:pPr>
        <w:spacing w:line="480" w:lineRule="auto"/>
        <w:rPr>
          <w:rFonts w:cs="Times New Roman"/>
        </w:rPr>
      </w:pPr>
      <w:r w:rsidRPr="00A6338A">
        <w:rPr>
          <w:rFonts w:cs="Times New Roman"/>
          <w:noProof/>
        </w:rPr>
        <w:drawing>
          <wp:inline distT="0" distB="0" distL="0" distR="0" wp14:anchorId="71BCAAE4" wp14:editId="2CE08D1C">
            <wp:extent cx="5943600" cy="368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83000"/>
                    </a:xfrm>
                    <a:prstGeom prst="rect">
                      <a:avLst/>
                    </a:prstGeom>
                  </pic:spPr>
                </pic:pic>
              </a:graphicData>
            </a:graphic>
          </wp:inline>
        </w:drawing>
      </w:r>
    </w:p>
    <w:p w14:paraId="2577B218" w14:textId="77777777" w:rsidR="005B2138" w:rsidRDefault="005B2138" w:rsidP="005B2138">
      <w:pPr>
        <w:rPr>
          <w:rFonts w:cs="Times New Roman"/>
        </w:rPr>
      </w:pPr>
      <w:r>
        <w:rPr>
          <w:rFonts w:cs="Times New Roman"/>
        </w:rPr>
        <w:t>Notes: OLS regressions, s</w:t>
      </w:r>
      <w:r w:rsidRPr="00270693">
        <w:rPr>
          <w:rFonts w:cs="Times New Roman"/>
        </w:rPr>
        <w:t xml:space="preserve">tandard errors are included in parentheses, * indicates significance at the 95 percent level.  </w:t>
      </w:r>
    </w:p>
    <w:p w14:paraId="199CA6C2" w14:textId="290F3531" w:rsidR="00E475DD" w:rsidRDefault="00E475DD" w:rsidP="00E475DD">
      <w:pPr>
        <w:rPr>
          <w:rFonts w:cs="Times New Roman"/>
          <w:b/>
        </w:rPr>
      </w:pPr>
    </w:p>
    <w:p w14:paraId="477850B2" w14:textId="77777777" w:rsidR="003B28DC" w:rsidRPr="00270693" w:rsidRDefault="003B28DC" w:rsidP="00E475DD">
      <w:pPr>
        <w:rPr>
          <w:rFonts w:cs="Times New Roman"/>
          <w:b/>
        </w:rPr>
      </w:pPr>
    </w:p>
    <w:p w14:paraId="29B6275C" w14:textId="77777777" w:rsidR="00E475DD" w:rsidRPr="00270693" w:rsidRDefault="00E475DD" w:rsidP="00E475DD">
      <w:pPr>
        <w:jc w:val="right"/>
        <w:rPr>
          <w:rFonts w:cs="Times New Roman"/>
        </w:rPr>
      </w:pPr>
    </w:p>
    <w:p w14:paraId="319A6D2B" w14:textId="27C88B81" w:rsidR="00270693" w:rsidRPr="00157B41" w:rsidRDefault="00157B41">
      <w:pPr>
        <w:rPr>
          <w:b/>
        </w:rPr>
      </w:pPr>
      <w:r w:rsidRPr="00157B41">
        <w:rPr>
          <w:b/>
        </w:rPr>
        <w:t>References</w:t>
      </w:r>
    </w:p>
    <w:p w14:paraId="3D05C69A" w14:textId="21A0DF02" w:rsidR="00157B41" w:rsidRDefault="00157B41">
      <w:pPr>
        <w:rPr>
          <w:b/>
        </w:rPr>
      </w:pPr>
    </w:p>
    <w:p w14:paraId="59934455" w14:textId="20254001" w:rsidR="00157B41" w:rsidRPr="004E2379" w:rsidRDefault="00157B41" w:rsidP="00157B41">
      <w:pPr>
        <w:widowControl w:val="0"/>
        <w:autoSpaceDE w:val="0"/>
        <w:autoSpaceDN w:val="0"/>
        <w:adjustRightInd w:val="0"/>
        <w:ind w:left="480" w:hanging="480"/>
        <w:rPr>
          <w:rFonts w:cs="Times New Roman"/>
          <w:noProof/>
        </w:rPr>
      </w:pPr>
      <w:r>
        <w:rPr>
          <w:b/>
        </w:rPr>
        <w:fldChar w:fldCharType="begin" w:fldLock="1"/>
      </w:r>
      <w:r>
        <w:rPr>
          <w:b/>
        </w:rPr>
        <w:instrText xml:space="preserve">ADDIN Mendeley Bibliography CSL_BIBLIOGRAPHY </w:instrText>
      </w:r>
      <w:r>
        <w:rPr>
          <w:b/>
        </w:rPr>
        <w:fldChar w:fldCharType="separate"/>
      </w:r>
      <w:r w:rsidRPr="00157B41">
        <w:rPr>
          <w:rFonts w:cs="Times New Roman"/>
          <w:noProof/>
        </w:rPr>
        <w:t>Altamirano</w:t>
      </w:r>
      <w:r w:rsidR="004E2379">
        <w:rPr>
          <w:rFonts w:cs="Times New Roman"/>
          <w:noProof/>
        </w:rPr>
        <w:t xml:space="preserve"> </w:t>
      </w:r>
      <w:r w:rsidRPr="00157B41">
        <w:rPr>
          <w:rFonts w:cs="Times New Roman"/>
          <w:noProof/>
        </w:rPr>
        <w:t>M,</w:t>
      </w:r>
      <w:r w:rsidR="004E2379">
        <w:rPr>
          <w:rFonts w:cs="Times New Roman"/>
          <w:noProof/>
        </w:rPr>
        <w:t xml:space="preserve"> </w:t>
      </w:r>
      <w:r w:rsidRPr="00157B41">
        <w:rPr>
          <w:rFonts w:cs="Times New Roman"/>
          <w:noProof/>
        </w:rPr>
        <w:t>Berens</w:t>
      </w:r>
      <w:r w:rsidR="004E2379">
        <w:rPr>
          <w:rFonts w:cs="Times New Roman"/>
          <w:noProof/>
        </w:rPr>
        <w:t xml:space="preserve"> S</w:t>
      </w:r>
      <w:r w:rsidRPr="00157B41">
        <w:rPr>
          <w:rFonts w:cs="Times New Roman"/>
          <w:noProof/>
        </w:rPr>
        <w:t>, and Ley</w:t>
      </w:r>
      <w:r w:rsidR="004E2379">
        <w:rPr>
          <w:rFonts w:cs="Times New Roman"/>
          <w:noProof/>
        </w:rPr>
        <w:t xml:space="preserve"> S (</w:t>
      </w:r>
      <w:r w:rsidRPr="00157B41">
        <w:rPr>
          <w:rFonts w:cs="Times New Roman"/>
          <w:noProof/>
        </w:rPr>
        <w:t>2020</w:t>
      </w:r>
      <w:r w:rsidR="004E2379">
        <w:rPr>
          <w:rFonts w:cs="Times New Roman"/>
          <w:noProof/>
        </w:rPr>
        <w:t xml:space="preserve">) </w:t>
      </w:r>
      <w:r w:rsidRPr="00157B41">
        <w:rPr>
          <w:rFonts w:cs="Times New Roman"/>
          <w:noProof/>
        </w:rPr>
        <w:t xml:space="preserve">Between Security and Social Policy Spending. </w:t>
      </w:r>
      <w:r w:rsidRPr="00865D0A">
        <w:rPr>
          <w:rFonts w:cs="Times New Roman"/>
          <w:noProof/>
        </w:rPr>
        <w:t>Working Paper</w:t>
      </w:r>
      <w:r w:rsidRPr="004E2379">
        <w:rPr>
          <w:rFonts w:cs="Times New Roman"/>
          <w:noProof/>
        </w:rPr>
        <w:t>.</w:t>
      </w:r>
    </w:p>
    <w:p w14:paraId="01B14D32" w14:textId="6E0CDB29" w:rsidR="00157B41" w:rsidRPr="00157B41" w:rsidRDefault="00157B41" w:rsidP="00157B41">
      <w:pPr>
        <w:widowControl w:val="0"/>
        <w:autoSpaceDE w:val="0"/>
        <w:autoSpaceDN w:val="0"/>
        <w:adjustRightInd w:val="0"/>
        <w:ind w:left="480" w:hanging="480"/>
        <w:rPr>
          <w:rFonts w:cs="Times New Roman"/>
          <w:noProof/>
        </w:rPr>
      </w:pPr>
      <w:r w:rsidRPr="004E2379">
        <w:rPr>
          <w:rFonts w:cs="Times New Roman"/>
          <w:noProof/>
        </w:rPr>
        <w:t>Bansak</w:t>
      </w:r>
      <w:r w:rsidR="004E2379">
        <w:rPr>
          <w:rFonts w:cs="Times New Roman"/>
          <w:noProof/>
        </w:rPr>
        <w:t xml:space="preserve"> K</w:t>
      </w:r>
      <w:r w:rsidRPr="00157B41">
        <w:rPr>
          <w:rFonts w:cs="Times New Roman"/>
          <w:noProof/>
        </w:rPr>
        <w:t>, Hainmueller</w:t>
      </w:r>
      <w:r w:rsidR="004E2379">
        <w:rPr>
          <w:rFonts w:cs="Times New Roman"/>
          <w:noProof/>
        </w:rPr>
        <w:t xml:space="preserve"> J</w:t>
      </w:r>
      <w:r w:rsidRPr="00157B41">
        <w:rPr>
          <w:rFonts w:cs="Times New Roman"/>
          <w:noProof/>
        </w:rPr>
        <w:t>, Hopkins</w:t>
      </w:r>
      <w:r w:rsidR="004E2379">
        <w:rPr>
          <w:rFonts w:cs="Times New Roman"/>
          <w:noProof/>
        </w:rPr>
        <w:t xml:space="preserve"> DJ</w:t>
      </w:r>
      <w:r w:rsidRPr="00157B41">
        <w:rPr>
          <w:rFonts w:cs="Times New Roman"/>
          <w:noProof/>
        </w:rPr>
        <w:t>, and Yamamoto</w:t>
      </w:r>
      <w:r w:rsidR="004E2379">
        <w:rPr>
          <w:rFonts w:cs="Times New Roman"/>
          <w:noProof/>
        </w:rPr>
        <w:t xml:space="preserve"> T (</w:t>
      </w:r>
      <w:r w:rsidRPr="00157B41">
        <w:rPr>
          <w:rFonts w:cs="Times New Roman"/>
          <w:noProof/>
        </w:rPr>
        <w:t>201</w:t>
      </w:r>
      <w:r w:rsidR="004E2379">
        <w:rPr>
          <w:rFonts w:cs="Times New Roman"/>
          <w:noProof/>
        </w:rPr>
        <w:t>)</w:t>
      </w:r>
      <w:r w:rsidRPr="00157B41">
        <w:rPr>
          <w:rFonts w:cs="Times New Roman"/>
          <w:noProof/>
        </w:rPr>
        <w:t xml:space="preserve"> The Number of Choice Tasks and Survey Satisficing in Conjoint Experiments. </w:t>
      </w:r>
      <w:r w:rsidRPr="00865D0A">
        <w:rPr>
          <w:rFonts w:cs="Times New Roman"/>
          <w:noProof/>
        </w:rPr>
        <w:t>Political Analysis</w:t>
      </w:r>
      <w:r w:rsidRPr="004E2379">
        <w:rPr>
          <w:rFonts w:cs="Times New Roman"/>
          <w:noProof/>
        </w:rPr>
        <w:t xml:space="preserve"> </w:t>
      </w:r>
      <w:r w:rsidRPr="00157B41">
        <w:rPr>
          <w:rFonts w:cs="Times New Roman"/>
          <w:noProof/>
        </w:rPr>
        <w:t>26(1)</w:t>
      </w:r>
      <w:r w:rsidR="00284B4D">
        <w:rPr>
          <w:rFonts w:cs="Times New Roman"/>
          <w:noProof/>
        </w:rPr>
        <w:t>,</w:t>
      </w:r>
      <w:r w:rsidRPr="00157B41">
        <w:rPr>
          <w:rFonts w:cs="Times New Roman"/>
          <w:noProof/>
        </w:rPr>
        <w:t xml:space="preserve"> 112–19. </w:t>
      </w:r>
    </w:p>
    <w:p w14:paraId="09EB2240" w14:textId="250F8DA0" w:rsidR="00157B41" w:rsidRPr="00157B41" w:rsidRDefault="00157B41" w:rsidP="00157B41">
      <w:pPr>
        <w:widowControl w:val="0"/>
        <w:autoSpaceDE w:val="0"/>
        <w:autoSpaceDN w:val="0"/>
        <w:adjustRightInd w:val="0"/>
        <w:ind w:left="480" w:hanging="480"/>
        <w:rPr>
          <w:rFonts w:cs="Times New Roman"/>
          <w:noProof/>
        </w:rPr>
      </w:pPr>
      <w:r w:rsidRPr="00157B41">
        <w:rPr>
          <w:rFonts w:cs="Times New Roman"/>
          <w:noProof/>
        </w:rPr>
        <w:t>Cavaillé</w:t>
      </w:r>
      <w:r w:rsidR="00284B4D">
        <w:rPr>
          <w:rFonts w:cs="Times New Roman"/>
          <w:noProof/>
        </w:rPr>
        <w:t xml:space="preserve"> C</w:t>
      </w:r>
      <w:r w:rsidRPr="00157B41">
        <w:rPr>
          <w:rFonts w:cs="Times New Roman"/>
          <w:noProof/>
        </w:rPr>
        <w:t>, Chen</w:t>
      </w:r>
      <w:r w:rsidR="00284B4D">
        <w:rPr>
          <w:rFonts w:cs="Times New Roman"/>
          <w:noProof/>
        </w:rPr>
        <w:t xml:space="preserve"> DL</w:t>
      </w:r>
      <w:r w:rsidRPr="00157B41">
        <w:rPr>
          <w:rFonts w:cs="Times New Roman"/>
          <w:noProof/>
        </w:rPr>
        <w:t>, and Van der Straeten</w:t>
      </w:r>
      <w:r w:rsidR="00284B4D">
        <w:rPr>
          <w:rFonts w:cs="Times New Roman"/>
          <w:noProof/>
        </w:rPr>
        <w:t xml:space="preserve"> K (</w:t>
      </w:r>
      <w:r w:rsidRPr="00157B41">
        <w:rPr>
          <w:rFonts w:cs="Times New Roman"/>
          <w:noProof/>
        </w:rPr>
        <w:t>2019</w:t>
      </w:r>
      <w:r w:rsidR="00284B4D">
        <w:rPr>
          <w:rFonts w:cs="Times New Roman"/>
          <w:noProof/>
        </w:rPr>
        <w:t xml:space="preserve">) </w:t>
      </w:r>
      <w:r w:rsidRPr="00157B41">
        <w:rPr>
          <w:rFonts w:cs="Times New Roman"/>
          <w:noProof/>
        </w:rPr>
        <w:t xml:space="preserve">A Decision Theoretic Approach to Understanding Survey Response: Likert vs. Quadratic Voting for Attitudinal Research. </w:t>
      </w:r>
      <w:r w:rsidRPr="00865D0A">
        <w:rPr>
          <w:rFonts w:cs="Times New Roman"/>
          <w:noProof/>
        </w:rPr>
        <w:t>The University of Chicago Law Review</w:t>
      </w:r>
      <w:r w:rsidRPr="00284B4D">
        <w:rPr>
          <w:rFonts w:cs="Times New Roman"/>
          <w:noProof/>
        </w:rPr>
        <w:t xml:space="preserve"> </w:t>
      </w:r>
      <w:r w:rsidRPr="00157B41">
        <w:rPr>
          <w:rFonts w:cs="Times New Roman"/>
          <w:noProof/>
        </w:rPr>
        <w:t>87</w:t>
      </w:r>
      <w:r w:rsidR="00284B4D">
        <w:rPr>
          <w:rFonts w:cs="Times New Roman"/>
          <w:noProof/>
        </w:rPr>
        <w:t>,</w:t>
      </w:r>
      <w:r w:rsidRPr="00157B41">
        <w:rPr>
          <w:rFonts w:cs="Times New Roman"/>
          <w:noProof/>
        </w:rPr>
        <w:t xml:space="preserve"> 22–43.</w:t>
      </w:r>
    </w:p>
    <w:p w14:paraId="1C8DB5BD" w14:textId="4B2022C6" w:rsidR="00157B41" w:rsidRPr="00157B41" w:rsidRDefault="00157B41" w:rsidP="00157B41">
      <w:pPr>
        <w:widowControl w:val="0"/>
        <w:autoSpaceDE w:val="0"/>
        <w:autoSpaceDN w:val="0"/>
        <w:adjustRightInd w:val="0"/>
        <w:ind w:left="480" w:hanging="480"/>
        <w:rPr>
          <w:rFonts w:cs="Times New Roman"/>
          <w:noProof/>
        </w:rPr>
      </w:pPr>
      <w:r w:rsidRPr="00157B41">
        <w:rPr>
          <w:rFonts w:cs="Times New Roman"/>
          <w:noProof/>
        </w:rPr>
        <w:t>Gonzalez-Navarro</w:t>
      </w:r>
      <w:r w:rsidR="00284B4D">
        <w:rPr>
          <w:rFonts w:cs="Times New Roman"/>
          <w:noProof/>
        </w:rPr>
        <w:t xml:space="preserve"> M and </w:t>
      </w:r>
      <w:r w:rsidRPr="00157B41">
        <w:rPr>
          <w:rFonts w:cs="Times New Roman"/>
          <w:noProof/>
        </w:rPr>
        <w:t>Turner</w:t>
      </w:r>
      <w:r w:rsidR="00284B4D">
        <w:rPr>
          <w:rFonts w:cs="Times New Roman"/>
          <w:noProof/>
        </w:rPr>
        <w:t xml:space="preserve"> MA (</w:t>
      </w:r>
      <w:r w:rsidRPr="00157B41">
        <w:rPr>
          <w:rFonts w:cs="Times New Roman"/>
          <w:noProof/>
        </w:rPr>
        <w:t>2016</w:t>
      </w:r>
      <w:r w:rsidR="00284B4D">
        <w:rPr>
          <w:rFonts w:cs="Times New Roman"/>
          <w:noProof/>
        </w:rPr>
        <w:t>)</w:t>
      </w:r>
      <w:r w:rsidRPr="00157B41">
        <w:rPr>
          <w:rFonts w:cs="Times New Roman"/>
          <w:noProof/>
        </w:rPr>
        <w:t xml:space="preserve"> Subways and Urban Growth: Evidence from Earth. </w:t>
      </w:r>
      <w:r w:rsidRPr="00865D0A">
        <w:rPr>
          <w:rFonts w:cs="Times New Roman"/>
          <w:noProof/>
        </w:rPr>
        <w:t>Working Paper</w:t>
      </w:r>
      <w:r w:rsidRPr="00284B4D">
        <w:rPr>
          <w:rFonts w:cs="Times New Roman"/>
          <w:noProof/>
        </w:rPr>
        <w:t>.</w:t>
      </w:r>
    </w:p>
    <w:p w14:paraId="0381DEE2" w14:textId="56888157" w:rsidR="00157B41" w:rsidRPr="00157B41" w:rsidRDefault="00157B41" w:rsidP="00157B41">
      <w:pPr>
        <w:widowControl w:val="0"/>
        <w:autoSpaceDE w:val="0"/>
        <w:autoSpaceDN w:val="0"/>
        <w:adjustRightInd w:val="0"/>
        <w:ind w:left="480" w:hanging="480"/>
        <w:rPr>
          <w:noProof/>
        </w:rPr>
      </w:pPr>
      <w:r w:rsidRPr="00157B41">
        <w:rPr>
          <w:rFonts w:cs="Times New Roman"/>
          <w:noProof/>
        </w:rPr>
        <w:t xml:space="preserve">Lalley </w:t>
      </w:r>
      <w:r w:rsidR="00284B4D">
        <w:rPr>
          <w:rFonts w:cs="Times New Roman"/>
          <w:noProof/>
        </w:rPr>
        <w:t>SP and</w:t>
      </w:r>
      <w:r w:rsidRPr="00157B41">
        <w:rPr>
          <w:rFonts w:cs="Times New Roman"/>
          <w:noProof/>
        </w:rPr>
        <w:t xml:space="preserve"> Weyl</w:t>
      </w:r>
      <w:r w:rsidR="00284B4D">
        <w:rPr>
          <w:rFonts w:cs="Times New Roman"/>
          <w:noProof/>
        </w:rPr>
        <w:t xml:space="preserve"> EG (</w:t>
      </w:r>
      <w:r w:rsidRPr="00157B41">
        <w:rPr>
          <w:rFonts w:cs="Times New Roman"/>
          <w:noProof/>
        </w:rPr>
        <w:t>2018</w:t>
      </w:r>
      <w:r w:rsidR="00284B4D">
        <w:rPr>
          <w:rFonts w:cs="Times New Roman"/>
          <w:noProof/>
        </w:rPr>
        <w:t xml:space="preserve">) </w:t>
      </w:r>
      <w:r w:rsidRPr="00157B41">
        <w:rPr>
          <w:rFonts w:cs="Times New Roman"/>
          <w:noProof/>
        </w:rPr>
        <w:t xml:space="preserve">Quadratic Voting: How Mechanism Design Can Radicalize Democracy. </w:t>
      </w:r>
      <w:r w:rsidRPr="00865D0A">
        <w:rPr>
          <w:rFonts w:cs="Times New Roman"/>
          <w:noProof/>
        </w:rPr>
        <w:t>American Economic Association Papers and Proceedings</w:t>
      </w:r>
      <w:r w:rsidRPr="00284B4D">
        <w:rPr>
          <w:rFonts w:cs="Times New Roman"/>
          <w:noProof/>
        </w:rPr>
        <w:t xml:space="preserve"> </w:t>
      </w:r>
      <w:r w:rsidRPr="00157B41">
        <w:rPr>
          <w:rFonts w:cs="Times New Roman"/>
          <w:noProof/>
        </w:rPr>
        <w:t>108</w:t>
      </w:r>
      <w:r w:rsidR="00284B4D">
        <w:rPr>
          <w:rFonts w:cs="Times New Roman"/>
          <w:noProof/>
        </w:rPr>
        <w:t xml:space="preserve">, </w:t>
      </w:r>
      <w:r w:rsidRPr="00157B41">
        <w:rPr>
          <w:rFonts w:cs="Times New Roman"/>
          <w:noProof/>
        </w:rPr>
        <w:t>33–37.</w:t>
      </w:r>
    </w:p>
    <w:p w14:paraId="33981A22" w14:textId="2850366B" w:rsidR="00157B41" w:rsidRPr="00270693" w:rsidRDefault="00157B41">
      <w:pPr>
        <w:rPr>
          <w:b/>
        </w:rPr>
      </w:pPr>
      <w:r>
        <w:rPr>
          <w:b/>
        </w:rPr>
        <w:fldChar w:fldCharType="end"/>
      </w:r>
    </w:p>
    <w:sectPr w:rsidR="00157B41" w:rsidRPr="00270693" w:rsidSect="00407A73">
      <w:footerReference w:type="even"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7909D" w14:textId="77777777" w:rsidR="003460A8" w:rsidRDefault="003460A8" w:rsidP="00270693">
      <w:r>
        <w:separator/>
      </w:r>
    </w:p>
  </w:endnote>
  <w:endnote w:type="continuationSeparator" w:id="0">
    <w:p w14:paraId="3A0E6062" w14:textId="77777777" w:rsidR="003460A8" w:rsidRDefault="003460A8" w:rsidP="0027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5443" w14:textId="77777777" w:rsidR="00407A73" w:rsidRDefault="00407A73" w:rsidP="00407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1D4D48" w14:textId="77777777" w:rsidR="00407A73" w:rsidRDefault="00407A73" w:rsidP="00407A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D03F" w14:textId="77777777" w:rsidR="00407A73" w:rsidRDefault="00407A73" w:rsidP="00407A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2B5">
      <w:rPr>
        <w:rStyle w:val="PageNumber"/>
        <w:noProof/>
      </w:rPr>
      <w:t>4</w:t>
    </w:r>
    <w:r>
      <w:rPr>
        <w:rStyle w:val="PageNumber"/>
      </w:rPr>
      <w:fldChar w:fldCharType="end"/>
    </w:r>
  </w:p>
  <w:p w14:paraId="7109BBB4" w14:textId="77777777" w:rsidR="00407A73" w:rsidRDefault="00407A73" w:rsidP="00407A7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F923" w14:textId="77777777" w:rsidR="003460A8" w:rsidRDefault="003460A8" w:rsidP="00270693">
      <w:r>
        <w:separator/>
      </w:r>
    </w:p>
  </w:footnote>
  <w:footnote w:type="continuationSeparator" w:id="0">
    <w:p w14:paraId="2AF7A744" w14:textId="77777777" w:rsidR="003460A8" w:rsidRDefault="003460A8" w:rsidP="00270693">
      <w:r>
        <w:continuationSeparator/>
      </w:r>
    </w:p>
  </w:footnote>
  <w:footnote w:id="1">
    <w:p w14:paraId="4994FA30" w14:textId="34EC6790" w:rsidR="003639D4" w:rsidRDefault="003639D4" w:rsidP="00E927B5">
      <w:pPr>
        <w:pStyle w:val="FootnoteText"/>
        <w:spacing w:line="480" w:lineRule="auto"/>
      </w:pPr>
      <w:r>
        <w:rPr>
          <w:rStyle w:val="FootnoteReference"/>
        </w:rPr>
        <w:footnoteRef/>
      </w:r>
      <w:r>
        <w:t xml:space="preserve"> The subway database that I constructed is available </w:t>
      </w:r>
      <w:r w:rsidR="00E927B5">
        <w:t>through the article’s</w:t>
      </w:r>
      <w:r>
        <w:t xml:space="preserve"> </w:t>
      </w:r>
      <w:proofErr w:type="spellStart"/>
      <w:r>
        <w:t>Dataverse</w:t>
      </w:r>
      <w:proofErr w:type="spellEnd"/>
      <w:r>
        <w:t>, GlobalSubways.csv.</w:t>
      </w:r>
    </w:p>
  </w:footnote>
  <w:footnote w:id="2">
    <w:p w14:paraId="4D6A68E6" w14:textId="77777777" w:rsidR="00EF04E4" w:rsidRPr="003B1347" w:rsidRDefault="00EF04E4" w:rsidP="00EF04E4">
      <w:pPr>
        <w:pStyle w:val="FootnoteText"/>
        <w:spacing w:line="480" w:lineRule="auto"/>
      </w:pPr>
      <w:r w:rsidRPr="003B1347">
        <w:rPr>
          <w:rStyle w:val="FootnoteReference"/>
        </w:rPr>
        <w:footnoteRef/>
      </w:r>
      <w:r w:rsidRPr="003B1347">
        <w:t xml:space="preserve"> Available at </w:t>
      </w:r>
      <w:r w:rsidRPr="003B1347">
        <w:rPr>
          <w:rFonts w:cs="Times New Roman"/>
        </w:rPr>
        <w:t>https://unstats.un.org/unsd/demographic/products/dyb/dyb2015.htm</w:t>
      </w:r>
    </w:p>
  </w:footnote>
  <w:footnote w:id="3">
    <w:p w14:paraId="06472DEE" w14:textId="77777777" w:rsidR="00EF04E4" w:rsidRDefault="00EF04E4" w:rsidP="00EF04E4">
      <w:pPr>
        <w:pStyle w:val="FootnoteText"/>
        <w:spacing w:line="480" w:lineRule="auto"/>
      </w:pPr>
      <w:r w:rsidRPr="003B1347">
        <w:rPr>
          <w:rStyle w:val="FootnoteReference"/>
        </w:rPr>
        <w:footnoteRef/>
      </w:r>
      <w:r w:rsidRPr="003B1347">
        <w:t xml:space="preserve"> Available at https://stats.oecd.org/Index.aspx?DataSetCode=CITIES</w:t>
      </w:r>
    </w:p>
  </w:footnote>
  <w:footnote w:id="4">
    <w:p w14:paraId="531C6CAC" w14:textId="46141F62" w:rsidR="00EF04E4" w:rsidRPr="00D73670" w:rsidRDefault="00EF04E4" w:rsidP="00EF04E4">
      <w:pPr>
        <w:spacing w:line="480" w:lineRule="auto"/>
        <w:rPr>
          <w:rFonts w:eastAsia="Times New Roman" w:cs="Times New Roman"/>
        </w:rPr>
      </w:pPr>
      <w:r w:rsidRPr="00D73670">
        <w:rPr>
          <w:rStyle w:val="FootnoteReference"/>
        </w:rPr>
        <w:footnoteRef/>
      </w:r>
      <w:r w:rsidRPr="00D73670">
        <w:t xml:space="preserve"> </w:t>
      </w:r>
      <w:r w:rsidR="00BF77C5">
        <w:t>‘</w:t>
      </w:r>
      <w:r w:rsidRPr="00D73670">
        <w:t>Developed</w:t>
      </w:r>
      <w:r w:rsidR="00BF77C5">
        <w:t>’</w:t>
      </w:r>
      <w:r w:rsidRPr="00D73670">
        <w:t xml:space="preserve"> is defined by the World Bank’s high-income threshold of a GDP per capita of $12,475 in 2015.  </w:t>
      </w:r>
      <w:r w:rsidRPr="00D73670">
        <w:rPr>
          <w:rFonts w:eastAsia="Times New Roman" w:cs="Tahoma"/>
          <w:color w:val="000000"/>
        </w:rPr>
        <w:t xml:space="preserve"> </w:t>
      </w:r>
    </w:p>
  </w:footnote>
  <w:footnote w:id="5">
    <w:p w14:paraId="02E6EE22" w14:textId="77777777" w:rsidR="00CD56E5" w:rsidRPr="00F36F40" w:rsidRDefault="00CD56E5" w:rsidP="00CD56E5">
      <w:pPr>
        <w:pStyle w:val="Style1"/>
        <w:rPr>
          <w:rFonts w:ascii="Garamond" w:eastAsia="Times New Roman" w:hAnsi="Garamond" w:cs="Times New Roman"/>
          <w:bCs/>
          <w:color w:val="333333"/>
        </w:rPr>
      </w:pPr>
      <w:r w:rsidRPr="00F36F40">
        <w:rPr>
          <w:rStyle w:val="FootnoteReference"/>
          <w:rFonts w:ascii="Garamond" w:hAnsi="Garamond"/>
        </w:rPr>
        <w:footnoteRef/>
      </w:r>
      <w:r w:rsidRPr="00F36F40">
        <w:rPr>
          <w:rFonts w:ascii="Garamond" w:hAnsi="Garamond" w:cs="Times New Roman"/>
        </w:rPr>
        <w:t xml:space="preserve"> This estimate comes from ANES, </w:t>
      </w:r>
      <w:r w:rsidRPr="00F36F40">
        <w:rPr>
          <w:rFonts w:ascii="Garamond" w:eastAsia="Times New Roman" w:hAnsi="Garamond" w:cs="Times New Roman"/>
          <w:bCs/>
          <w:color w:val="333333"/>
        </w:rPr>
        <w:t>VCF9131, 2012.</w:t>
      </w:r>
    </w:p>
  </w:footnote>
  <w:footnote w:id="6">
    <w:p w14:paraId="7010FA37" w14:textId="0D04CCD2" w:rsidR="001C36EE" w:rsidRDefault="001C36EE">
      <w:pPr>
        <w:pStyle w:val="FootnoteText"/>
      </w:pPr>
      <w:r>
        <w:rPr>
          <w:rStyle w:val="FootnoteReference"/>
        </w:rPr>
        <w:footnoteRef/>
      </w:r>
      <w:r>
        <w:t xml:space="preserve"> For a more extensive model of this property, see </w:t>
      </w:r>
      <w:r>
        <w:fldChar w:fldCharType="begin" w:fldLock="1"/>
      </w:r>
      <w:r w:rsidR="00157B41">
        <w:instrText>ADDIN CSL_CITATION {"citationItems":[{"id":"ITEM-1","itemData":{"author":[{"dropping-particle":"","family":"Cavaillé","given":"Charlotte","non-dropping-particle":"","parse-names":false,"suffix":""},{"dropping-particle":"","family":"Chen","given":"Daniel L.","non-dropping-particle":"","parse-names":false,"suffix":""},{"dropping-particle":"Van der","family":"Straeten","given":"Karine","non-dropping-particle":"","parse-names":false,"suffix":""}],"container-title":"The University of Chicago Law Review","id":"ITEM-1","issued":{"date-parts":[["2019"]]},"page":"22-43","title":"A Decision Theoretic Approach to Understanding Survey Response: Likert vs. Quadratic Voting for Attitudinal Research","type":"article-journal","volume":"87"},"uris":["http://www.mendeley.com/documents/?uuid=d75f9382-2b0e-44b6-89aa-73fbca71d859"]}],"mendeley":{"formattedCitation":"(Cavaillé, Chen, and Straeten 2019)","manualFormatting":"Cavaillé, Chen, and Straeten (2019)","plainTextFormattedCitation":"(Cavaillé, Chen, and Straeten 2019)","previouslyFormattedCitation":"(Cavaillé, Chen, and Straeten 2019)"},"properties":{"noteIndex":0},"schema":"https://github.com/citation-style-language/schema/raw/master/csl-citation.json"}</w:instrText>
      </w:r>
      <w:r>
        <w:fldChar w:fldCharType="separate"/>
      </w:r>
      <w:r w:rsidRPr="001C36EE">
        <w:rPr>
          <w:noProof/>
        </w:rPr>
        <w:t>Cavaillé</w:t>
      </w:r>
      <w:r w:rsidR="004E2379">
        <w:rPr>
          <w:noProof/>
        </w:rPr>
        <w:t xml:space="preserve"> et al. </w:t>
      </w:r>
      <w:r>
        <w:rPr>
          <w:noProof/>
        </w:rPr>
        <w:t>(</w:t>
      </w:r>
      <w:r w:rsidRPr="001C36EE">
        <w:rPr>
          <w:noProof/>
        </w:rPr>
        <w:t>2019)</w:t>
      </w:r>
      <w:r>
        <w:fldChar w:fldCharType="end"/>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42C2"/>
    <w:multiLevelType w:val="hybridMultilevel"/>
    <w:tmpl w:val="6106A00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A600B83"/>
    <w:multiLevelType w:val="hybridMultilevel"/>
    <w:tmpl w:val="6106A000"/>
    <w:lvl w:ilvl="0" w:tplc="16BC98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928918">
    <w:abstractNumId w:val="1"/>
  </w:num>
  <w:num w:numId="2" w16cid:durableId="1455445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7B3"/>
    <w:rsid w:val="00011281"/>
    <w:rsid w:val="000160A0"/>
    <w:rsid w:val="000A6D9B"/>
    <w:rsid w:val="000B12A0"/>
    <w:rsid w:val="000B21A5"/>
    <w:rsid w:val="00101C34"/>
    <w:rsid w:val="00134C6D"/>
    <w:rsid w:val="00144596"/>
    <w:rsid w:val="00144E88"/>
    <w:rsid w:val="00157B41"/>
    <w:rsid w:val="00173DD3"/>
    <w:rsid w:val="00180DFC"/>
    <w:rsid w:val="00185038"/>
    <w:rsid w:val="00194444"/>
    <w:rsid w:val="001A141D"/>
    <w:rsid w:val="001A403F"/>
    <w:rsid w:val="001C0E1C"/>
    <w:rsid w:val="001C36EE"/>
    <w:rsid w:val="001D5281"/>
    <w:rsid w:val="00251751"/>
    <w:rsid w:val="00270693"/>
    <w:rsid w:val="00282E2E"/>
    <w:rsid w:val="00284B4D"/>
    <w:rsid w:val="002B784C"/>
    <w:rsid w:val="002C15A2"/>
    <w:rsid w:val="002D1AA1"/>
    <w:rsid w:val="002D5070"/>
    <w:rsid w:val="002E7A98"/>
    <w:rsid w:val="002F358B"/>
    <w:rsid w:val="00305940"/>
    <w:rsid w:val="00314F9A"/>
    <w:rsid w:val="00315024"/>
    <w:rsid w:val="00331DB7"/>
    <w:rsid w:val="00340B8B"/>
    <w:rsid w:val="003460A8"/>
    <w:rsid w:val="003639D4"/>
    <w:rsid w:val="003B1347"/>
    <w:rsid w:val="003B28DC"/>
    <w:rsid w:val="003C57A3"/>
    <w:rsid w:val="00407A73"/>
    <w:rsid w:val="00430720"/>
    <w:rsid w:val="00432C33"/>
    <w:rsid w:val="0045641C"/>
    <w:rsid w:val="004A10EC"/>
    <w:rsid w:val="004A2E5C"/>
    <w:rsid w:val="004E2379"/>
    <w:rsid w:val="0050246E"/>
    <w:rsid w:val="005101C4"/>
    <w:rsid w:val="00552D72"/>
    <w:rsid w:val="005B2138"/>
    <w:rsid w:val="005F3D37"/>
    <w:rsid w:val="00604593"/>
    <w:rsid w:val="00635AC3"/>
    <w:rsid w:val="0066719A"/>
    <w:rsid w:val="006C6C6A"/>
    <w:rsid w:val="006E5650"/>
    <w:rsid w:val="0076278E"/>
    <w:rsid w:val="007652E4"/>
    <w:rsid w:val="00772122"/>
    <w:rsid w:val="00790728"/>
    <w:rsid w:val="007B6C1C"/>
    <w:rsid w:val="007B7926"/>
    <w:rsid w:val="007E4B79"/>
    <w:rsid w:val="0080068C"/>
    <w:rsid w:val="00844510"/>
    <w:rsid w:val="00860C51"/>
    <w:rsid w:val="00865D0A"/>
    <w:rsid w:val="008667B3"/>
    <w:rsid w:val="0087284A"/>
    <w:rsid w:val="008B3618"/>
    <w:rsid w:val="008B3AA7"/>
    <w:rsid w:val="008D72C8"/>
    <w:rsid w:val="008E0312"/>
    <w:rsid w:val="00911AAD"/>
    <w:rsid w:val="009255CE"/>
    <w:rsid w:val="009755C5"/>
    <w:rsid w:val="009E1FFD"/>
    <w:rsid w:val="00A6338A"/>
    <w:rsid w:val="00A94971"/>
    <w:rsid w:val="00AA0B7E"/>
    <w:rsid w:val="00AE5E27"/>
    <w:rsid w:val="00AE622C"/>
    <w:rsid w:val="00B07FF5"/>
    <w:rsid w:val="00B636F7"/>
    <w:rsid w:val="00BC2222"/>
    <w:rsid w:val="00BC32B5"/>
    <w:rsid w:val="00BE2F0D"/>
    <w:rsid w:val="00BF77C5"/>
    <w:rsid w:val="00C43E76"/>
    <w:rsid w:val="00C62B7B"/>
    <w:rsid w:val="00C66FBF"/>
    <w:rsid w:val="00CA349B"/>
    <w:rsid w:val="00CD56E5"/>
    <w:rsid w:val="00CE5E9D"/>
    <w:rsid w:val="00D05B51"/>
    <w:rsid w:val="00D12D17"/>
    <w:rsid w:val="00D22632"/>
    <w:rsid w:val="00D45A7D"/>
    <w:rsid w:val="00D503DC"/>
    <w:rsid w:val="00D87B12"/>
    <w:rsid w:val="00DA484E"/>
    <w:rsid w:val="00DA61EF"/>
    <w:rsid w:val="00DB5611"/>
    <w:rsid w:val="00DF6763"/>
    <w:rsid w:val="00E0505A"/>
    <w:rsid w:val="00E11D37"/>
    <w:rsid w:val="00E20D93"/>
    <w:rsid w:val="00E475DD"/>
    <w:rsid w:val="00E57F32"/>
    <w:rsid w:val="00E66BFB"/>
    <w:rsid w:val="00E927B5"/>
    <w:rsid w:val="00EC26AC"/>
    <w:rsid w:val="00EF04E4"/>
    <w:rsid w:val="00F063C9"/>
    <w:rsid w:val="00F31995"/>
    <w:rsid w:val="00F55390"/>
    <w:rsid w:val="00F72AF7"/>
    <w:rsid w:val="00FD228E"/>
    <w:rsid w:val="00FF32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846BC9"/>
  <w14:defaultImageDpi w14:val="300"/>
  <w15:docId w15:val="{CC578F7C-DCC4-6543-AAB1-1C19B14B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EastAsia" w:hAnsi="Garamon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7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667B3"/>
    <w:pPr>
      <w:spacing w:after="200"/>
    </w:pPr>
    <w:rPr>
      <w:b/>
      <w:bCs/>
      <w:color w:val="4F81BD" w:themeColor="accent1"/>
      <w:sz w:val="18"/>
      <w:szCs w:val="18"/>
    </w:rPr>
  </w:style>
  <w:style w:type="paragraph" w:styleId="Footer">
    <w:name w:val="footer"/>
    <w:basedOn w:val="Normal"/>
    <w:link w:val="FooterChar"/>
    <w:uiPriority w:val="99"/>
    <w:unhideWhenUsed/>
    <w:rsid w:val="008667B3"/>
    <w:pPr>
      <w:tabs>
        <w:tab w:val="center" w:pos="4320"/>
        <w:tab w:val="right" w:pos="8640"/>
      </w:tabs>
    </w:pPr>
  </w:style>
  <w:style w:type="character" w:customStyle="1" w:styleId="FooterChar">
    <w:name w:val="Footer Char"/>
    <w:basedOn w:val="DefaultParagraphFont"/>
    <w:link w:val="Footer"/>
    <w:uiPriority w:val="99"/>
    <w:rsid w:val="008667B3"/>
  </w:style>
  <w:style w:type="character" w:styleId="PageNumber">
    <w:name w:val="page number"/>
    <w:basedOn w:val="DefaultParagraphFont"/>
    <w:uiPriority w:val="99"/>
    <w:semiHidden/>
    <w:unhideWhenUsed/>
    <w:rsid w:val="008667B3"/>
  </w:style>
  <w:style w:type="paragraph" w:styleId="BalloonText">
    <w:name w:val="Balloon Text"/>
    <w:basedOn w:val="Normal"/>
    <w:link w:val="BalloonTextChar"/>
    <w:uiPriority w:val="99"/>
    <w:semiHidden/>
    <w:unhideWhenUsed/>
    <w:rsid w:val="008667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67B3"/>
    <w:rPr>
      <w:rFonts w:ascii="Lucida Grande" w:hAnsi="Lucida Grande" w:cs="Lucida Grande"/>
      <w:sz w:val="18"/>
      <w:szCs w:val="18"/>
    </w:rPr>
  </w:style>
  <w:style w:type="character" w:styleId="Hyperlink">
    <w:name w:val="Hyperlink"/>
    <w:basedOn w:val="DefaultParagraphFont"/>
    <w:uiPriority w:val="99"/>
    <w:unhideWhenUsed/>
    <w:rsid w:val="00270693"/>
    <w:rPr>
      <w:color w:val="0000FF" w:themeColor="hyperlink"/>
      <w:u w:val="single"/>
    </w:rPr>
  </w:style>
  <w:style w:type="character" w:customStyle="1" w:styleId="apple-converted-space">
    <w:name w:val="apple-converted-space"/>
    <w:basedOn w:val="DefaultParagraphFont"/>
    <w:rsid w:val="00270693"/>
  </w:style>
  <w:style w:type="paragraph" w:styleId="FootnoteText">
    <w:name w:val="footnote text"/>
    <w:basedOn w:val="Normal"/>
    <w:link w:val="FootnoteTextChar"/>
    <w:uiPriority w:val="99"/>
    <w:unhideWhenUsed/>
    <w:rsid w:val="00270693"/>
  </w:style>
  <w:style w:type="character" w:customStyle="1" w:styleId="FootnoteTextChar">
    <w:name w:val="Footnote Text Char"/>
    <w:basedOn w:val="DefaultParagraphFont"/>
    <w:link w:val="FootnoteText"/>
    <w:uiPriority w:val="99"/>
    <w:rsid w:val="00270693"/>
  </w:style>
  <w:style w:type="character" w:styleId="FootnoteReference">
    <w:name w:val="footnote reference"/>
    <w:basedOn w:val="DefaultParagraphFont"/>
    <w:uiPriority w:val="99"/>
    <w:unhideWhenUsed/>
    <w:rsid w:val="00270693"/>
    <w:rPr>
      <w:vertAlign w:val="superscript"/>
    </w:rPr>
  </w:style>
  <w:style w:type="paragraph" w:customStyle="1" w:styleId="Style1">
    <w:name w:val="Style1"/>
    <w:basedOn w:val="FootnoteText"/>
    <w:qFormat/>
    <w:rsid w:val="00D22632"/>
    <w:pPr>
      <w:spacing w:line="480" w:lineRule="auto"/>
    </w:pPr>
    <w:rPr>
      <w:rFonts w:ascii="Times New Roman" w:hAnsi="Times New Roman"/>
    </w:rPr>
  </w:style>
  <w:style w:type="character" w:styleId="CommentReference">
    <w:name w:val="annotation reference"/>
    <w:basedOn w:val="DefaultParagraphFont"/>
    <w:uiPriority w:val="99"/>
    <w:semiHidden/>
    <w:unhideWhenUsed/>
    <w:rsid w:val="00E475DD"/>
    <w:rPr>
      <w:sz w:val="16"/>
      <w:szCs w:val="16"/>
    </w:rPr>
  </w:style>
  <w:style w:type="paragraph" w:styleId="CommentText">
    <w:name w:val="annotation text"/>
    <w:basedOn w:val="Normal"/>
    <w:link w:val="CommentTextChar"/>
    <w:uiPriority w:val="99"/>
    <w:semiHidden/>
    <w:unhideWhenUsed/>
    <w:rsid w:val="00E475DD"/>
    <w:rPr>
      <w:sz w:val="20"/>
      <w:szCs w:val="20"/>
    </w:rPr>
  </w:style>
  <w:style w:type="character" w:customStyle="1" w:styleId="CommentTextChar">
    <w:name w:val="Comment Text Char"/>
    <w:basedOn w:val="DefaultParagraphFont"/>
    <w:link w:val="CommentText"/>
    <w:uiPriority w:val="99"/>
    <w:semiHidden/>
    <w:rsid w:val="00E475DD"/>
    <w:rPr>
      <w:sz w:val="20"/>
      <w:szCs w:val="20"/>
    </w:rPr>
  </w:style>
  <w:style w:type="character" w:styleId="UnresolvedMention">
    <w:name w:val="Unresolved Mention"/>
    <w:basedOn w:val="DefaultParagraphFont"/>
    <w:uiPriority w:val="99"/>
    <w:semiHidden/>
    <w:unhideWhenUsed/>
    <w:rsid w:val="00D87B12"/>
    <w:rPr>
      <w:color w:val="605E5C"/>
      <w:shd w:val="clear" w:color="auto" w:fill="E1DFDD"/>
    </w:rPr>
  </w:style>
  <w:style w:type="paragraph" w:styleId="ListParagraph">
    <w:name w:val="List Paragraph"/>
    <w:basedOn w:val="Normal"/>
    <w:uiPriority w:val="34"/>
    <w:qFormat/>
    <w:rsid w:val="00EF04E4"/>
    <w:pPr>
      <w:ind w:left="720"/>
      <w:contextualSpacing/>
    </w:pPr>
  </w:style>
  <w:style w:type="paragraph" w:styleId="Revision">
    <w:name w:val="Revision"/>
    <w:hidden/>
    <w:uiPriority w:val="99"/>
    <w:semiHidden/>
    <w:rsid w:val="00144596"/>
  </w:style>
  <w:style w:type="paragraph" w:styleId="CommentSubject">
    <w:name w:val="annotation subject"/>
    <w:basedOn w:val="CommentText"/>
    <w:next w:val="CommentText"/>
    <w:link w:val="CommentSubjectChar"/>
    <w:uiPriority w:val="99"/>
    <w:semiHidden/>
    <w:unhideWhenUsed/>
    <w:rsid w:val="0050246E"/>
    <w:rPr>
      <w:b/>
      <w:bCs/>
    </w:rPr>
  </w:style>
  <w:style w:type="character" w:customStyle="1" w:styleId="CommentSubjectChar">
    <w:name w:val="Comment Subject Char"/>
    <w:basedOn w:val="CommentTextChar"/>
    <w:link w:val="CommentSubject"/>
    <w:uiPriority w:val="99"/>
    <w:semiHidden/>
    <w:rsid w:val="005024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369256">
      <w:bodyDiv w:val="1"/>
      <w:marLeft w:val="0"/>
      <w:marRight w:val="0"/>
      <w:marTop w:val="0"/>
      <w:marBottom w:val="0"/>
      <w:divBdr>
        <w:top w:val="none" w:sz="0" w:space="0" w:color="auto"/>
        <w:left w:val="none" w:sz="0" w:space="0" w:color="auto"/>
        <w:bottom w:val="none" w:sz="0" w:space="0" w:color="auto"/>
        <w:right w:val="none" w:sz="0" w:space="0" w:color="auto"/>
      </w:divBdr>
    </w:div>
    <w:div w:id="757822341">
      <w:bodyDiv w:val="1"/>
      <w:marLeft w:val="0"/>
      <w:marRight w:val="0"/>
      <w:marTop w:val="0"/>
      <w:marBottom w:val="0"/>
      <w:divBdr>
        <w:top w:val="none" w:sz="0" w:space="0" w:color="auto"/>
        <w:left w:val="none" w:sz="0" w:space="0" w:color="auto"/>
        <w:bottom w:val="none" w:sz="0" w:space="0" w:color="auto"/>
        <w:right w:val="none" w:sz="0" w:space="0" w:color="auto"/>
      </w:divBdr>
    </w:div>
    <w:div w:id="837886062">
      <w:bodyDiv w:val="1"/>
      <w:marLeft w:val="0"/>
      <w:marRight w:val="0"/>
      <w:marTop w:val="0"/>
      <w:marBottom w:val="0"/>
      <w:divBdr>
        <w:top w:val="none" w:sz="0" w:space="0" w:color="auto"/>
        <w:left w:val="none" w:sz="0" w:space="0" w:color="auto"/>
        <w:bottom w:val="none" w:sz="0" w:space="0" w:color="auto"/>
        <w:right w:val="none" w:sz="0" w:space="0" w:color="auto"/>
      </w:divBdr>
    </w:div>
    <w:div w:id="1464352719">
      <w:bodyDiv w:val="1"/>
      <w:marLeft w:val="0"/>
      <w:marRight w:val="0"/>
      <w:marTop w:val="0"/>
      <w:marBottom w:val="0"/>
      <w:divBdr>
        <w:top w:val="none" w:sz="0" w:space="0" w:color="auto"/>
        <w:left w:val="none" w:sz="0" w:space="0" w:color="auto"/>
        <w:bottom w:val="none" w:sz="0" w:space="0" w:color="auto"/>
        <w:right w:val="none" w:sz="0" w:space="0" w:color="auto"/>
      </w:divBdr>
    </w:div>
    <w:div w:id="1567884516">
      <w:bodyDiv w:val="1"/>
      <w:marLeft w:val="0"/>
      <w:marRight w:val="0"/>
      <w:marTop w:val="0"/>
      <w:marBottom w:val="0"/>
      <w:divBdr>
        <w:top w:val="none" w:sz="0" w:space="0" w:color="auto"/>
        <w:left w:val="none" w:sz="0" w:space="0" w:color="auto"/>
        <w:bottom w:val="none" w:sz="0" w:space="0" w:color="auto"/>
        <w:right w:val="none" w:sz="0" w:space="0" w:color="auto"/>
      </w:divBdr>
    </w:div>
    <w:div w:id="2003970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gap.shinyapps.io/power-ap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153AE-A151-AA40-B274-CEA0D944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16</Pages>
  <Words>4326</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 Holland</dc:creator>
  <cp:keywords/>
  <dc:description/>
  <cp:lastModifiedBy>Holland, Alisha Caroline</cp:lastModifiedBy>
  <cp:revision>8</cp:revision>
  <cp:lastPrinted>2018-09-18T09:33:00Z</cp:lastPrinted>
  <dcterms:created xsi:type="dcterms:W3CDTF">2022-09-30T15:58:00Z</dcterms:created>
  <dcterms:modified xsi:type="dcterms:W3CDTF">2022-11-05T11:55:00Z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faa9f833-4d67-3794-a9d3-7f9bac6280cb</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