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2AF6" w14:textId="77777777" w:rsidR="00613B33" w:rsidRPr="003F30C1" w:rsidRDefault="00613B33" w:rsidP="00613B33">
      <w:pPr>
        <w:pStyle w:val="berschrift1"/>
        <w:rPr>
          <w:lang w:val="en-US"/>
        </w:rPr>
      </w:pPr>
      <w:r w:rsidRPr="003F30C1">
        <w:rPr>
          <w:lang w:val="en-US"/>
        </w:rPr>
        <w:t>Supplementary Appendix</w:t>
      </w:r>
    </w:p>
    <w:p w14:paraId="5F24CE32" w14:textId="77777777" w:rsidR="00613B33" w:rsidRPr="003F30C1" w:rsidRDefault="00613B33" w:rsidP="00613B33">
      <w:pPr>
        <w:pStyle w:val="berschrift2"/>
        <w:rPr>
          <w:b/>
          <w:sz w:val="20"/>
          <w:szCs w:val="20"/>
          <w:lang w:val="en-US"/>
        </w:rPr>
      </w:pPr>
      <w:r w:rsidRPr="003F30C1">
        <w:rPr>
          <w:b/>
          <w:sz w:val="20"/>
          <w:szCs w:val="20"/>
          <w:lang w:val="en-US"/>
        </w:rPr>
        <w:t>A: Institutional features of Russian politics and Russian mortality and COVID-19 statistics</w:t>
      </w:r>
    </w:p>
    <w:p w14:paraId="22074229" w14:textId="77777777" w:rsidR="00613B33" w:rsidRPr="003F30C1" w:rsidRDefault="00613B33" w:rsidP="00613B33">
      <w:pPr>
        <w:rPr>
          <w:rFonts w:ascii="Latin Modern Roman" w:hAnsi="Latin Modern Roman"/>
          <w:b/>
          <w:sz w:val="20"/>
          <w:szCs w:val="20"/>
          <w:lang w:val="en-US"/>
        </w:rPr>
      </w:pPr>
      <w:r w:rsidRPr="003F30C1">
        <w:rPr>
          <w:rFonts w:ascii="Latin Modern Roman" w:hAnsi="Latin Modern Roman"/>
          <w:b/>
          <w:sz w:val="20"/>
          <w:szCs w:val="20"/>
          <w:lang w:val="en-US"/>
        </w:rPr>
        <w:t>A1: Risks of resignation for governors prior to the election</w:t>
      </w:r>
    </w:p>
    <w:p w14:paraId="0B81EB40" w14:textId="77777777" w:rsidR="00613B33" w:rsidRPr="003F30C1" w:rsidRDefault="00613B33" w:rsidP="00613B33">
      <w:pPr>
        <w:jc w:val="both"/>
        <w:rPr>
          <w:rFonts w:ascii="Latin Modern Roman" w:hAnsi="Latin Modern Roman"/>
          <w:sz w:val="20"/>
          <w:szCs w:val="20"/>
          <w:lang w:val="en-US"/>
        </w:rPr>
      </w:pPr>
      <w:r w:rsidRPr="003F30C1">
        <w:rPr>
          <w:rFonts w:ascii="Latin Modern Roman" w:hAnsi="Latin Modern Roman"/>
          <w:sz w:val="20"/>
          <w:szCs w:val="20"/>
          <w:lang w:val="en-US"/>
        </w:rPr>
        <w:t xml:space="preserve">According to Russian law, governors can lose their office prior to the end of their term. President has the right to fire governors (due to ‘loss of confidence’); more frequently, governors voluntarily resign (without waiting for the president to fire them officially). However, these cases are less frequent than cases when governors regularly stay in power until the end of their term. </w:t>
      </w:r>
    </w:p>
    <w:p w14:paraId="122AAD40" w14:textId="7AAA2C20" w:rsidR="00613B33" w:rsidRPr="003F30C1" w:rsidRDefault="00613B33" w:rsidP="00613B33">
      <w:pPr>
        <w:jc w:val="both"/>
        <w:rPr>
          <w:rFonts w:ascii="Latin Modern Roman" w:hAnsi="Latin Modern Roman"/>
          <w:sz w:val="20"/>
          <w:szCs w:val="20"/>
          <w:lang w:val="en-US"/>
        </w:rPr>
      </w:pPr>
      <w:r w:rsidRPr="003F30C1">
        <w:rPr>
          <w:rFonts w:ascii="Latin Modern Roman" w:hAnsi="Latin Modern Roman"/>
          <w:sz w:val="20"/>
          <w:szCs w:val="20"/>
          <w:lang w:val="en-US"/>
        </w:rPr>
        <w:t>We collected information on all gubernatorial elections that took place in the five years preceding our investigation (2015-2019). Only 35% of the regional elections were conducted prematurely because the governor was fired, resigned, or promoted to a higher federal office (We excluded cases when the governor resigned earlier in agreement with the federal administration to run for reelection earlier as well, to prevent any consolidation of the opposition, see Golosov and Tkacheva 2018). In the majority of cases, governors left their office by the end of their term.</w:t>
      </w:r>
    </w:p>
    <w:p w14:paraId="0A45302B" w14:textId="565ADF85" w:rsidR="00613B33" w:rsidRPr="003F30C1" w:rsidRDefault="00613B33" w:rsidP="00613B33">
      <w:pPr>
        <w:jc w:val="both"/>
        <w:rPr>
          <w:rFonts w:ascii="Latin Modern Roman" w:hAnsi="Latin Modern Roman"/>
          <w:sz w:val="20"/>
          <w:szCs w:val="20"/>
          <w:lang w:val="en-US"/>
        </w:rPr>
      </w:pPr>
      <w:r w:rsidRPr="003F30C1">
        <w:rPr>
          <w:rFonts w:ascii="Latin Modern Roman" w:hAnsi="Latin Modern Roman"/>
          <w:sz w:val="20"/>
          <w:szCs w:val="20"/>
          <w:lang w:val="en-US"/>
        </w:rPr>
        <w:t>Therefore</w:t>
      </w:r>
      <w:r w:rsidR="003F1374">
        <w:rPr>
          <w:sz w:val="20"/>
          <w:szCs w:val="20"/>
          <w:lang w:val="en-US"/>
        </w:rPr>
        <w:t>,</w:t>
      </w:r>
      <w:r w:rsidRPr="003F30C1">
        <w:rPr>
          <w:rFonts w:ascii="Latin Modern Roman" w:hAnsi="Latin Modern Roman"/>
          <w:sz w:val="20"/>
          <w:szCs w:val="20"/>
          <w:lang w:val="en-US"/>
        </w:rPr>
        <w:t xml:space="preserve"> the governors, while facing a certain level of political risk during their entire tenure, should assign higher political risk closer to the election years. Most likely, election years constitute useful focal points in the eyes of the federal administration when the work of the governor can be routinely reassessed and in the eyes of interest groups competing for influence in the region and supporting or undermining the position of the current governor. </w:t>
      </w:r>
    </w:p>
    <w:p w14:paraId="1B5592C7" w14:textId="77777777" w:rsidR="00613B33" w:rsidRPr="0020028D" w:rsidRDefault="00613B33" w:rsidP="00613B33">
      <w:pPr>
        <w:jc w:val="both"/>
        <w:rPr>
          <w:rFonts w:ascii="Latin Modern Roman" w:hAnsi="Latin Modern Roman"/>
          <w:b/>
          <w:sz w:val="20"/>
          <w:szCs w:val="20"/>
          <w:lang w:val="en-US"/>
        </w:rPr>
      </w:pPr>
    </w:p>
    <w:p w14:paraId="3CEC95C3" w14:textId="77777777" w:rsidR="00613B33" w:rsidRPr="0020028D" w:rsidRDefault="00613B33" w:rsidP="00613B33">
      <w:pPr>
        <w:jc w:val="both"/>
        <w:rPr>
          <w:rFonts w:ascii="Latin Modern Roman" w:hAnsi="Latin Modern Roman"/>
          <w:b/>
          <w:sz w:val="20"/>
          <w:szCs w:val="20"/>
          <w:lang w:val="en-US"/>
        </w:rPr>
      </w:pPr>
      <w:r w:rsidRPr="0020028D">
        <w:rPr>
          <w:rFonts w:ascii="Latin Modern Roman" w:hAnsi="Latin Modern Roman"/>
          <w:b/>
          <w:sz w:val="20"/>
          <w:szCs w:val="20"/>
          <w:lang w:val="en-US"/>
        </w:rPr>
        <w:t>A2: COVID-19 death cases in the Russian statistics</w:t>
      </w:r>
    </w:p>
    <w:p w14:paraId="5B3A3FE4" w14:textId="6D6BC6DA" w:rsidR="00613B33" w:rsidRPr="003F30C1" w:rsidRDefault="00613B33" w:rsidP="00613B33">
      <w:pPr>
        <w:jc w:val="both"/>
        <w:rPr>
          <w:rFonts w:ascii="Latin Modern Roman" w:hAnsi="Latin Modern Roman"/>
          <w:sz w:val="20"/>
          <w:szCs w:val="20"/>
          <w:lang w:val="en-US"/>
        </w:rPr>
      </w:pPr>
      <w:r w:rsidRPr="0020028D">
        <w:rPr>
          <w:rFonts w:ascii="Latin Modern Roman" w:hAnsi="Latin Modern Roman"/>
          <w:sz w:val="20"/>
          <w:szCs w:val="20"/>
          <w:lang w:val="en-US"/>
        </w:rPr>
        <w:t xml:space="preserve">The COVID-19 death statistics in Russia </w:t>
      </w:r>
      <w:r>
        <w:rPr>
          <w:rFonts w:ascii="Latin Modern Roman" w:hAnsi="Latin Modern Roman"/>
          <w:sz w:val="20"/>
          <w:szCs w:val="20"/>
          <w:lang w:val="en-US"/>
        </w:rPr>
        <w:t>are</w:t>
      </w:r>
      <w:r w:rsidRPr="0020028D">
        <w:rPr>
          <w:rFonts w:ascii="Latin Modern Roman" w:hAnsi="Latin Modern Roman"/>
          <w:sz w:val="20"/>
          <w:szCs w:val="20"/>
          <w:lang w:val="en-US"/>
        </w:rPr>
        <w:t xml:space="preserve"> generated in the following way.</w:t>
      </w:r>
      <w:r w:rsidRPr="0020028D">
        <w:rPr>
          <w:rStyle w:val="Funotenzeichen"/>
          <w:rFonts w:ascii="Latin Modern Roman" w:hAnsi="Latin Modern Roman"/>
          <w:sz w:val="20"/>
          <w:szCs w:val="20"/>
          <w:lang w:val="en-US"/>
        </w:rPr>
        <w:footnoteReference w:id="1"/>
      </w:r>
      <w:r w:rsidRPr="0020028D">
        <w:rPr>
          <w:rFonts w:ascii="Latin Modern Roman" w:hAnsi="Latin Modern Roman"/>
          <w:sz w:val="20"/>
          <w:szCs w:val="20"/>
          <w:lang w:val="en-US"/>
        </w:rPr>
        <w:t xml:space="preserve"> After the death of an individual is recorded, the </w:t>
      </w:r>
      <w:r w:rsidRPr="003F30C1">
        <w:rPr>
          <w:rFonts w:ascii="Latin Modern Roman" w:hAnsi="Latin Modern Roman"/>
          <w:sz w:val="20"/>
          <w:szCs w:val="20"/>
          <w:lang w:val="en-US"/>
        </w:rPr>
        <w:t xml:space="preserve">hospital where the death occurred (or the physician determining that the individual is dead) has to issue a medical death certificate, which contains information on the cause of death. In case of deaths from infectious diseases, Russian law requires </w:t>
      </w:r>
      <w:r>
        <w:rPr>
          <w:rFonts w:ascii="Latin Modern Roman" w:hAnsi="Latin Modern Roman"/>
          <w:sz w:val="20"/>
          <w:szCs w:val="20"/>
          <w:lang w:val="en-US"/>
        </w:rPr>
        <w:t xml:space="preserve">an </w:t>
      </w:r>
      <w:r w:rsidRPr="003F30C1">
        <w:rPr>
          <w:rFonts w:ascii="Latin Modern Roman" w:hAnsi="Latin Modern Roman"/>
          <w:sz w:val="20"/>
          <w:szCs w:val="20"/>
          <w:lang w:val="en-US"/>
        </w:rPr>
        <w:t>autopsy to be conducted. The information on the causes of deaths is then submitted to the regional or municipal departments responsible for recording the so-called ‘civil status’ of citizens (birth, marriage, change of name, adoption</w:t>
      </w:r>
      <w:r>
        <w:rPr>
          <w:rFonts w:ascii="Latin Modern Roman" w:hAnsi="Latin Modern Roman"/>
          <w:sz w:val="20"/>
          <w:szCs w:val="20"/>
          <w:lang w:val="en-US"/>
        </w:rPr>
        <w:t>,</w:t>
      </w:r>
      <w:r w:rsidRPr="003F30C1">
        <w:rPr>
          <w:rFonts w:ascii="Latin Modern Roman" w:hAnsi="Latin Modern Roman"/>
          <w:sz w:val="20"/>
          <w:szCs w:val="20"/>
          <w:lang w:val="en-US"/>
        </w:rPr>
        <w:t xml:space="preserve"> and death)</w:t>
      </w:r>
      <w:r w:rsidR="00000B40">
        <w:rPr>
          <w:rFonts w:ascii="Latin Modern Roman" w:hAnsi="Latin Modern Roman"/>
          <w:sz w:val="20"/>
          <w:szCs w:val="20"/>
          <w:lang w:val="en-US"/>
        </w:rPr>
        <w:t>, named</w:t>
      </w:r>
      <w:r w:rsidRPr="003F30C1">
        <w:rPr>
          <w:rFonts w:ascii="Latin Modern Roman" w:hAnsi="Latin Modern Roman"/>
          <w:sz w:val="20"/>
          <w:szCs w:val="20"/>
          <w:lang w:val="en-US"/>
        </w:rPr>
        <w:t xml:space="preserve"> ZAGS. ZAGS departments, in turn, aggregate information and provide it to the federal statistical agency Rosstat, which includes the aggregate data in its regular publications. </w:t>
      </w:r>
    </w:p>
    <w:p w14:paraId="64B1F6CD" w14:textId="7FD7FA74" w:rsidR="00613B33" w:rsidRPr="003F30C1" w:rsidRDefault="00613B33" w:rsidP="00613B33">
      <w:pPr>
        <w:jc w:val="both"/>
        <w:rPr>
          <w:rFonts w:ascii="Latin Modern Roman" w:hAnsi="Latin Modern Roman"/>
          <w:sz w:val="20"/>
          <w:szCs w:val="20"/>
          <w:lang w:val="en-US"/>
        </w:rPr>
      </w:pPr>
      <w:r w:rsidRPr="003F30C1">
        <w:rPr>
          <w:rFonts w:ascii="Latin Modern Roman" w:hAnsi="Latin Modern Roman"/>
          <w:sz w:val="20"/>
          <w:szCs w:val="20"/>
          <w:lang w:val="en-US"/>
        </w:rPr>
        <w:t>In addition to this procedure, which existed prior to the pandemic, in 2020</w:t>
      </w:r>
      <w:r>
        <w:rPr>
          <w:rFonts w:ascii="Latin Modern Roman" w:hAnsi="Latin Modern Roman"/>
          <w:sz w:val="20"/>
          <w:szCs w:val="20"/>
          <w:lang w:val="en-US"/>
        </w:rPr>
        <w:t>,</w:t>
      </w:r>
      <w:r w:rsidRPr="003F30C1">
        <w:rPr>
          <w:rFonts w:ascii="Latin Modern Roman" w:hAnsi="Latin Modern Roman"/>
          <w:sz w:val="20"/>
          <w:szCs w:val="20"/>
          <w:lang w:val="en-US"/>
        </w:rPr>
        <w:t xml:space="preserve"> two additional sources of COVID-19 mortality data were established. First, the Federal Medical-Biological Agency (FMBA), a specialized agency of the Russian government responsible for upholding medical standards in hospitals, created a confidential database, where hospital officials had to supply information on the COVID deaths and on the availability of medical resources (beds etc.) in hospitals. The dataset is generated directly through daily entries made by individual hospitals and contains very preliminary and uncertain data. Second, a Federal Register of Novel Coronavirus </w:t>
      </w:r>
      <w:r w:rsidRPr="0020028D">
        <w:rPr>
          <w:rFonts w:ascii="Latin Modern Roman" w:hAnsi="Latin Modern Roman"/>
          <w:sz w:val="20"/>
          <w:szCs w:val="20"/>
          <w:lang w:val="en-US"/>
        </w:rPr>
        <w:t xml:space="preserve">Infection was created, where hospital officials have to enter the entire information on </w:t>
      </w:r>
      <w:r w:rsidRPr="003F30C1">
        <w:rPr>
          <w:rFonts w:ascii="Latin Modern Roman" w:hAnsi="Latin Modern Roman"/>
          <w:sz w:val="20"/>
          <w:szCs w:val="20"/>
          <w:lang w:val="en-US"/>
        </w:rPr>
        <w:t xml:space="preserve">individuals treated in conjunction with COVID-19. This dataset is used by the Federal Consumer Rights Protection Service (Rospotrebnadzor) to assemble information for the </w:t>
      </w:r>
      <w:r w:rsidRPr="003F30C1">
        <w:rPr>
          <w:rFonts w:ascii="Latin Modern Roman" w:hAnsi="Latin Modern Roman"/>
          <w:i/>
          <w:sz w:val="20"/>
          <w:szCs w:val="20"/>
          <w:lang w:val="en-US"/>
        </w:rPr>
        <w:t xml:space="preserve">stopcoronavirus.rf </w:t>
      </w:r>
      <w:r w:rsidRPr="003F30C1">
        <w:rPr>
          <w:rFonts w:ascii="Latin Modern Roman" w:hAnsi="Latin Modern Roman"/>
          <w:sz w:val="20"/>
          <w:szCs w:val="20"/>
          <w:lang w:val="en-US"/>
        </w:rPr>
        <w:t xml:space="preserve">website we use in our study. This last source is the main public source of information on COVID mortality regularly published by the Russian news agencies and newspapers (an example can be found here, at the website of the state-owned news agency RIA: </w:t>
      </w:r>
      <w:hyperlink r:id="rId8" w:history="1">
        <w:r w:rsidR="0002319E" w:rsidRPr="0051548A">
          <w:rPr>
            <w:rStyle w:val="Hyperlink"/>
            <w:rFonts w:ascii="Latin Modern Roman" w:hAnsi="Latin Modern Roman"/>
            <w:sz w:val="20"/>
            <w:szCs w:val="20"/>
            <w:lang w:val="en-US"/>
          </w:rPr>
          <w:t>https://ria.ru/20220507/koronavirus-1787371506.html</w:t>
        </w:r>
      </w:hyperlink>
      <w:r w:rsidRPr="003F30C1">
        <w:rPr>
          <w:rFonts w:ascii="Latin Modern Roman" w:hAnsi="Latin Modern Roman"/>
          <w:sz w:val="20"/>
          <w:szCs w:val="20"/>
          <w:lang w:val="en-US"/>
        </w:rPr>
        <w:t xml:space="preserve">). The reports submitted by the hospital officials are likely to be coordinated with the regional authorities, which have plenty of opportunities to encourage hospital officials </w:t>
      </w:r>
      <w:r w:rsidRPr="003F30C1">
        <w:rPr>
          <w:rFonts w:ascii="Latin Modern Roman" w:hAnsi="Latin Modern Roman"/>
          <w:sz w:val="20"/>
          <w:szCs w:val="20"/>
          <w:lang w:val="en-US"/>
        </w:rPr>
        <w:lastRenderedPageBreak/>
        <w:t>to doctor their data (see Rosenberg et al. 2018 on relations between Russian regional governments and healthcare institutions).</w:t>
      </w:r>
    </w:p>
    <w:p w14:paraId="1A5602AC" w14:textId="77777777" w:rsidR="00613B33" w:rsidRPr="003F30C1" w:rsidRDefault="00613B33" w:rsidP="00613B33">
      <w:pPr>
        <w:jc w:val="both"/>
        <w:rPr>
          <w:rFonts w:ascii="Latin Modern Roman" w:hAnsi="Latin Modern Roman"/>
          <w:sz w:val="20"/>
          <w:szCs w:val="20"/>
          <w:lang w:val="en-US"/>
        </w:rPr>
      </w:pPr>
      <w:r w:rsidRPr="003F30C1">
        <w:rPr>
          <w:rFonts w:ascii="Latin Modern Roman" w:hAnsi="Latin Modern Roman"/>
          <w:sz w:val="20"/>
          <w:szCs w:val="20"/>
          <w:lang w:val="en-US"/>
        </w:rPr>
        <w:t>The recording of COVID-19 deaths in Russia follows the guidelines set by the Ministry of Health of the Russian Federation. According to these guidelines, the recording should follow the recommendations of the WHO and, in particular, the International Classification of Diseases (ICD)-10. In the ICD-10, there are two codes of death because of COVID: U07.1 (virus identified) and U07.2 (virus not identified, i.e., there was no COVID test conducted). For the U07.2 deaths, further investigations should be conducted within 45 days. In this case, the medical death certificate issued immediately after death should be preliminary and re-issued after investigations. In addition to that, there is a further statistical distinction: COVID-19 can be treated as the main cause of death or as an additional cause of death (this classification is used if the patient was infected</w:t>
      </w:r>
      <w:r>
        <w:rPr>
          <w:rFonts w:ascii="Latin Modern Roman" w:hAnsi="Latin Modern Roman"/>
          <w:sz w:val="20"/>
          <w:szCs w:val="20"/>
          <w:lang w:val="en-US"/>
        </w:rPr>
        <w:t>,</w:t>
      </w:r>
      <w:r w:rsidRPr="003F30C1">
        <w:rPr>
          <w:rFonts w:ascii="Latin Modern Roman" w:hAnsi="Latin Modern Roman"/>
          <w:sz w:val="20"/>
          <w:szCs w:val="20"/>
          <w:lang w:val="en-US"/>
        </w:rPr>
        <w:t xml:space="preserve"> but the primary death reasons, according to the examining physicians, were different pathological states, even if COVID-19 substantially contributed to the emergence of these states). Thus, Russian statistics differentiate between four types of COVID-19 deaths: (a) COVID-19 is most likely the main cause of death, </w:t>
      </w:r>
      <w:r>
        <w:rPr>
          <w:rFonts w:ascii="Latin Modern Roman" w:hAnsi="Latin Modern Roman"/>
          <w:sz w:val="20"/>
          <w:szCs w:val="20"/>
          <w:lang w:val="en-US"/>
        </w:rPr>
        <w:t xml:space="preserve">the </w:t>
      </w:r>
      <w:r w:rsidRPr="003F30C1">
        <w:rPr>
          <w:rFonts w:ascii="Latin Modern Roman" w:hAnsi="Latin Modern Roman"/>
          <w:sz w:val="20"/>
          <w:szCs w:val="20"/>
          <w:lang w:val="en-US"/>
        </w:rPr>
        <w:t xml:space="preserve">virus is not identified; (b) COVID-19 is the main cause of death, </w:t>
      </w:r>
      <w:r>
        <w:rPr>
          <w:rFonts w:ascii="Latin Modern Roman" w:hAnsi="Latin Modern Roman"/>
          <w:sz w:val="20"/>
          <w:szCs w:val="20"/>
          <w:lang w:val="en-US"/>
        </w:rPr>
        <w:t xml:space="preserve">the </w:t>
      </w:r>
      <w:r w:rsidRPr="003F30C1">
        <w:rPr>
          <w:rFonts w:ascii="Latin Modern Roman" w:hAnsi="Latin Modern Roman"/>
          <w:sz w:val="20"/>
          <w:szCs w:val="20"/>
          <w:lang w:val="en-US"/>
        </w:rPr>
        <w:t>virus is identified; (c) COVID-19 is not the main cause of death, but the individual was infected and (d) COVID-19 is not the main cause of death and individual was not infected.</w:t>
      </w:r>
    </w:p>
    <w:p w14:paraId="70B13F0C" w14:textId="0B695B8C" w:rsidR="00613B33" w:rsidRPr="003F30C1" w:rsidRDefault="00613B33" w:rsidP="00613B33">
      <w:pPr>
        <w:jc w:val="both"/>
        <w:rPr>
          <w:rFonts w:ascii="Latin Modern Roman" w:hAnsi="Latin Modern Roman"/>
          <w:sz w:val="20"/>
          <w:szCs w:val="20"/>
          <w:lang w:val="en-US"/>
        </w:rPr>
      </w:pPr>
      <w:r>
        <w:rPr>
          <w:rFonts w:ascii="Latin Modern Roman" w:hAnsi="Latin Modern Roman"/>
          <w:sz w:val="20"/>
          <w:szCs w:val="20"/>
          <w:lang w:val="en-US"/>
        </w:rPr>
        <w:t>In many cases, the attribution to each of these categories i</w:t>
      </w:r>
      <w:r w:rsidRPr="003F30C1">
        <w:rPr>
          <w:rFonts w:ascii="Latin Modern Roman" w:hAnsi="Latin Modern Roman"/>
          <w:sz w:val="20"/>
          <w:szCs w:val="20"/>
          <w:lang w:val="en-US"/>
        </w:rPr>
        <w:t xml:space="preserve">s very difficult (especially in terms of identifying COVID-19 as the main cause of death or as an additional cause of death – many COVID-19 deaths are observed among individuals suffering from other chronic diseases). On top of that, it depends on the availability of tests, </w:t>
      </w:r>
      <w:r w:rsidR="00895654">
        <w:rPr>
          <w:rFonts w:ascii="Latin Modern Roman" w:hAnsi="Latin Modern Roman"/>
          <w:sz w:val="20"/>
          <w:szCs w:val="20"/>
          <w:lang w:val="en-US"/>
        </w:rPr>
        <w:t xml:space="preserve">the </w:t>
      </w:r>
      <w:r w:rsidRPr="003F30C1">
        <w:rPr>
          <w:rFonts w:ascii="Latin Modern Roman" w:hAnsi="Latin Modern Roman"/>
          <w:sz w:val="20"/>
          <w:szCs w:val="20"/>
          <w:lang w:val="en-US"/>
        </w:rPr>
        <w:t>accuracy of medical personnel</w:t>
      </w:r>
      <w:r>
        <w:rPr>
          <w:rFonts w:ascii="Latin Modern Roman" w:hAnsi="Latin Modern Roman"/>
          <w:sz w:val="20"/>
          <w:szCs w:val="20"/>
          <w:lang w:val="en-US"/>
        </w:rPr>
        <w:t>,</w:t>
      </w:r>
      <w:r w:rsidRPr="003F30C1">
        <w:rPr>
          <w:rFonts w:ascii="Latin Modern Roman" w:hAnsi="Latin Modern Roman"/>
          <w:sz w:val="20"/>
          <w:szCs w:val="20"/>
          <w:lang w:val="en-US"/>
        </w:rPr>
        <w:t xml:space="preserve"> etc. These factors explain differences in the COVID-19 mortality data across democracies as well (Danilova, 2020), and similar problems exist for many infectious diseases like influenza (Thompson, 2009). But – and this is the most important issue for our study – it provides ample opportunities for manipulation for the regional authorities, misreporting the cause of death they report to the databases. </w:t>
      </w:r>
    </w:p>
    <w:p w14:paraId="5ACCA2E6" w14:textId="77777777" w:rsidR="00613B33" w:rsidRPr="003F30C1" w:rsidRDefault="00613B33" w:rsidP="00613B33">
      <w:pPr>
        <w:jc w:val="both"/>
        <w:rPr>
          <w:rFonts w:ascii="Latin Modern Roman" w:hAnsi="Latin Modern Roman"/>
          <w:sz w:val="20"/>
          <w:szCs w:val="20"/>
          <w:lang w:val="en-US"/>
        </w:rPr>
      </w:pPr>
      <w:r w:rsidRPr="003F30C1">
        <w:rPr>
          <w:rFonts w:ascii="Latin Modern Roman" w:hAnsi="Latin Modern Roman"/>
          <w:sz w:val="20"/>
          <w:szCs w:val="20"/>
          <w:lang w:val="en-US"/>
        </w:rPr>
        <w:t>Importantly, the rules for collecti</w:t>
      </w:r>
      <w:r>
        <w:rPr>
          <w:rFonts w:ascii="Latin Modern Roman" w:hAnsi="Latin Modern Roman"/>
          <w:sz w:val="20"/>
          <w:szCs w:val="20"/>
          <w:lang w:val="en-US"/>
        </w:rPr>
        <w:t>ng</w:t>
      </w:r>
      <w:r w:rsidRPr="003F30C1">
        <w:rPr>
          <w:rFonts w:ascii="Latin Modern Roman" w:hAnsi="Latin Modern Roman"/>
          <w:sz w:val="20"/>
          <w:szCs w:val="20"/>
          <w:lang w:val="en-US"/>
        </w:rPr>
        <w:t xml:space="preserve"> COVID-19 data and recording deaths are the same in all regions of Russia and cannot explain the within-country differences we investigate in our paper. </w:t>
      </w:r>
    </w:p>
    <w:p w14:paraId="77922EFD" w14:textId="77777777" w:rsidR="00613B33" w:rsidRPr="0020028D" w:rsidRDefault="00613B33" w:rsidP="00613B33">
      <w:pPr>
        <w:jc w:val="both"/>
        <w:rPr>
          <w:rFonts w:ascii="Latin Modern Roman" w:hAnsi="Latin Modern Roman"/>
          <w:sz w:val="20"/>
          <w:szCs w:val="20"/>
          <w:lang w:val="en-US"/>
        </w:rPr>
      </w:pPr>
    </w:p>
    <w:p w14:paraId="3E218D28" w14:textId="77777777" w:rsidR="00613B33" w:rsidRPr="00F71412" w:rsidRDefault="00613B33" w:rsidP="00613B33">
      <w:pPr>
        <w:jc w:val="both"/>
        <w:rPr>
          <w:rFonts w:ascii="Latin Modern Roman" w:hAnsi="Latin Modern Roman"/>
          <w:b/>
          <w:sz w:val="20"/>
          <w:szCs w:val="20"/>
          <w:lang w:val="en-US"/>
        </w:rPr>
      </w:pPr>
      <w:r w:rsidRPr="0020028D">
        <w:rPr>
          <w:rFonts w:ascii="Latin Modern Roman" w:hAnsi="Latin Modern Roman"/>
          <w:b/>
          <w:sz w:val="20"/>
          <w:szCs w:val="20"/>
          <w:lang w:val="en-US"/>
        </w:rPr>
        <w:t xml:space="preserve">A3: Possible </w:t>
      </w:r>
      <w:r w:rsidRPr="00F71412">
        <w:rPr>
          <w:rFonts w:ascii="Latin Modern Roman" w:hAnsi="Latin Modern Roman"/>
          <w:b/>
          <w:sz w:val="20"/>
          <w:szCs w:val="20"/>
          <w:lang w:val="en-US"/>
        </w:rPr>
        <w:t>manipulation of excess mortality</w:t>
      </w:r>
    </w:p>
    <w:p w14:paraId="28310B14" w14:textId="2DEA5FCD" w:rsidR="00613B33" w:rsidRPr="00F71412" w:rsidRDefault="00613B33" w:rsidP="00613B33">
      <w:pPr>
        <w:jc w:val="both"/>
        <w:rPr>
          <w:rFonts w:ascii="Latin Modern Roman" w:hAnsi="Latin Modern Roman"/>
          <w:sz w:val="20"/>
          <w:szCs w:val="20"/>
          <w:lang w:val="en-US"/>
        </w:rPr>
      </w:pPr>
      <w:r w:rsidRPr="00F71412">
        <w:rPr>
          <w:rFonts w:ascii="Latin Modern Roman" w:hAnsi="Latin Modern Roman"/>
          <w:sz w:val="20"/>
          <w:szCs w:val="20"/>
          <w:lang w:val="en-US"/>
        </w:rPr>
        <w:t xml:space="preserve">As discussed in </w:t>
      </w:r>
      <w:r w:rsidRPr="003F30C1">
        <w:rPr>
          <w:rFonts w:ascii="Latin Modern Roman" w:hAnsi="Latin Modern Roman"/>
          <w:sz w:val="20"/>
          <w:szCs w:val="20"/>
          <w:lang w:val="en-US"/>
        </w:rPr>
        <w:t>A2</w:t>
      </w:r>
      <w:r w:rsidRPr="00F71412">
        <w:rPr>
          <w:rFonts w:ascii="Latin Modern Roman" w:hAnsi="Latin Modern Roman"/>
          <w:sz w:val="20"/>
          <w:szCs w:val="20"/>
          <w:lang w:val="en-US"/>
        </w:rPr>
        <w:t xml:space="preserve">, the information on excess mortality is collected by Rosstat based on the reports of the </w:t>
      </w:r>
      <w:r w:rsidR="00895654">
        <w:rPr>
          <w:rFonts w:ascii="Latin Modern Roman" w:hAnsi="Latin Modern Roman"/>
          <w:sz w:val="20"/>
          <w:szCs w:val="20"/>
          <w:lang w:val="en-US"/>
        </w:rPr>
        <w:t>local registry offices (</w:t>
      </w:r>
      <w:r w:rsidRPr="00F71412">
        <w:rPr>
          <w:rFonts w:ascii="Latin Modern Roman" w:hAnsi="Latin Modern Roman"/>
          <w:sz w:val="20"/>
          <w:szCs w:val="20"/>
          <w:lang w:val="en-US"/>
        </w:rPr>
        <w:t>ZAGS</w:t>
      </w:r>
      <w:r w:rsidR="00895654">
        <w:rPr>
          <w:rFonts w:ascii="Latin Modern Roman" w:hAnsi="Latin Modern Roman"/>
          <w:sz w:val="20"/>
          <w:szCs w:val="20"/>
          <w:lang w:val="en-US"/>
        </w:rPr>
        <w:t>)</w:t>
      </w:r>
      <w:r w:rsidRPr="00F71412">
        <w:rPr>
          <w:rFonts w:ascii="Latin Modern Roman" w:hAnsi="Latin Modern Roman"/>
          <w:sz w:val="20"/>
          <w:szCs w:val="20"/>
          <w:lang w:val="en-US"/>
        </w:rPr>
        <w:t xml:space="preserve">. The functions of the </w:t>
      </w:r>
      <w:r w:rsidR="00895654" w:rsidRPr="00F71412">
        <w:rPr>
          <w:rFonts w:ascii="Latin Modern Roman" w:hAnsi="Latin Modern Roman"/>
          <w:sz w:val="20"/>
          <w:szCs w:val="20"/>
          <w:lang w:val="en-US"/>
        </w:rPr>
        <w:t>ZAG</w:t>
      </w:r>
      <w:r w:rsidR="00895654">
        <w:rPr>
          <w:rFonts w:ascii="Latin Modern Roman" w:hAnsi="Latin Modern Roman"/>
          <w:sz w:val="20"/>
          <w:szCs w:val="20"/>
          <w:lang w:val="en-US"/>
        </w:rPr>
        <w:t>S</w:t>
      </w:r>
      <w:r w:rsidR="00895654" w:rsidRPr="00F71412">
        <w:rPr>
          <w:rFonts w:ascii="Latin Modern Roman" w:hAnsi="Latin Modern Roman"/>
          <w:sz w:val="20"/>
          <w:szCs w:val="20"/>
          <w:lang w:val="en-US"/>
        </w:rPr>
        <w:t xml:space="preserve"> </w:t>
      </w:r>
      <w:r w:rsidRPr="00F71412">
        <w:rPr>
          <w:rFonts w:ascii="Latin Modern Roman" w:hAnsi="Latin Modern Roman"/>
          <w:sz w:val="20"/>
          <w:szCs w:val="20"/>
          <w:lang w:val="en-US"/>
        </w:rPr>
        <w:t xml:space="preserve">and registration procedures are regulated by the special Federal Law N143. According to the law, the death should be reported to the registry office no late than three days after the event to get the special state death certificate. </w:t>
      </w:r>
      <w:r w:rsidR="00895654">
        <w:rPr>
          <w:rFonts w:ascii="Latin Modern Roman" w:hAnsi="Latin Modern Roman"/>
          <w:sz w:val="20"/>
          <w:szCs w:val="20"/>
          <w:lang w:val="en-US"/>
        </w:rPr>
        <w:t>R</w:t>
      </w:r>
      <w:r w:rsidR="00895654" w:rsidRPr="00F71412">
        <w:rPr>
          <w:rFonts w:ascii="Latin Modern Roman" w:hAnsi="Latin Modern Roman"/>
          <w:sz w:val="20"/>
          <w:szCs w:val="20"/>
          <w:lang w:val="en-US"/>
        </w:rPr>
        <w:t>egistry office</w:t>
      </w:r>
      <w:r w:rsidR="00895654">
        <w:rPr>
          <w:rFonts w:ascii="Latin Modern Roman" w:hAnsi="Latin Modern Roman"/>
          <w:sz w:val="20"/>
          <w:szCs w:val="20"/>
          <w:lang w:val="en-US"/>
        </w:rPr>
        <w:t>s</w:t>
      </w:r>
      <w:r w:rsidRPr="00F71412">
        <w:rPr>
          <w:rFonts w:ascii="Latin Modern Roman" w:hAnsi="Latin Modern Roman"/>
          <w:sz w:val="20"/>
          <w:szCs w:val="20"/>
          <w:lang w:val="en-US"/>
        </w:rPr>
        <w:t>are responsible for certain territories and issue certificates for deceased residents of these territories. The death certificate of the ZAGS is issued based on the so-called ‘medical death certificate’, which is prepared by the physician or hospital identifying the fact of death. However, from the legal point of view, it is the death certificate of the ZAGS, which is decisive</w:t>
      </w:r>
      <w:r w:rsidR="00000B40">
        <w:rPr>
          <w:rFonts w:ascii="Latin Modern Roman" w:hAnsi="Latin Modern Roman"/>
          <w:sz w:val="20"/>
          <w:szCs w:val="20"/>
          <w:lang w:val="en-US"/>
        </w:rPr>
        <w:t>,</w:t>
      </w:r>
      <w:r w:rsidRPr="00F71412">
        <w:rPr>
          <w:rFonts w:ascii="Latin Modern Roman" w:hAnsi="Latin Modern Roman"/>
          <w:sz w:val="20"/>
          <w:szCs w:val="20"/>
          <w:lang w:val="en-US"/>
        </w:rPr>
        <w:t xml:space="preserve"> for instance, for the following actions: receiving a cemetery plot; dissolving the marriage by the death of the spouse; receiving the bequest; transferring legal guardianship over a child; receiving public subsidies associated with the death of a relative etc.</w:t>
      </w:r>
      <w:r w:rsidRPr="003F30C1">
        <w:rPr>
          <w:rFonts w:ascii="Latin Modern Roman" w:hAnsi="Latin Modern Roman"/>
          <w:sz w:val="20"/>
          <w:szCs w:val="20"/>
          <w:lang w:val="en-US"/>
        </w:rPr>
        <w:t>; even church funerals typically require the death certificate to be presented to the priest</w:t>
      </w:r>
      <w:r w:rsidRPr="00F71412">
        <w:rPr>
          <w:rFonts w:ascii="Latin Modern Roman" w:hAnsi="Latin Modern Roman"/>
          <w:sz w:val="20"/>
          <w:szCs w:val="20"/>
          <w:lang w:val="en-US"/>
        </w:rPr>
        <w:t xml:space="preserve"> (for details of the procedure, see the description at Gosuslugi, the official portal of the Russian government: </w:t>
      </w:r>
      <w:hyperlink r:id="rId9" w:history="1">
        <w:r w:rsidRPr="00F71412">
          <w:rPr>
            <w:rStyle w:val="Hyperlink"/>
            <w:rFonts w:ascii="Latin Modern Roman" w:hAnsi="Latin Modern Roman"/>
            <w:sz w:val="20"/>
            <w:szCs w:val="20"/>
            <w:lang w:val="en-US"/>
          </w:rPr>
          <w:t>https://www.gosuslugi.ru/situation/bereavement/death_registration</w:t>
        </w:r>
      </w:hyperlink>
      <w:r w:rsidRPr="00F71412">
        <w:rPr>
          <w:rFonts w:ascii="Latin Modern Roman" w:hAnsi="Latin Modern Roman"/>
          <w:sz w:val="20"/>
          <w:szCs w:val="20"/>
          <w:lang w:val="en-US"/>
        </w:rPr>
        <w:t>). Therefore, in most cases, relatives are interested in receiving the death certificate as soon as possible</w:t>
      </w:r>
      <w:r w:rsidRPr="003F30C1">
        <w:rPr>
          <w:rFonts w:ascii="Latin Modern Roman" w:hAnsi="Latin Modern Roman"/>
          <w:sz w:val="20"/>
          <w:szCs w:val="20"/>
          <w:lang w:val="en-US"/>
        </w:rPr>
        <w:t xml:space="preserve"> (https://www.eduklgd.ru/zhaloby/oformlenie-svidetelstva-o-smerti.html)</w:t>
      </w:r>
      <w:r w:rsidRPr="00F71412">
        <w:rPr>
          <w:rFonts w:ascii="Latin Modern Roman" w:hAnsi="Latin Modern Roman"/>
          <w:sz w:val="20"/>
          <w:szCs w:val="20"/>
          <w:lang w:val="en-US"/>
        </w:rPr>
        <w:t>; this death certificate is automatically registered in the ZAGS database and later transferred to Rosstat.</w:t>
      </w:r>
    </w:p>
    <w:p w14:paraId="7C82C60B" w14:textId="77AD55AE" w:rsidR="00613B33" w:rsidRPr="0020028D" w:rsidRDefault="00613B33" w:rsidP="00613B33">
      <w:pPr>
        <w:jc w:val="both"/>
        <w:rPr>
          <w:rFonts w:ascii="Latin Modern Roman" w:hAnsi="Latin Modern Roman"/>
          <w:sz w:val="20"/>
          <w:szCs w:val="20"/>
          <w:lang w:val="en-US"/>
        </w:rPr>
      </w:pPr>
      <w:r w:rsidRPr="00F71412">
        <w:rPr>
          <w:rFonts w:ascii="Latin Modern Roman" w:hAnsi="Latin Modern Roman"/>
          <w:sz w:val="20"/>
          <w:szCs w:val="20"/>
          <w:lang w:val="en-US"/>
        </w:rPr>
        <w:t xml:space="preserve">This </w:t>
      </w:r>
      <w:r w:rsidRPr="003F30C1">
        <w:rPr>
          <w:rFonts w:ascii="Latin Modern Roman" w:hAnsi="Latin Modern Roman"/>
          <w:sz w:val="20"/>
          <w:szCs w:val="20"/>
          <w:lang w:val="en-US"/>
        </w:rPr>
        <w:t xml:space="preserve">setting </w:t>
      </w:r>
      <w:r w:rsidRPr="00F71412">
        <w:rPr>
          <w:rFonts w:ascii="Latin Modern Roman" w:hAnsi="Latin Modern Roman"/>
          <w:sz w:val="20"/>
          <w:szCs w:val="20"/>
          <w:lang w:val="en-US"/>
        </w:rPr>
        <w:t>reduces the options for manipulation. ZAGS</w:t>
      </w:r>
      <w:r w:rsidR="00392BB1">
        <w:rPr>
          <w:rFonts w:ascii="Latin Modern Roman" w:hAnsi="Latin Modern Roman"/>
          <w:sz w:val="20"/>
          <w:szCs w:val="20"/>
          <w:lang w:val="en-US"/>
        </w:rPr>
        <w:t>s</w:t>
      </w:r>
      <w:r w:rsidRPr="00F71412">
        <w:rPr>
          <w:rFonts w:ascii="Latin Modern Roman" w:hAnsi="Latin Modern Roman"/>
          <w:sz w:val="20"/>
          <w:szCs w:val="20"/>
          <w:lang w:val="en-US"/>
        </w:rPr>
        <w:t xml:space="preserve"> cannot simply refuse to issue a death certificate because it precludes a number of acts (including burial or cremation). As soon as the certificate is issued, it is registered in the database, with the information later to be sent to Rosstat. At the same time, the cause of death (as indicated in the medical death certificate) has no impact on these acts</w:t>
      </w:r>
      <w:r w:rsidRPr="003F30C1">
        <w:rPr>
          <w:rFonts w:ascii="Latin Modern Roman" w:hAnsi="Latin Modern Roman"/>
          <w:sz w:val="20"/>
          <w:szCs w:val="20"/>
          <w:lang w:val="en-US"/>
        </w:rPr>
        <w:t xml:space="preserve"> – an individual can be buried,</w:t>
      </w:r>
      <w:r>
        <w:rPr>
          <w:rFonts w:ascii="Latin Modern Roman" w:hAnsi="Latin Modern Roman"/>
          <w:sz w:val="20"/>
          <w:szCs w:val="20"/>
          <w:lang w:val="en-US"/>
        </w:rPr>
        <w:t xml:space="preserve"> </w:t>
      </w:r>
      <w:r w:rsidRPr="003F30C1">
        <w:rPr>
          <w:rFonts w:ascii="Latin Modern Roman" w:hAnsi="Latin Modern Roman"/>
          <w:sz w:val="20"/>
          <w:szCs w:val="20"/>
          <w:lang w:val="en-US"/>
        </w:rPr>
        <w:t>transfer of bequest can occu</w:t>
      </w:r>
      <w:r>
        <w:rPr>
          <w:rFonts w:ascii="Latin Modern Roman" w:hAnsi="Latin Modern Roman"/>
          <w:sz w:val="20"/>
          <w:szCs w:val="20"/>
          <w:lang w:val="en-US"/>
        </w:rPr>
        <w:t>r, etc.,</w:t>
      </w:r>
      <w:r w:rsidRPr="003F30C1">
        <w:rPr>
          <w:rFonts w:ascii="Latin Modern Roman" w:hAnsi="Latin Modern Roman"/>
          <w:sz w:val="20"/>
          <w:szCs w:val="20"/>
          <w:lang w:val="en-US"/>
        </w:rPr>
        <w:t xml:space="preserve"> regardless of the cause of death. </w:t>
      </w:r>
      <w:r w:rsidRPr="00F71412">
        <w:rPr>
          <w:rFonts w:ascii="Latin Modern Roman" w:hAnsi="Latin Modern Roman"/>
          <w:sz w:val="20"/>
          <w:szCs w:val="20"/>
          <w:lang w:val="en-US"/>
        </w:rPr>
        <w:t xml:space="preserve">The information on the cause of death is frequently provided in a complex medical language in line with ICD-10 (see </w:t>
      </w:r>
      <w:r w:rsidR="00217A61">
        <w:rPr>
          <w:rFonts w:ascii="Latin Modern Roman" w:hAnsi="Latin Modern Roman"/>
          <w:sz w:val="20"/>
          <w:szCs w:val="20"/>
          <w:lang w:val="en-US"/>
        </w:rPr>
        <w:t xml:space="preserve">an </w:t>
      </w:r>
      <w:r w:rsidRPr="00F71412">
        <w:rPr>
          <w:rFonts w:ascii="Latin Modern Roman" w:hAnsi="Latin Modern Roman"/>
          <w:sz w:val="20"/>
          <w:szCs w:val="20"/>
          <w:lang w:val="en-US"/>
        </w:rPr>
        <w:t xml:space="preserve">example here: </w:t>
      </w:r>
      <w:hyperlink r:id="rId10" w:history="1">
        <w:r w:rsidRPr="00F71412">
          <w:rPr>
            <w:rStyle w:val="Hyperlink"/>
            <w:rFonts w:ascii="Latin Modern Roman" w:hAnsi="Latin Modern Roman"/>
            <w:sz w:val="20"/>
            <w:szCs w:val="20"/>
            <w:lang w:val="en-US"/>
          </w:rPr>
          <w:t>https://www.infomed39.ru/upload/iblock/2ef/2efb51ce27f7f0238a56084a935ac03a.pdf</w:t>
        </w:r>
      </w:hyperlink>
      <w:r w:rsidRPr="00F71412">
        <w:rPr>
          <w:rFonts w:ascii="Latin Modern Roman" w:hAnsi="Latin Modern Roman"/>
          <w:sz w:val="20"/>
          <w:szCs w:val="20"/>
          <w:lang w:val="en-US"/>
        </w:rPr>
        <w:t>). Thus, relatives, who de</w:t>
      </w:r>
      <w:r w:rsidRPr="0020028D">
        <w:rPr>
          <w:rFonts w:ascii="Latin Modern Roman" w:hAnsi="Latin Modern Roman"/>
          <w:sz w:val="20"/>
          <w:szCs w:val="20"/>
          <w:lang w:val="en-US"/>
        </w:rPr>
        <w:t xml:space="preserve">finitively need the death certificate to be issued, are not always interested in the specific cause of death or can even understand the reasons physicians had to indicate a particular cause of death. </w:t>
      </w:r>
    </w:p>
    <w:p w14:paraId="3FF494A6" w14:textId="65E8EE8C" w:rsidR="00613B33" w:rsidRPr="0020028D" w:rsidRDefault="00613B33" w:rsidP="00613B33">
      <w:pPr>
        <w:jc w:val="both"/>
        <w:rPr>
          <w:rFonts w:ascii="Latin Modern Roman" w:hAnsi="Latin Modern Roman"/>
          <w:sz w:val="20"/>
          <w:szCs w:val="20"/>
          <w:lang w:val="en-US"/>
        </w:rPr>
      </w:pPr>
      <w:r w:rsidRPr="0020028D">
        <w:rPr>
          <w:rFonts w:ascii="Latin Modern Roman" w:hAnsi="Latin Modern Roman"/>
          <w:sz w:val="20"/>
          <w:szCs w:val="20"/>
          <w:lang w:val="en-US"/>
        </w:rPr>
        <w:lastRenderedPageBreak/>
        <w:t>The ZAGS statistics suffer from a different problem: delays in issuing death certificates and transferring information from the ZAGS</w:t>
      </w:r>
      <w:r w:rsidR="00BC5586">
        <w:rPr>
          <w:rFonts w:ascii="Latin Modern Roman" w:hAnsi="Latin Modern Roman"/>
          <w:sz w:val="20"/>
          <w:szCs w:val="20"/>
          <w:lang w:val="en-US"/>
        </w:rPr>
        <w:t>s</w:t>
      </w:r>
      <w:r w:rsidRPr="0020028D">
        <w:rPr>
          <w:rFonts w:ascii="Latin Modern Roman" w:hAnsi="Latin Modern Roman"/>
          <w:sz w:val="20"/>
          <w:szCs w:val="20"/>
          <w:lang w:val="en-US"/>
        </w:rPr>
        <w:t xml:space="preserve"> to Rosstat. These delays in May and June 2020 could have occurred because of social distancing measures when many ZAGS offices were closed.</w:t>
      </w:r>
      <w:r w:rsidRPr="0020028D">
        <w:rPr>
          <w:rStyle w:val="Funotenzeichen"/>
          <w:rFonts w:ascii="Latin Modern Roman" w:hAnsi="Latin Modern Roman"/>
          <w:sz w:val="20"/>
          <w:szCs w:val="20"/>
          <w:lang w:val="en-US"/>
        </w:rPr>
        <w:footnoteReference w:id="2"/>
      </w:r>
      <w:r w:rsidRPr="0020028D">
        <w:rPr>
          <w:rFonts w:ascii="Latin Modern Roman" w:hAnsi="Latin Modern Roman"/>
          <w:sz w:val="20"/>
          <w:szCs w:val="20"/>
          <w:lang w:val="en-US"/>
        </w:rPr>
        <w:t xml:space="preserve"> There are individual reports of burials taking place with hand-written death certificates in the media. However, even in this case, the death certificate had to be issued ex-post after the ZAGS resumed their work. Thus, the information published after the referendum should be free from possible issues associated with delays. </w:t>
      </w:r>
    </w:p>
    <w:p w14:paraId="24F77980" w14:textId="09CD27A6" w:rsidR="00613B33" w:rsidRPr="0020028D" w:rsidRDefault="00613B33" w:rsidP="00613B33">
      <w:pPr>
        <w:jc w:val="both"/>
        <w:rPr>
          <w:rFonts w:ascii="Latin Modern Roman" w:hAnsi="Latin Modern Roman"/>
          <w:sz w:val="20"/>
          <w:szCs w:val="20"/>
          <w:lang w:val="en-US"/>
        </w:rPr>
      </w:pPr>
      <w:r w:rsidRPr="0020028D">
        <w:rPr>
          <w:rFonts w:ascii="Latin Modern Roman" w:hAnsi="Latin Modern Roman"/>
          <w:sz w:val="20"/>
          <w:szCs w:val="20"/>
          <w:lang w:val="en-US"/>
        </w:rPr>
        <w:t>The existing literature typically treats the death statistics from the ZAGS as reliable; at the same time, the literature frequently acknowledges that ill-defined causes of death were frequent in Russia even prior to the pandemic (when data manipulation was driven by other factors, e.g., willingness to fulfill the goals set by federal priority programs on specific diseases) (Gavrilova et al.</w:t>
      </w:r>
      <w:r w:rsidRPr="003F30C1">
        <w:rPr>
          <w:rFonts w:ascii="Latin Modern Roman" w:hAnsi="Latin Modern Roman"/>
          <w:sz w:val="20"/>
          <w:szCs w:val="20"/>
          <w:lang w:val="en-US"/>
        </w:rPr>
        <w:t>,</w:t>
      </w:r>
      <w:r w:rsidRPr="0020028D">
        <w:rPr>
          <w:rFonts w:ascii="Latin Modern Roman" w:hAnsi="Latin Modern Roman"/>
          <w:sz w:val="20"/>
          <w:szCs w:val="20"/>
          <w:lang w:val="en-US"/>
        </w:rPr>
        <w:t xml:space="preserve"> 2008; Rozenberg et al.</w:t>
      </w:r>
      <w:r w:rsidRPr="003F30C1">
        <w:rPr>
          <w:rFonts w:ascii="Latin Modern Roman" w:hAnsi="Latin Modern Roman"/>
          <w:sz w:val="20"/>
          <w:szCs w:val="20"/>
          <w:lang w:val="en-US"/>
        </w:rPr>
        <w:t>,</w:t>
      </w:r>
      <w:r w:rsidRPr="0020028D">
        <w:rPr>
          <w:rFonts w:ascii="Latin Modern Roman" w:hAnsi="Latin Modern Roman"/>
          <w:sz w:val="20"/>
          <w:szCs w:val="20"/>
          <w:lang w:val="en-US"/>
        </w:rPr>
        <w:t xml:space="preserve"> 2018; Kobak</w:t>
      </w:r>
      <w:r w:rsidRPr="003F30C1">
        <w:rPr>
          <w:rFonts w:ascii="Latin Modern Roman" w:hAnsi="Latin Modern Roman"/>
          <w:sz w:val="20"/>
          <w:szCs w:val="20"/>
          <w:lang w:val="en-US"/>
        </w:rPr>
        <w:t>,</w:t>
      </w:r>
      <w:r w:rsidRPr="0020028D">
        <w:rPr>
          <w:rFonts w:ascii="Latin Modern Roman" w:hAnsi="Latin Modern Roman"/>
          <w:sz w:val="20"/>
          <w:szCs w:val="20"/>
          <w:lang w:val="en-US"/>
        </w:rPr>
        <w:t xml:space="preserve"> 2021). </w:t>
      </w:r>
    </w:p>
    <w:p w14:paraId="44FCEB22" w14:textId="77777777" w:rsidR="00613B33" w:rsidRPr="003F30C1" w:rsidRDefault="00613B33" w:rsidP="00613B33">
      <w:pPr>
        <w:rPr>
          <w:rFonts w:ascii="Latin Modern Roman" w:eastAsiaTheme="majorEastAsia" w:hAnsi="Latin Modern Roman" w:cstheme="majorBidi"/>
          <w:sz w:val="20"/>
          <w:szCs w:val="20"/>
          <w:lang w:val="en-US"/>
        </w:rPr>
      </w:pPr>
      <w:r w:rsidRPr="003F30C1">
        <w:rPr>
          <w:rFonts w:ascii="Latin Modern Roman" w:hAnsi="Latin Modern Roman"/>
          <w:sz w:val="20"/>
          <w:szCs w:val="20"/>
          <w:lang w:val="en-US"/>
        </w:rPr>
        <w:br w:type="page"/>
      </w:r>
    </w:p>
    <w:p w14:paraId="35D543B4" w14:textId="77777777" w:rsidR="00613B33" w:rsidRPr="0020028D" w:rsidRDefault="00613B33" w:rsidP="00613B33">
      <w:pPr>
        <w:pStyle w:val="berschrift2"/>
        <w:rPr>
          <w:b/>
          <w:sz w:val="20"/>
          <w:szCs w:val="20"/>
          <w:lang w:val="en-US"/>
        </w:rPr>
      </w:pPr>
      <w:r w:rsidRPr="003F30C1">
        <w:rPr>
          <w:b/>
          <w:sz w:val="20"/>
          <w:szCs w:val="20"/>
          <w:lang w:val="en-US"/>
        </w:rPr>
        <w:lastRenderedPageBreak/>
        <w:t>B: Data and summary statistics</w:t>
      </w:r>
    </w:p>
    <w:p w14:paraId="367FC5C6" w14:textId="77777777" w:rsidR="00613B33" w:rsidRPr="003F30C1" w:rsidRDefault="00613B33" w:rsidP="00613B33">
      <w:pPr>
        <w:spacing w:after="0" w:line="240" w:lineRule="auto"/>
        <w:rPr>
          <w:rFonts w:ascii="Latin Modern Roman" w:hAnsi="Latin Modern Roman" w:cs="Times New Roman"/>
          <w:b/>
          <w:sz w:val="20"/>
          <w:szCs w:val="20"/>
          <w:lang w:val="en-US"/>
        </w:rPr>
      </w:pPr>
    </w:p>
    <w:tbl>
      <w:tblPr>
        <w:tblW w:w="5000" w:type="pct"/>
        <w:tblCellMar>
          <w:left w:w="70" w:type="dxa"/>
          <w:right w:w="70" w:type="dxa"/>
        </w:tblCellMar>
        <w:tblLook w:val="04A0" w:firstRow="1" w:lastRow="0" w:firstColumn="1" w:lastColumn="0" w:noHBand="0" w:noVBand="1"/>
      </w:tblPr>
      <w:tblGrid>
        <w:gridCol w:w="5589"/>
        <w:gridCol w:w="695"/>
        <w:gridCol w:w="698"/>
        <w:gridCol w:w="695"/>
        <w:gridCol w:w="695"/>
        <w:gridCol w:w="698"/>
      </w:tblGrid>
      <w:tr w:rsidR="00F562A0" w:rsidRPr="00A242F8" w14:paraId="4F5E68BC" w14:textId="77777777" w:rsidTr="00A242F8">
        <w:trPr>
          <w:trHeight w:val="255"/>
        </w:trPr>
        <w:tc>
          <w:tcPr>
            <w:tcW w:w="5000" w:type="pct"/>
            <w:gridSpan w:val="6"/>
            <w:tcBorders>
              <w:top w:val="nil"/>
              <w:left w:val="nil"/>
              <w:bottom w:val="nil"/>
              <w:right w:val="nil"/>
            </w:tcBorders>
            <w:shd w:val="clear" w:color="auto" w:fill="auto"/>
            <w:vAlign w:val="bottom"/>
            <w:hideMark/>
          </w:tcPr>
          <w:p w14:paraId="6F69F810" w14:textId="77777777" w:rsidR="00F562A0" w:rsidRPr="00A242F8" w:rsidRDefault="00F562A0" w:rsidP="00F562A0">
            <w:pPr>
              <w:spacing w:after="0" w:line="240" w:lineRule="auto"/>
              <w:rPr>
                <w:rFonts w:ascii="Latin Modern Roman" w:eastAsia="Times New Roman" w:hAnsi="Latin Modern Roman" w:cs="Arial"/>
                <w:sz w:val="20"/>
                <w:szCs w:val="20"/>
                <w:lang w:val="en-US" w:eastAsia="de-DE"/>
              </w:rPr>
            </w:pPr>
            <w:r w:rsidRPr="00A242F8">
              <w:rPr>
                <w:rFonts w:ascii="Latin Modern Roman" w:eastAsia="Times New Roman" w:hAnsi="Latin Modern Roman" w:cs="Arial"/>
                <w:sz w:val="20"/>
                <w:szCs w:val="20"/>
                <w:lang w:val="en-US" w:eastAsia="de-DE"/>
              </w:rPr>
              <w:t>Table B1: Summary statistics of the main variables</w:t>
            </w:r>
          </w:p>
        </w:tc>
      </w:tr>
      <w:tr w:rsidR="00F562A0" w:rsidRPr="00F562A0" w14:paraId="6E865876" w14:textId="77777777" w:rsidTr="00A242F8">
        <w:trPr>
          <w:trHeight w:val="345"/>
        </w:trPr>
        <w:tc>
          <w:tcPr>
            <w:tcW w:w="3082" w:type="pct"/>
            <w:tcBorders>
              <w:top w:val="single" w:sz="4" w:space="0" w:color="000000"/>
              <w:left w:val="nil"/>
              <w:bottom w:val="single" w:sz="4" w:space="0" w:color="000000"/>
              <w:right w:val="nil"/>
            </w:tcBorders>
            <w:shd w:val="clear" w:color="auto" w:fill="auto"/>
            <w:hideMark/>
          </w:tcPr>
          <w:p w14:paraId="73E4D5ED" w14:textId="77777777" w:rsidR="00F562A0" w:rsidRPr="00F562A0" w:rsidRDefault="00F562A0" w:rsidP="00F562A0">
            <w:pPr>
              <w:spacing w:after="0" w:line="240" w:lineRule="auto"/>
              <w:rPr>
                <w:rFonts w:ascii="Latin Modern Roman" w:eastAsia="Times New Roman" w:hAnsi="Latin Modern Roman" w:cs="Arial"/>
                <w:b/>
                <w:bCs/>
                <w:sz w:val="20"/>
                <w:szCs w:val="20"/>
                <w:lang w:eastAsia="de-DE"/>
              </w:rPr>
            </w:pPr>
            <w:r w:rsidRPr="00F562A0">
              <w:rPr>
                <w:rFonts w:ascii="Latin Modern Roman" w:eastAsia="Times New Roman" w:hAnsi="Latin Modern Roman" w:cs="Arial"/>
                <w:b/>
                <w:bCs/>
                <w:sz w:val="20"/>
                <w:szCs w:val="20"/>
                <w:lang w:eastAsia="de-DE"/>
              </w:rPr>
              <w:t>Variables</w:t>
            </w:r>
          </w:p>
        </w:tc>
        <w:tc>
          <w:tcPr>
            <w:tcW w:w="384" w:type="pct"/>
            <w:tcBorders>
              <w:top w:val="single" w:sz="4" w:space="0" w:color="000000"/>
              <w:left w:val="nil"/>
              <w:bottom w:val="single" w:sz="4" w:space="0" w:color="000000"/>
              <w:right w:val="nil"/>
            </w:tcBorders>
            <w:shd w:val="clear" w:color="auto" w:fill="auto"/>
            <w:hideMark/>
          </w:tcPr>
          <w:p w14:paraId="2CEFD8F0" w14:textId="77777777" w:rsidR="00F562A0" w:rsidRPr="00F562A0" w:rsidRDefault="00F562A0" w:rsidP="00F562A0">
            <w:pPr>
              <w:spacing w:after="0" w:line="240" w:lineRule="auto"/>
              <w:jc w:val="center"/>
              <w:rPr>
                <w:rFonts w:ascii="Latin Modern Roman" w:eastAsia="Times New Roman" w:hAnsi="Latin Modern Roman" w:cs="Arial"/>
                <w:b/>
                <w:bCs/>
                <w:sz w:val="20"/>
                <w:szCs w:val="20"/>
                <w:lang w:eastAsia="de-DE"/>
              </w:rPr>
            </w:pPr>
            <w:r w:rsidRPr="00F562A0">
              <w:rPr>
                <w:rFonts w:ascii="Latin Modern Roman" w:eastAsia="Times New Roman" w:hAnsi="Latin Modern Roman" w:cs="Arial"/>
                <w:b/>
                <w:bCs/>
                <w:sz w:val="20"/>
                <w:szCs w:val="20"/>
                <w:lang w:eastAsia="de-DE"/>
              </w:rPr>
              <w:t>Obs</w:t>
            </w:r>
          </w:p>
        </w:tc>
        <w:tc>
          <w:tcPr>
            <w:tcW w:w="384" w:type="pct"/>
            <w:tcBorders>
              <w:top w:val="single" w:sz="4" w:space="0" w:color="000000"/>
              <w:left w:val="nil"/>
              <w:bottom w:val="single" w:sz="4" w:space="0" w:color="000000"/>
              <w:right w:val="nil"/>
            </w:tcBorders>
            <w:shd w:val="clear" w:color="auto" w:fill="auto"/>
            <w:hideMark/>
          </w:tcPr>
          <w:p w14:paraId="08624223" w14:textId="77777777" w:rsidR="00F562A0" w:rsidRPr="00F562A0" w:rsidRDefault="00F562A0" w:rsidP="00F562A0">
            <w:pPr>
              <w:spacing w:after="0" w:line="240" w:lineRule="auto"/>
              <w:jc w:val="center"/>
              <w:rPr>
                <w:rFonts w:ascii="Latin Modern Roman" w:eastAsia="Times New Roman" w:hAnsi="Latin Modern Roman" w:cs="Arial"/>
                <w:b/>
                <w:bCs/>
                <w:sz w:val="20"/>
                <w:szCs w:val="20"/>
                <w:lang w:eastAsia="de-DE"/>
              </w:rPr>
            </w:pPr>
            <w:r w:rsidRPr="00F562A0">
              <w:rPr>
                <w:rFonts w:ascii="Latin Modern Roman" w:eastAsia="Times New Roman" w:hAnsi="Latin Modern Roman" w:cs="Arial"/>
                <w:b/>
                <w:bCs/>
                <w:sz w:val="20"/>
                <w:szCs w:val="20"/>
                <w:lang w:eastAsia="de-DE"/>
              </w:rPr>
              <w:t>Mean</w:t>
            </w:r>
          </w:p>
        </w:tc>
        <w:tc>
          <w:tcPr>
            <w:tcW w:w="384" w:type="pct"/>
            <w:tcBorders>
              <w:top w:val="single" w:sz="4" w:space="0" w:color="000000"/>
              <w:left w:val="nil"/>
              <w:bottom w:val="single" w:sz="4" w:space="0" w:color="000000"/>
              <w:right w:val="nil"/>
            </w:tcBorders>
            <w:shd w:val="clear" w:color="auto" w:fill="auto"/>
            <w:hideMark/>
          </w:tcPr>
          <w:p w14:paraId="3C8FEF1D" w14:textId="77777777" w:rsidR="00F562A0" w:rsidRPr="00F562A0" w:rsidRDefault="00F562A0" w:rsidP="00F562A0">
            <w:pPr>
              <w:spacing w:after="0" w:line="240" w:lineRule="auto"/>
              <w:jc w:val="center"/>
              <w:rPr>
                <w:rFonts w:ascii="Latin Modern Roman" w:eastAsia="Times New Roman" w:hAnsi="Latin Modern Roman" w:cs="Arial"/>
                <w:b/>
                <w:bCs/>
                <w:sz w:val="20"/>
                <w:szCs w:val="20"/>
                <w:lang w:eastAsia="de-DE"/>
              </w:rPr>
            </w:pPr>
            <w:r w:rsidRPr="00F562A0">
              <w:rPr>
                <w:rFonts w:ascii="Latin Modern Roman" w:eastAsia="Times New Roman" w:hAnsi="Latin Modern Roman" w:cs="Arial"/>
                <w:b/>
                <w:bCs/>
                <w:sz w:val="20"/>
                <w:szCs w:val="20"/>
                <w:lang w:eastAsia="de-DE"/>
              </w:rPr>
              <w:t>St. dev</w:t>
            </w:r>
          </w:p>
        </w:tc>
        <w:tc>
          <w:tcPr>
            <w:tcW w:w="384" w:type="pct"/>
            <w:tcBorders>
              <w:top w:val="single" w:sz="4" w:space="0" w:color="000000"/>
              <w:left w:val="nil"/>
              <w:bottom w:val="single" w:sz="4" w:space="0" w:color="000000"/>
              <w:right w:val="nil"/>
            </w:tcBorders>
            <w:shd w:val="clear" w:color="auto" w:fill="auto"/>
            <w:hideMark/>
          </w:tcPr>
          <w:p w14:paraId="78D5006D" w14:textId="77777777" w:rsidR="00F562A0" w:rsidRPr="00F562A0" w:rsidRDefault="00F562A0" w:rsidP="00F562A0">
            <w:pPr>
              <w:spacing w:after="0" w:line="240" w:lineRule="auto"/>
              <w:jc w:val="center"/>
              <w:rPr>
                <w:rFonts w:ascii="Latin Modern Roman" w:eastAsia="Times New Roman" w:hAnsi="Latin Modern Roman" w:cs="Arial"/>
                <w:b/>
                <w:bCs/>
                <w:sz w:val="20"/>
                <w:szCs w:val="20"/>
                <w:lang w:eastAsia="de-DE"/>
              </w:rPr>
            </w:pPr>
            <w:r w:rsidRPr="00F562A0">
              <w:rPr>
                <w:rFonts w:ascii="Latin Modern Roman" w:eastAsia="Times New Roman" w:hAnsi="Latin Modern Roman" w:cs="Arial"/>
                <w:b/>
                <w:bCs/>
                <w:sz w:val="20"/>
                <w:szCs w:val="20"/>
                <w:lang w:eastAsia="de-DE"/>
              </w:rPr>
              <w:t>Min</w:t>
            </w:r>
          </w:p>
        </w:tc>
        <w:tc>
          <w:tcPr>
            <w:tcW w:w="384" w:type="pct"/>
            <w:tcBorders>
              <w:top w:val="single" w:sz="4" w:space="0" w:color="000000"/>
              <w:left w:val="nil"/>
              <w:bottom w:val="single" w:sz="4" w:space="0" w:color="000000"/>
              <w:right w:val="nil"/>
            </w:tcBorders>
            <w:shd w:val="clear" w:color="auto" w:fill="auto"/>
            <w:hideMark/>
          </w:tcPr>
          <w:p w14:paraId="1E7E4E16" w14:textId="77777777" w:rsidR="00F562A0" w:rsidRPr="00F562A0" w:rsidRDefault="00F562A0" w:rsidP="00F562A0">
            <w:pPr>
              <w:spacing w:after="0" w:line="240" w:lineRule="auto"/>
              <w:jc w:val="center"/>
              <w:rPr>
                <w:rFonts w:ascii="Latin Modern Roman" w:eastAsia="Times New Roman" w:hAnsi="Latin Modern Roman" w:cs="Arial"/>
                <w:b/>
                <w:bCs/>
                <w:sz w:val="20"/>
                <w:szCs w:val="20"/>
                <w:lang w:eastAsia="de-DE"/>
              </w:rPr>
            </w:pPr>
            <w:r w:rsidRPr="00F562A0">
              <w:rPr>
                <w:rFonts w:ascii="Latin Modern Roman" w:eastAsia="Times New Roman" w:hAnsi="Latin Modern Roman" w:cs="Arial"/>
                <w:b/>
                <w:bCs/>
                <w:sz w:val="20"/>
                <w:szCs w:val="20"/>
                <w:lang w:eastAsia="de-DE"/>
              </w:rPr>
              <w:t>Max</w:t>
            </w:r>
          </w:p>
        </w:tc>
      </w:tr>
      <w:tr w:rsidR="00F562A0" w:rsidRPr="00F562A0" w14:paraId="21EFCBDF" w14:textId="77777777" w:rsidTr="00A242F8">
        <w:trPr>
          <w:trHeight w:val="255"/>
        </w:trPr>
        <w:tc>
          <w:tcPr>
            <w:tcW w:w="5000" w:type="pct"/>
            <w:gridSpan w:val="6"/>
            <w:tcBorders>
              <w:top w:val="single" w:sz="4" w:space="0" w:color="000000"/>
              <w:left w:val="nil"/>
              <w:bottom w:val="single" w:sz="4" w:space="0" w:color="000000"/>
              <w:right w:val="nil"/>
            </w:tcBorders>
            <w:shd w:val="clear" w:color="auto" w:fill="auto"/>
            <w:hideMark/>
          </w:tcPr>
          <w:p w14:paraId="32FCA918" w14:textId="77777777" w:rsidR="00F562A0" w:rsidRPr="00F562A0" w:rsidRDefault="00F562A0" w:rsidP="00F562A0">
            <w:pPr>
              <w:spacing w:after="0" w:line="240" w:lineRule="auto"/>
              <w:jc w:val="center"/>
              <w:rPr>
                <w:rFonts w:ascii="Latin Modern Roman" w:eastAsia="Times New Roman" w:hAnsi="Latin Modern Roman" w:cs="Arial"/>
                <w:b/>
                <w:bCs/>
                <w:sz w:val="20"/>
                <w:szCs w:val="20"/>
                <w:lang w:eastAsia="de-DE"/>
              </w:rPr>
            </w:pPr>
            <w:r w:rsidRPr="00F562A0">
              <w:rPr>
                <w:rFonts w:ascii="Latin Modern Roman" w:eastAsia="Times New Roman" w:hAnsi="Latin Modern Roman" w:cs="Arial"/>
                <w:b/>
                <w:bCs/>
                <w:sz w:val="20"/>
                <w:szCs w:val="20"/>
                <w:lang w:eastAsia="de-DE"/>
              </w:rPr>
              <w:t>Cross-sectional data</w:t>
            </w:r>
          </w:p>
        </w:tc>
      </w:tr>
      <w:tr w:rsidR="00F562A0" w:rsidRPr="00F562A0" w14:paraId="171A5CE0" w14:textId="77777777" w:rsidTr="00A242F8">
        <w:trPr>
          <w:trHeight w:val="345"/>
        </w:trPr>
        <w:tc>
          <w:tcPr>
            <w:tcW w:w="3082" w:type="pct"/>
            <w:tcBorders>
              <w:top w:val="nil"/>
              <w:left w:val="nil"/>
              <w:bottom w:val="nil"/>
              <w:right w:val="nil"/>
            </w:tcBorders>
            <w:shd w:val="clear" w:color="auto" w:fill="auto"/>
            <w:vAlign w:val="center"/>
            <w:hideMark/>
          </w:tcPr>
          <w:p w14:paraId="076CEECD" w14:textId="77777777" w:rsidR="00F562A0" w:rsidRPr="00F562A0" w:rsidRDefault="00F562A0" w:rsidP="00F562A0">
            <w:pPr>
              <w:spacing w:after="0" w:line="240" w:lineRule="auto"/>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Elections approaching, dummy</w:t>
            </w:r>
          </w:p>
        </w:tc>
        <w:tc>
          <w:tcPr>
            <w:tcW w:w="384" w:type="pct"/>
            <w:tcBorders>
              <w:top w:val="nil"/>
              <w:left w:val="nil"/>
              <w:bottom w:val="nil"/>
              <w:right w:val="nil"/>
            </w:tcBorders>
            <w:shd w:val="clear" w:color="auto" w:fill="auto"/>
            <w:noWrap/>
            <w:vAlign w:val="bottom"/>
            <w:hideMark/>
          </w:tcPr>
          <w:p w14:paraId="7911D834"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680</w:t>
            </w:r>
          </w:p>
        </w:tc>
        <w:tc>
          <w:tcPr>
            <w:tcW w:w="384" w:type="pct"/>
            <w:tcBorders>
              <w:top w:val="nil"/>
              <w:left w:val="nil"/>
              <w:bottom w:val="nil"/>
              <w:right w:val="nil"/>
            </w:tcBorders>
            <w:shd w:val="clear" w:color="auto" w:fill="auto"/>
            <w:noWrap/>
            <w:vAlign w:val="bottom"/>
            <w:hideMark/>
          </w:tcPr>
          <w:p w14:paraId="3CA049C3"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0.51</w:t>
            </w:r>
          </w:p>
        </w:tc>
        <w:tc>
          <w:tcPr>
            <w:tcW w:w="384" w:type="pct"/>
            <w:tcBorders>
              <w:top w:val="nil"/>
              <w:left w:val="nil"/>
              <w:bottom w:val="nil"/>
              <w:right w:val="nil"/>
            </w:tcBorders>
            <w:shd w:val="clear" w:color="auto" w:fill="auto"/>
            <w:noWrap/>
            <w:vAlign w:val="bottom"/>
            <w:hideMark/>
          </w:tcPr>
          <w:p w14:paraId="6C3A95E1"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0.5</w:t>
            </w:r>
          </w:p>
        </w:tc>
        <w:tc>
          <w:tcPr>
            <w:tcW w:w="384" w:type="pct"/>
            <w:tcBorders>
              <w:top w:val="nil"/>
              <w:left w:val="nil"/>
              <w:bottom w:val="nil"/>
              <w:right w:val="nil"/>
            </w:tcBorders>
            <w:shd w:val="clear" w:color="auto" w:fill="auto"/>
            <w:noWrap/>
            <w:vAlign w:val="bottom"/>
            <w:hideMark/>
          </w:tcPr>
          <w:p w14:paraId="1E94C2FD"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w:t>
            </w:r>
          </w:p>
        </w:tc>
        <w:tc>
          <w:tcPr>
            <w:tcW w:w="384" w:type="pct"/>
            <w:tcBorders>
              <w:top w:val="nil"/>
              <w:left w:val="nil"/>
              <w:bottom w:val="nil"/>
              <w:right w:val="nil"/>
            </w:tcBorders>
            <w:shd w:val="clear" w:color="auto" w:fill="auto"/>
            <w:noWrap/>
            <w:vAlign w:val="bottom"/>
            <w:hideMark/>
          </w:tcPr>
          <w:p w14:paraId="4C092D44"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w:t>
            </w:r>
          </w:p>
        </w:tc>
      </w:tr>
      <w:tr w:rsidR="00F562A0" w:rsidRPr="00F562A0" w14:paraId="53DF1EA7" w14:textId="77777777" w:rsidTr="00A242F8">
        <w:trPr>
          <w:trHeight w:val="345"/>
        </w:trPr>
        <w:tc>
          <w:tcPr>
            <w:tcW w:w="3082" w:type="pct"/>
            <w:tcBorders>
              <w:top w:val="nil"/>
              <w:left w:val="nil"/>
              <w:bottom w:val="nil"/>
              <w:right w:val="nil"/>
            </w:tcBorders>
            <w:shd w:val="clear" w:color="auto" w:fill="auto"/>
            <w:vAlign w:val="center"/>
            <w:hideMark/>
          </w:tcPr>
          <w:p w14:paraId="6969C8AD" w14:textId="77777777" w:rsidR="00F562A0" w:rsidRPr="00F562A0" w:rsidRDefault="00F562A0" w:rsidP="00F562A0">
            <w:pPr>
              <w:spacing w:after="0" w:line="240" w:lineRule="auto"/>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Elections proximity, full years</w:t>
            </w:r>
          </w:p>
        </w:tc>
        <w:tc>
          <w:tcPr>
            <w:tcW w:w="384" w:type="pct"/>
            <w:tcBorders>
              <w:top w:val="nil"/>
              <w:left w:val="nil"/>
              <w:bottom w:val="nil"/>
              <w:right w:val="nil"/>
            </w:tcBorders>
            <w:shd w:val="clear" w:color="auto" w:fill="auto"/>
            <w:noWrap/>
            <w:vAlign w:val="bottom"/>
            <w:hideMark/>
          </w:tcPr>
          <w:p w14:paraId="1A4483BF"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680</w:t>
            </w:r>
          </w:p>
        </w:tc>
        <w:tc>
          <w:tcPr>
            <w:tcW w:w="384" w:type="pct"/>
            <w:tcBorders>
              <w:top w:val="nil"/>
              <w:left w:val="nil"/>
              <w:bottom w:val="nil"/>
              <w:right w:val="nil"/>
            </w:tcBorders>
            <w:shd w:val="clear" w:color="auto" w:fill="auto"/>
            <w:noWrap/>
            <w:vAlign w:val="bottom"/>
            <w:hideMark/>
          </w:tcPr>
          <w:p w14:paraId="517EE345"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2.15</w:t>
            </w:r>
          </w:p>
        </w:tc>
        <w:tc>
          <w:tcPr>
            <w:tcW w:w="384" w:type="pct"/>
            <w:tcBorders>
              <w:top w:val="nil"/>
              <w:left w:val="nil"/>
              <w:bottom w:val="nil"/>
              <w:right w:val="nil"/>
            </w:tcBorders>
            <w:shd w:val="clear" w:color="auto" w:fill="auto"/>
            <w:noWrap/>
            <w:vAlign w:val="bottom"/>
            <w:hideMark/>
          </w:tcPr>
          <w:p w14:paraId="0BE1A057"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1.48</w:t>
            </w:r>
          </w:p>
        </w:tc>
        <w:tc>
          <w:tcPr>
            <w:tcW w:w="384" w:type="pct"/>
            <w:tcBorders>
              <w:top w:val="nil"/>
              <w:left w:val="nil"/>
              <w:bottom w:val="nil"/>
              <w:right w:val="nil"/>
            </w:tcBorders>
            <w:shd w:val="clear" w:color="auto" w:fill="auto"/>
            <w:noWrap/>
            <w:vAlign w:val="bottom"/>
            <w:hideMark/>
          </w:tcPr>
          <w:p w14:paraId="69D0EE03"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w:t>
            </w:r>
          </w:p>
        </w:tc>
        <w:tc>
          <w:tcPr>
            <w:tcW w:w="384" w:type="pct"/>
            <w:tcBorders>
              <w:top w:val="nil"/>
              <w:left w:val="nil"/>
              <w:bottom w:val="nil"/>
              <w:right w:val="nil"/>
            </w:tcBorders>
            <w:shd w:val="clear" w:color="auto" w:fill="auto"/>
            <w:noWrap/>
            <w:vAlign w:val="bottom"/>
            <w:hideMark/>
          </w:tcPr>
          <w:p w14:paraId="0F47E314"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4</w:t>
            </w:r>
          </w:p>
        </w:tc>
      </w:tr>
      <w:tr w:rsidR="00F562A0" w:rsidRPr="00F562A0" w14:paraId="0116031E" w14:textId="77777777" w:rsidTr="00A242F8">
        <w:trPr>
          <w:trHeight w:val="660"/>
        </w:trPr>
        <w:tc>
          <w:tcPr>
            <w:tcW w:w="3082" w:type="pct"/>
            <w:tcBorders>
              <w:top w:val="nil"/>
              <w:left w:val="nil"/>
              <w:bottom w:val="nil"/>
              <w:right w:val="nil"/>
            </w:tcBorders>
            <w:shd w:val="clear" w:color="auto" w:fill="auto"/>
            <w:vAlign w:val="center"/>
            <w:hideMark/>
          </w:tcPr>
          <w:p w14:paraId="31A7C2D6" w14:textId="77777777" w:rsidR="00F562A0" w:rsidRPr="00A242F8" w:rsidRDefault="00F562A0" w:rsidP="00F562A0">
            <w:pPr>
              <w:spacing w:after="0" w:line="240" w:lineRule="auto"/>
              <w:rPr>
                <w:rFonts w:ascii="Latin Modern Roman" w:eastAsia="Times New Roman" w:hAnsi="Latin Modern Roman" w:cs="Arial"/>
                <w:color w:val="000000"/>
                <w:sz w:val="20"/>
                <w:szCs w:val="20"/>
                <w:lang w:val="en-US" w:eastAsia="de-DE"/>
              </w:rPr>
            </w:pPr>
            <w:r w:rsidRPr="00F562A0">
              <w:rPr>
                <w:rFonts w:ascii="Latin Modern Roman" w:eastAsia="Times New Roman" w:hAnsi="Latin Modern Roman" w:cs="Arial"/>
                <w:color w:val="000000"/>
                <w:sz w:val="20"/>
                <w:szCs w:val="20"/>
                <w:lang w:val="en-US" w:eastAsia="de-DE"/>
              </w:rPr>
              <w:t>Official COVID-19 mortality, % (April-June)</w:t>
            </w:r>
          </w:p>
        </w:tc>
        <w:tc>
          <w:tcPr>
            <w:tcW w:w="384" w:type="pct"/>
            <w:tcBorders>
              <w:top w:val="nil"/>
              <w:left w:val="nil"/>
              <w:bottom w:val="nil"/>
              <w:right w:val="nil"/>
            </w:tcBorders>
            <w:shd w:val="clear" w:color="auto" w:fill="auto"/>
            <w:noWrap/>
            <w:vAlign w:val="bottom"/>
            <w:hideMark/>
          </w:tcPr>
          <w:p w14:paraId="0BEA613D"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85</w:t>
            </w:r>
          </w:p>
        </w:tc>
        <w:tc>
          <w:tcPr>
            <w:tcW w:w="384" w:type="pct"/>
            <w:tcBorders>
              <w:top w:val="nil"/>
              <w:left w:val="nil"/>
              <w:bottom w:val="nil"/>
              <w:right w:val="nil"/>
            </w:tcBorders>
            <w:shd w:val="clear" w:color="auto" w:fill="auto"/>
            <w:noWrap/>
            <w:vAlign w:val="bottom"/>
            <w:hideMark/>
          </w:tcPr>
          <w:p w14:paraId="39A11E4D"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1.48</w:t>
            </w:r>
          </w:p>
        </w:tc>
        <w:tc>
          <w:tcPr>
            <w:tcW w:w="384" w:type="pct"/>
            <w:tcBorders>
              <w:top w:val="nil"/>
              <w:left w:val="nil"/>
              <w:bottom w:val="nil"/>
              <w:right w:val="nil"/>
            </w:tcBorders>
            <w:shd w:val="clear" w:color="auto" w:fill="auto"/>
            <w:noWrap/>
            <w:vAlign w:val="bottom"/>
            <w:hideMark/>
          </w:tcPr>
          <w:p w14:paraId="75145233"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2.7</w:t>
            </w:r>
          </w:p>
        </w:tc>
        <w:tc>
          <w:tcPr>
            <w:tcW w:w="384" w:type="pct"/>
            <w:tcBorders>
              <w:top w:val="nil"/>
              <w:left w:val="nil"/>
              <w:bottom w:val="nil"/>
              <w:right w:val="nil"/>
            </w:tcBorders>
            <w:shd w:val="clear" w:color="auto" w:fill="auto"/>
            <w:noWrap/>
            <w:vAlign w:val="bottom"/>
            <w:hideMark/>
          </w:tcPr>
          <w:p w14:paraId="27A273C0"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w:t>
            </w:r>
          </w:p>
        </w:tc>
        <w:tc>
          <w:tcPr>
            <w:tcW w:w="384" w:type="pct"/>
            <w:tcBorders>
              <w:top w:val="nil"/>
              <w:left w:val="nil"/>
              <w:bottom w:val="nil"/>
              <w:right w:val="nil"/>
            </w:tcBorders>
            <w:shd w:val="clear" w:color="auto" w:fill="auto"/>
            <w:noWrap/>
            <w:vAlign w:val="bottom"/>
            <w:hideMark/>
          </w:tcPr>
          <w:p w14:paraId="1E3F6518"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18.55</w:t>
            </w:r>
          </w:p>
        </w:tc>
      </w:tr>
      <w:tr w:rsidR="00F562A0" w:rsidRPr="00F562A0" w14:paraId="74D774E3" w14:textId="77777777" w:rsidTr="00A242F8">
        <w:trPr>
          <w:trHeight w:val="660"/>
        </w:trPr>
        <w:tc>
          <w:tcPr>
            <w:tcW w:w="3082" w:type="pct"/>
            <w:tcBorders>
              <w:top w:val="nil"/>
              <w:left w:val="nil"/>
              <w:bottom w:val="nil"/>
              <w:right w:val="nil"/>
            </w:tcBorders>
            <w:shd w:val="clear" w:color="auto" w:fill="auto"/>
            <w:vAlign w:val="center"/>
            <w:hideMark/>
          </w:tcPr>
          <w:p w14:paraId="44824E9F" w14:textId="77777777" w:rsidR="00F562A0" w:rsidRPr="00A242F8" w:rsidRDefault="00F562A0" w:rsidP="00F562A0">
            <w:pPr>
              <w:spacing w:after="0" w:line="240" w:lineRule="auto"/>
              <w:rPr>
                <w:rFonts w:ascii="Latin Modern Roman" w:eastAsia="Times New Roman" w:hAnsi="Latin Modern Roman" w:cs="Arial"/>
                <w:color w:val="000000"/>
                <w:sz w:val="20"/>
                <w:szCs w:val="20"/>
                <w:lang w:val="en-US" w:eastAsia="de-DE"/>
              </w:rPr>
            </w:pPr>
            <w:r w:rsidRPr="00F562A0">
              <w:rPr>
                <w:rFonts w:ascii="Latin Modern Roman" w:eastAsia="Times New Roman" w:hAnsi="Latin Modern Roman" w:cs="Arial"/>
                <w:color w:val="000000"/>
                <w:sz w:val="20"/>
                <w:szCs w:val="20"/>
                <w:lang w:val="en-US" w:eastAsia="de-DE"/>
              </w:rPr>
              <w:t>Official COVID-19 mortality, % (July-September)</w:t>
            </w:r>
          </w:p>
        </w:tc>
        <w:tc>
          <w:tcPr>
            <w:tcW w:w="384" w:type="pct"/>
            <w:tcBorders>
              <w:top w:val="nil"/>
              <w:left w:val="nil"/>
              <w:bottom w:val="nil"/>
              <w:right w:val="nil"/>
            </w:tcBorders>
            <w:shd w:val="clear" w:color="auto" w:fill="auto"/>
            <w:noWrap/>
            <w:vAlign w:val="bottom"/>
            <w:hideMark/>
          </w:tcPr>
          <w:p w14:paraId="560EF07F"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85</w:t>
            </w:r>
          </w:p>
        </w:tc>
        <w:tc>
          <w:tcPr>
            <w:tcW w:w="384" w:type="pct"/>
            <w:tcBorders>
              <w:top w:val="nil"/>
              <w:left w:val="nil"/>
              <w:bottom w:val="nil"/>
              <w:right w:val="nil"/>
            </w:tcBorders>
            <w:shd w:val="clear" w:color="auto" w:fill="auto"/>
            <w:noWrap/>
            <w:vAlign w:val="bottom"/>
            <w:hideMark/>
          </w:tcPr>
          <w:p w14:paraId="162D0910"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2.39</w:t>
            </w:r>
          </w:p>
        </w:tc>
        <w:tc>
          <w:tcPr>
            <w:tcW w:w="384" w:type="pct"/>
            <w:tcBorders>
              <w:top w:val="nil"/>
              <w:left w:val="nil"/>
              <w:bottom w:val="nil"/>
              <w:right w:val="nil"/>
            </w:tcBorders>
            <w:shd w:val="clear" w:color="auto" w:fill="auto"/>
            <w:noWrap/>
            <w:vAlign w:val="bottom"/>
            <w:hideMark/>
          </w:tcPr>
          <w:p w14:paraId="58C164E1"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2.27</w:t>
            </w:r>
          </w:p>
        </w:tc>
        <w:tc>
          <w:tcPr>
            <w:tcW w:w="384" w:type="pct"/>
            <w:tcBorders>
              <w:top w:val="nil"/>
              <w:left w:val="nil"/>
              <w:bottom w:val="nil"/>
              <w:right w:val="nil"/>
            </w:tcBorders>
            <w:shd w:val="clear" w:color="auto" w:fill="auto"/>
            <w:noWrap/>
            <w:vAlign w:val="bottom"/>
            <w:hideMark/>
          </w:tcPr>
          <w:p w14:paraId="0E48032D"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w:t>
            </w:r>
          </w:p>
        </w:tc>
        <w:tc>
          <w:tcPr>
            <w:tcW w:w="384" w:type="pct"/>
            <w:tcBorders>
              <w:top w:val="nil"/>
              <w:left w:val="nil"/>
              <w:bottom w:val="nil"/>
              <w:right w:val="nil"/>
            </w:tcBorders>
            <w:shd w:val="clear" w:color="auto" w:fill="auto"/>
            <w:noWrap/>
            <w:vAlign w:val="bottom"/>
            <w:hideMark/>
          </w:tcPr>
          <w:p w14:paraId="7BAE9D5A"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12.47</w:t>
            </w:r>
          </w:p>
        </w:tc>
      </w:tr>
      <w:tr w:rsidR="00F562A0" w:rsidRPr="00F562A0" w14:paraId="747010A2" w14:textId="77777777" w:rsidTr="00A242F8">
        <w:trPr>
          <w:trHeight w:val="345"/>
        </w:trPr>
        <w:tc>
          <w:tcPr>
            <w:tcW w:w="3082" w:type="pct"/>
            <w:tcBorders>
              <w:top w:val="nil"/>
              <w:left w:val="nil"/>
              <w:bottom w:val="nil"/>
              <w:right w:val="nil"/>
            </w:tcBorders>
            <w:shd w:val="clear" w:color="auto" w:fill="auto"/>
            <w:vAlign w:val="center"/>
            <w:hideMark/>
          </w:tcPr>
          <w:p w14:paraId="08AC1796" w14:textId="77777777" w:rsidR="00F562A0" w:rsidRPr="00F562A0" w:rsidRDefault="00F562A0" w:rsidP="00F562A0">
            <w:pPr>
              <w:spacing w:after="0" w:line="240" w:lineRule="auto"/>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Excess mortality, % (April-June)</w:t>
            </w:r>
          </w:p>
        </w:tc>
        <w:tc>
          <w:tcPr>
            <w:tcW w:w="384" w:type="pct"/>
            <w:tcBorders>
              <w:top w:val="nil"/>
              <w:left w:val="nil"/>
              <w:bottom w:val="nil"/>
              <w:right w:val="nil"/>
            </w:tcBorders>
            <w:shd w:val="clear" w:color="auto" w:fill="auto"/>
            <w:noWrap/>
            <w:vAlign w:val="bottom"/>
            <w:hideMark/>
          </w:tcPr>
          <w:p w14:paraId="4D11975B"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85</w:t>
            </w:r>
          </w:p>
        </w:tc>
        <w:tc>
          <w:tcPr>
            <w:tcW w:w="384" w:type="pct"/>
            <w:tcBorders>
              <w:top w:val="nil"/>
              <w:left w:val="nil"/>
              <w:bottom w:val="nil"/>
              <w:right w:val="nil"/>
            </w:tcBorders>
            <w:shd w:val="clear" w:color="auto" w:fill="auto"/>
            <w:noWrap/>
            <w:vAlign w:val="bottom"/>
            <w:hideMark/>
          </w:tcPr>
          <w:p w14:paraId="36E84AF0"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7.49</w:t>
            </w:r>
          </w:p>
        </w:tc>
        <w:tc>
          <w:tcPr>
            <w:tcW w:w="384" w:type="pct"/>
            <w:tcBorders>
              <w:top w:val="nil"/>
              <w:left w:val="nil"/>
              <w:bottom w:val="nil"/>
              <w:right w:val="nil"/>
            </w:tcBorders>
            <w:shd w:val="clear" w:color="auto" w:fill="auto"/>
            <w:noWrap/>
            <w:vAlign w:val="bottom"/>
            <w:hideMark/>
          </w:tcPr>
          <w:p w14:paraId="088F9A9B"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8.04</w:t>
            </w:r>
          </w:p>
        </w:tc>
        <w:tc>
          <w:tcPr>
            <w:tcW w:w="384" w:type="pct"/>
            <w:tcBorders>
              <w:top w:val="nil"/>
              <w:left w:val="nil"/>
              <w:bottom w:val="nil"/>
              <w:right w:val="nil"/>
            </w:tcBorders>
            <w:shd w:val="clear" w:color="auto" w:fill="auto"/>
            <w:noWrap/>
            <w:vAlign w:val="bottom"/>
            <w:hideMark/>
          </w:tcPr>
          <w:p w14:paraId="082ACF61"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w:t>
            </w:r>
          </w:p>
        </w:tc>
        <w:tc>
          <w:tcPr>
            <w:tcW w:w="384" w:type="pct"/>
            <w:tcBorders>
              <w:top w:val="nil"/>
              <w:left w:val="nil"/>
              <w:bottom w:val="nil"/>
              <w:right w:val="nil"/>
            </w:tcBorders>
            <w:shd w:val="clear" w:color="auto" w:fill="auto"/>
            <w:noWrap/>
            <w:vAlign w:val="bottom"/>
            <w:hideMark/>
          </w:tcPr>
          <w:p w14:paraId="6D627003"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38.18</w:t>
            </w:r>
          </w:p>
        </w:tc>
      </w:tr>
      <w:tr w:rsidR="00F562A0" w:rsidRPr="00F562A0" w14:paraId="551E32CF" w14:textId="77777777" w:rsidTr="00A242F8">
        <w:trPr>
          <w:trHeight w:val="660"/>
        </w:trPr>
        <w:tc>
          <w:tcPr>
            <w:tcW w:w="3082" w:type="pct"/>
            <w:tcBorders>
              <w:top w:val="nil"/>
              <w:left w:val="nil"/>
              <w:bottom w:val="nil"/>
              <w:right w:val="nil"/>
            </w:tcBorders>
            <w:shd w:val="clear" w:color="auto" w:fill="auto"/>
            <w:vAlign w:val="center"/>
            <w:hideMark/>
          </w:tcPr>
          <w:p w14:paraId="0A3B0646" w14:textId="77777777" w:rsidR="00F562A0" w:rsidRPr="00A242F8" w:rsidRDefault="00F562A0" w:rsidP="00F562A0">
            <w:pPr>
              <w:spacing w:after="0" w:line="240" w:lineRule="auto"/>
              <w:rPr>
                <w:rFonts w:ascii="Latin Modern Roman" w:eastAsia="Times New Roman" w:hAnsi="Latin Modern Roman" w:cs="Arial"/>
                <w:color w:val="000000"/>
                <w:sz w:val="20"/>
                <w:szCs w:val="20"/>
                <w:lang w:val="en-US" w:eastAsia="de-DE"/>
              </w:rPr>
            </w:pPr>
            <w:r w:rsidRPr="00F562A0">
              <w:rPr>
                <w:rFonts w:ascii="Latin Modern Roman" w:eastAsia="Times New Roman" w:hAnsi="Latin Modern Roman" w:cs="Arial"/>
                <w:color w:val="000000"/>
                <w:sz w:val="20"/>
                <w:szCs w:val="20"/>
                <w:lang w:val="en-US" w:eastAsia="de-DE"/>
              </w:rPr>
              <w:t>COVID-19 mortality among the medical staff (April-June)</w:t>
            </w:r>
          </w:p>
        </w:tc>
        <w:tc>
          <w:tcPr>
            <w:tcW w:w="384" w:type="pct"/>
            <w:tcBorders>
              <w:top w:val="nil"/>
              <w:left w:val="nil"/>
              <w:bottom w:val="nil"/>
              <w:right w:val="nil"/>
            </w:tcBorders>
            <w:shd w:val="clear" w:color="auto" w:fill="auto"/>
            <w:noWrap/>
            <w:vAlign w:val="bottom"/>
            <w:hideMark/>
          </w:tcPr>
          <w:p w14:paraId="156C62CE"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85</w:t>
            </w:r>
          </w:p>
        </w:tc>
        <w:tc>
          <w:tcPr>
            <w:tcW w:w="384" w:type="pct"/>
            <w:tcBorders>
              <w:top w:val="nil"/>
              <w:left w:val="nil"/>
              <w:bottom w:val="nil"/>
              <w:right w:val="nil"/>
            </w:tcBorders>
            <w:shd w:val="clear" w:color="auto" w:fill="auto"/>
            <w:noWrap/>
            <w:vAlign w:val="bottom"/>
            <w:hideMark/>
          </w:tcPr>
          <w:p w14:paraId="7A17353A"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0.11</w:t>
            </w:r>
          </w:p>
        </w:tc>
        <w:tc>
          <w:tcPr>
            <w:tcW w:w="384" w:type="pct"/>
            <w:tcBorders>
              <w:top w:val="nil"/>
              <w:left w:val="nil"/>
              <w:bottom w:val="nil"/>
              <w:right w:val="nil"/>
            </w:tcBorders>
            <w:shd w:val="clear" w:color="auto" w:fill="auto"/>
            <w:noWrap/>
            <w:vAlign w:val="bottom"/>
            <w:hideMark/>
          </w:tcPr>
          <w:p w14:paraId="6761DB58"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0.24</w:t>
            </w:r>
          </w:p>
        </w:tc>
        <w:tc>
          <w:tcPr>
            <w:tcW w:w="384" w:type="pct"/>
            <w:tcBorders>
              <w:top w:val="nil"/>
              <w:left w:val="nil"/>
              <w:bottom w:val="nil"/>
              <w:right w:val="nil"/>
            </w:tcBorders>
            <w:shd w:val="clear" w:color="auto" w:fill="auto"/>
            <w:noWrap/>
            <w:vAlign w:val="bottom"/>
            <w:hideMark/>
          </w:tcPr>
          <w:p w14:paraId="3028A0C0"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w:t>
            </w:r>
          </w:p>
        </w:tc>
        <w:tc>
          <w:tcPr>
            <w:tcW w:w="384" w:type="pct"/>
            <w:tcBorders>
              <w:top w:val="nil"/>
              <w:left w:val="nil"/>
              <w:bottom w:val="nil"/>
              <w:right w:val="nil"/>
            </w:tcBorders>
            <w:shd w:val="clear" w:color="auto" w:fill="auto"/>
            <w:noWrap/>
            <w:vAlign w:val="bottom"/>
            <w:hideMark/>
          </w:tcPr>
          <w:p w14:paraId="21ABC12A"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1.61</w:t>
            </w:r>
          </w:p>
        </w:tc>
      </w:tr>
      <w:tr w:rsidR="00F562A0" w:rsidRPr="00F562A0" w14:paraId="60A402AB" w14:textId="77777777" w:rsidTr="00A242F8">
        <w:trPr>
          <w:trHeight w:val="660"/>
        </w:trPr>
        <w:tc>
          <w:tcPr>
            <w:tcW w:w="3082" w:type="pct"/>
            <w:tcBorders>
              <w:top w:val="nil"/>
              <w:left w:val="nil"/>
              <w:bottom w:val="nil"/>
              <w:right w:val="nil"/>
            </w:tcBorders>
            <w:shd w:val="clear" w:color="auto" w:fill="auto"/>
            <w:vAlign w:val="center"/>
            <w:hideMark/>
          </w:tcPr>
          <w:p w14:paraId="02902524" w14:textId="77777777" w:rsidR="00F562A0" w:rsidRPr="00A242F8" w:rsidRDefault="00F562A0" w:rsidP="00F562A0">
            <w:pPr>
              <w:spacing w:after="0" w:line="240" w:lineRule="auto"/>
              <w:rPr>
                <w:rFonts w:ascii="Latin Modern Roman" w:eastAsia="Times New Roman" w:hAnsi="Latin Modern Roman" w:cs="Arial"/>
                <w:color w:val="000000"/>
                <w:sz w:val="20"/>
                <w:szCs w:val="20"/>
                <w:lang w:val="en-US" w:eastAsia="de-DE"/>
              </w:rPr>
            </w:pPr>
            <w:r w:rsidRPr="00F562A0">
              <w:rPr>
                <w:rFonts w:ascii="Latin Modern Roman" w:eastAsia="Times New Roman" w:hAnsi="Latin Modern Roman" w:cs="Arial"/>
                <w:color w:val="000000"/>
                <w:sz w:val="20"/>
                <w:szCs w:val="20"/>
                <w:lang w:val="en-US" w:eastAsia="de-DE"/>
              </w:rPr>
              <w:t>Number of anti-COVID policies (February-June)</w:t>
            </w:r>
          </w:p>
        </w:tc>
        <w:tc>
          <w:tcPr>
            <w:tcW w:w="384" w:type="pct"/>
            <w:tcBorders>
              <w:top w:val="nil"/>
              <w:left w:val="nil"/>
              <w:bottom w:val="nil"/>
              <w:right w:val="nil"/>
            </w:tcBorders>
            <w:shd w:val="clear" w:color="auto" w:fill="auto"/>
            <w:noWrap/>
            <w:vAlign w:val="bottom"/>
            <w:hideMark/>
          </w:tcPr>
          <w:p w14:paraId="6EED85CE"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85</w:t>
            </w:r>
          </w:p>
        </w:tc>
        <w:tc>
          <w:tcPr>
            <w:tcW w:w="384" w:type="pct"/>
            <w:tcBorders>
              <w:top w:val="nil"/>
              <w:left w:val="nil"/>
              <w:bottom w:val="nil"/>
              <w:right w:val="nil"/>
            </w:tcBorders>
            <w:shd w:val="clear" w:color="auto" w:fill="auto"/>
            <w:noWrap/>
            <w:vAlign w:val="bottom"/>
            <w:hideMark/>
          </w:tcPr>
          <w:p w14:paraId="293324BA"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124.45</w:t>
            </w:r>
          </w:p>
        </w:tc>
        <w:tc>
          <w:tcPr>
            <w:tcW w:w="384" w:type="pct"/>
            <w:tcBorders>
              <w:top w:val="nil"/>
              <w:left w:val="nil"/>
              <w:bottom w:val="nil"/>
              <w:right w:val="nil"/>
            </w:tcBorders>
            <w:shd w:val="clear" w:color="auto" w:fill="auto"/>
            <w:noWrap/>
            <w:vAlign w:val="bottom"/>
            <w:hideMark/>
          </w:tcPr>
          <w:p w14:paraId="2A14CBEA"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84.63</w:t>
            </w:r>
          </w:p>
        </w:tc>
        <w:tc>
          <w:tcPr>
            <w:tcW w:w="384" w:type="pct"/>
            <w:tcBorders>
              <w:top w:val="nil"/>
              <w:left w:val="nil"/>
              <w:bottom w:val="nil"/>
              <w:right w:val="nil"/>
            </w:tcBorders>
            <w:shd w:val="clear" w:color="auto" w:fill="auto"/>
            <w:noWrap/>
            <w:vAlign w:val="bottom"/>
            <w:hideMark/>
          </w:tcPr>
          <w:p w14:paraId="7ADF8966"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w:t>
            </w:r>
          </w:p>
        </w:tc>
        <w:tc>
          <w:tcPr>
            <w:tcW w:w="384" w:type="pct"/>
            <w:tcBorders>
              <w:top w:val="nil"/>
              <w:left w:val="nil"/>
              <w:bottom w:val="nil"/>
              <w:right w:val="nil"/>
            </w:tcBorders>
            <w:shd w:val="clear" w:color="auto" w:fill="auto"/>
            <w:noWrap/>
            <w:vAlign w:val="bottom"/>
            <w:hideMark/>
          </w:tcPr>
          <w:p w14:paraId="6CA71380"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494</w:t>
            </w:r>
          </w:p>
        </w:tc>
      </w:tr>
      <w:tr w:rsidR="00F562A0" w:rsidRPr="00F562A0" w14:paraId="19A28ECE" w14:textId="77777777" w:rsidTr="00A242F8">
        <w:trPr>
          <w:trHeight w:val="345"/>
        </w:trPr>
        <w:tc>
          <w:tcPr>
            <w:tcW w:w="3082" w:type="pct"/>
            <w:tcBorders>
              <w:top w:val="nil"/>
              <w:left w:val="nil"/>
              <w:bottom w:val="nil"/>
              <w:right w:val="nil"/>
            </w:tcBorders>
            <w:shd w:val="clear" w:color="auto" w:fill="auto"/>
            <w:vAlign w:val="center"/>
            <w:hideMark/>
          </w:tcPr>
          <w:p w14:paraId="0F074CFD" w14:textId="77777777" w:rsidR="00F562A0" w:rsidRPr="00A242F8" w:rsidRDefault="00F562A0" w:rsidP="00F562A0">
            <w:pPr>
              <w:spacing w:after="0" w:line="240" w:lineRule="auto"/>
              <w:rPr>
                <w:rFonts w:ascii="Latin Modern Roman" w:eastAsia="Times New Roman" w:hAnsi="Latin Modern Roman" w:cs="Arial"/>
                <w:color w:val="000000"/>
                <w:sz w:val="20"/>
                <w:szCs w:val="20"/>
                <w:lang w:val="en-US" w:eastAsia="de-DE"/>
              </w:rPr>
            </w:pPr>
            <w:r w:rsidRPr="00F562A0">
              <w:rPr>
                <w:rFonts w:ascii="Latin Modern Roman" w:eastAsia="Times New Roman" w:hAnsi="Latin Modern Roman" w:cs="Arial"/>
                <w:color w:val="000000"/>
                <w:sz w:val="20"/>
                <w:szCs w:val="20"/>
                <w:lang w:val="en-US" w:eastAsia="de-DE"/>
              </w:rPr>
              <w:t>Self-isolation index (April-June)</w:t>
            </w:r>
          </w:p>
        </w:tc>
        <w:tc>
          <w:tcPr>
            <w:tcW w:w="384" w:type="pct"/>
            <w:tcBorders>
              <w:top w:val="nil"/>
              <w:left w:val="nil"/>
              <w:bottom w:val="nil"/>
              <w:right w:val="nil"/>
            </w:tcBorders>
            <w:shd w:val="clear" w:color="auto" w:fill="auto"/>
            <w:noWrap/>
            <w:vAlign w:val="bottom"/>
            <w:hideMark/>
          </w:tcPr>
          <w:p w14:paraId="26214AD9"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84</w:t>
            </w:r>
          </w:p>
        </w:tc>
        <w:tc>
          <w:tcPr>
            <w:tcW w:w="384" w:type="pct"/>
            <w:tcBorders>
              <w:top w:val="nil"/>
              <w:left w:val="nil"/>
              <w:bottom w:val="nil"/>
              <w:right w:val="nil"/>
            </w:tcBorders>
            <w:shd w:val="clear" w:color="auto" w:fill="auto"/>
            <w:noWrap/>
            <w:vAlign w:val="bottom"/>
            <w:hideMark/>
          </w:tcPr>
          <w:p w14:paraId="66411E80"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2.26</w:t>
            </w:r>
          </w:p>
        </w:tc>
        <w:tc>
          <w:tcPr>
            <w:tcW w:w="384" w:type="pct"/>
            <w:tcBorders>
              <w:top w:val="nil"/>
              <w:left w:val="nil"/>
              <w:bottom w:val="nil"/>
              <w:right w:val="nil"/>
            </w:tcBorders>
            <w:shd w:val="clear" w:color="auto" w:fill="auto"/>
            <w:noWrap/>
            <w:vAlign w:val="bottom"/>
            <w:hideMark/>
          </w:tcPr>
          <w:p w14:paraId="6B3C1320"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0.24</w:t>
            </w:r>
          </w:p>
        </w:tc>
        <w:tc>
          <w:tcPr>
            <w:tcW w:w="384" w:type="pct"/>
            <w:tcBorders>
              <w:top w:val="nil"/>
              <w:left w:val="nil"/>
              <w:bottom w:val="nil"/>
              <w:right w:val="nil"/>
            </w:tcBorders>
            <w:shd w:val="clear" w:color="auto" w:fill="auto"/>
            <w:noWrap/>
            <w:vAlign w:val="bottom"/>
            <w:hideMark/>
          </w:tcPr>
          <w:p w14:paraId="7AB6B1C6"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1.59</w:t>
            </w:r>
          </w:p>
        </w:tc>
        <w:tc>
          <w:tcPr>
            <w:tcW w:w="384" w:type="pct"/>
            <w:tcBorders>
              <w:top w:val="nil"/>
              <w:left w:val="nil"/>
              <w:bottom w:val="nil"/>
              <w:right w:val="nil"/>
            </w:tcBorders>
            <w:shd w:val="clear" w:color="auto" w:fill="auto"/>
            <w:noWrap/>
            <w:vAlign w:val="bottom"/>
            <w:hideMark/>
          </w:tcPr>
          <w:p w14:paraId="4DCF0293"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2.94</w:t>
            </w:r>
          </w:p>
        </w:tc>
      </w:tr>
      <w:tr w:rsidR="00F562A0" w:rsidRPr="00F562A0" w14:paraId="0AB68CB5" w14:textId="77777777" w:rsidTr="00A242F8">
        <w:trPr>
          <w:trHeight w:val="255"/>
        </w:trPr>
        <w:tc>
          <w:tcPr>
            <w:tcW w:w="5000" w:type="pct"/>
            <w:gridSpan w:val="6"/>
            <w:tcBorders>
              <w:top w:val="single" w:sz="4" w:space="0" w:color="000000"/>
              <w:left w:val="nil"/>
              <w:bottom w:val="single" w:sz="4" w:space="0" w:color="000000"/>
              <w:right w:val="nil"/>
            </w:tcBorders>
            <w:shd w:val="clear" w:color="auto" w:fill="auto"/>
            <w:vAlign w:val="bottom"/>
            <w:hideMark/>
          </w:tcPr>
          <w:p w14:paraId="0C4D40AB" w14:textId="77777777" w:rsidR="00F562A0" w:rsidRPr="00F562A0" w:rsidRDefault="00F562A0" w:rsidP="00F562A0">
            <w:pPr>
              <w:spacing w:after="0" w:line="240" w:lineRule="auto"/>
              <w:jc w:val="center"/>
              <w:rPr>
                <w:rFonts w:ascii="Latin Modern Roman" w:eastAsia="Times New Roman" w:hAnsi="Latin Modern Roman" w:cs="Arial"/>
                <w:b/>
                <w:bCs/>
                <w:sz w:val="20"/>
                <w:szCs w:val="20"/>
                <w:lang w:eastAsia="de-DE"/>
              </w:rPr>
            </w:pPr>
            <w:r w:rsidRPr="00F562A0">
              <w:rPr>
                <w:rFonts w:ascii="Latin Modern Roman" w:eastAsia="Times New Roman" w:hAnsi="Latin Modern Roman" w:cs="Arial"/>
                <w:b/>
                <w:bCs/>
                <w:sz w:val="20"/>
                <w:szCs w:val="20"/>
                <w:lang w:eastAsia="de-DE"/>
              </w:rPr>
              <w:t>Panel data</w:t>
            </w:r>
          </w:p>
        </w:tc>
      </w:tr>
      <w:tr w:rsidR="00F562A0" w:rsidRPr="00F562A0" w14:paraId="66545B08" w14:textId="77777777" w:rsidTr="00A242F8">
        <w:trPr>
          <w:trHeight w:val="345"/>
        </w:trPr>
        <w:tc>
          <w:tcPr>
            <w:tcW w:w="3082" w:type="pct"/>
            <w:tcBorders>
              <w:top w:val="nil"/>
              <w:left w:val="nil"/>
              <w:bottom w:val="nil"/>
              <w:right w:val="nil"/>
            </w:tcBorders>
            <w:shd w:val="clear" w:color="auto" w:fill="auto"/>
            <w:vAlign w:val="bottom"/>
            <w:hideMark/>
          </w:tcPr>
          <w:p w14:paraId="1840B228" w14:textId="77777777" w:rsidR="00F562A0" w:rsidRPr="00F562A0" w:rsidRDefault="00F562A0" w:rsidP="00F562A0">
            <w:pPr>
              <w:spacing w:after="0" w:line="240" w:lineRule="auto"/>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Official COVID-19 mortality, %</w:t>
            </w:r>
          </w:p>
        </w:tc>
        <w:tc>
          <w:tcPr>
            <w:tcW w:w="384" w:type="pct"/>
            <w:tcBorders>
              <w:top w:val="nil"/>
              <w:left w:val="nil"/>
              <w:bottom w:val="nil"/>
              <w:right w:val="nil"/>
            </w:tcBorders>
            <w:shd w:val="clear" w:color="auto" w:fill="auto"/>
            <w:noWrap/>
            <w:vAlign w:val="bottom"/>
            <w:hideMark/>
          </w:tcPr>
          <w:p w14:paraId="04FF5711"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680</w:t>
            </w:r>
          </w:p>
        </w:tc>
        <w:tc>
          <w:tcPr>
            <w:tcW w:w="384" w:type="pct"/>
            <w:tcBorders>
              <w:top w:val="nil"/>
              <w:left w:val="nil"/>
              <w:bottom w:val="nil"/>
              <w:right w:val="nil"/>
            </w:tcBorders>
            <w:shd w:val="clear" w:color="auto" w:fill="auto"/>
            <w:noWrap/>
            <w:vAlign w:val="bottom"/>
            <w:hideMark/>
          </w:tcPr>
          <w:p w14:paraId="52BBD2EF"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3.07</w:t>
            </w:r>
          </w:p>
        </w:tc>
        <w:tc>
          <w:tcPr>
            <w:tcW w:w="384" w:type="pct"/>
            <w:tcBorders>
              <w:top w:val="nil"/>
              <w:left w:val="nil"/>
              <w:bottom w:val="nil"/>
              <w:right w:val="nil"/>
            </w:tcBorders>
            <w:shd w:val="clear" w:color="auto" w:fill="auto"/>
            <w:noWrap/>
            <w:vAlign w:val="bottom"/>
            <w:hideMark/>
          </w:tcPr>
          <w:p w14:paraId="0A97F7AA"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4.79</w:t>
            </w:r>
          </w:p>
        </w:tc>
        <w:tc>
          <w:tcPr>
            <w:tcW w:w="384" w:type="pct"/>
            <w:tcBorders>
              <w:top w:val="nil"/>
              <w:left w:val="nil"/>
              <w:bottom w:val="nil"/>
              <w:right w:val="nil"/>
            </w:tcBorders>
            <w:shd w:val="clear" w:color="auto" w:fill="auto"/>
            <w:noWrap/>
            <w:vAlign w:val="bottom"/>
            <w:hideMark/>
          </w:tcPr>
          <w:p w14:paraId="0304EA43"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w:t>
            </w:r>
          </w:p>
        </w:tc>
        <w:tc>
          <w:tcPr>
            <w:tcW w:w="384" w:type="pct"/>
            <w:tcBorders>
              <w:top w:val="nil"/>
              <w:left w:val="nil"/>
              <w:bottom w:val="nil"/>
              <w:right w:val="nil"/>
            </w:tcBorders>
            <w:shd w:val="clear" w:color="auto" w:fill="auto"/>
            <w:noWrap/>
            <w:vAlign w:val="bottom"/>
            <w:hideMark/>
          </w:tcPr>
          <w:p w14:paraId="6E9BB3F9"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52.58</w:t>
            </w:r>
          </w:p>
        </w:tc>
      </w:tr>
      <w:tr w:rsidR="00F562A0" w:rsidRPr="00F562A0" w14:paraId="72211A61" w14:textId="77777777" w:rsidTr="00A242F8">
        <w:trPr>
          <w:trHeight w:val="345"/>
        </w:trPr>
        <w:tc>
          <w:tcPr>
            <w:tcW w:w="3082" w:type="pct"/>
            <w:tcBorders>
              <w:top w:val="nil"/>
              <w:left w:val="nil"/>
              <w:bottom w:val="nil"/>
              <w:right w:val="nil"/>
            </w:tcBorders>
            <w:shd w:val="clear" w:color="auto" w:fill="auto"/>
            <w:vAlign w:val="bottom"/>
            <w:hideMark/>
          </w:tcPr>
          <w:p w14:paraId="4D353153" w14:textId="77777777" w:rsidR="00F562A0" w:rsidRPr="00F562A0" w:rsidRDefault="00F562A0" w:rsidP="00F562A0">
            <w:pPr>
              <w:spacing w:after="0" w:line="240" w:lineRule="auto"/>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Excess mortality, %</w:t>
            </w:r>
          </w:p>
        </w:tc>
        <w:tc>
          <w:tcPr>
            <w:tcW w:w="384" w:type="pct"/>
            <w:tcBorders>
              <w:top w:val="nil"/>
              <w:left w:val="nil"/>
              <w:bottom w:val="nil"/>
              <w:right w:val="nil"/>
            </w:tcBorders>
            <w:shd w:val="clear" w:color="auto" w:fill="auto"/>
            <w:noWrap/>
            <w:vAlign w:val="bottom"/>
            <w:hideMark/>
          </w:tcPr>
          <w:p w14:paraId="0CB21AD1"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680</w:t>
            </w:r>
          </w:p>
        </w:tc>
        <w:tc>
          <w:tcPr>
            <w:tcW w:w="384" w:type="pct"/>
            <w:tcBorders>
              <w:top w:val="nil"/>
              <w:left w:val="nil"/>
              <w:bottom w:val="nil"/>
              <w:right w:val="nil"/>
            </w:tcBorders>
            <w:shd w:val="clear" w:color="auto" w:fill="auto"/>
            <w:noWrap/>
            <w:vAlign w:val="bottom"/>
            <w:hideMark/>
          </w:tcPr>
          <w:p w14:paraId="27BB795A"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19.26</w:t>
            </w:r>
          </w:p>
        </w:tc>
        <w:tc>
          <w:tcPr>
            <w:tcW w:w="384" w:type="pct"/>
            <w:tcBorders>
              <w:top w:val="nil"/>
              <w:left w:val="nil"/>
              <w:bottom w:val="nil"/>
              <w:right w:val="nil"/>
            </w:tcBorders>
            <w:shd w:val="clear" w:color="auto" w:fill="auto"/>
            <w:noWrap/>
            <w:vAlign w:val="bottom"/>
            <w:hideMark/>
          </w:tcPr>
          <w:p w14:paraId="5E2B38BA"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20.48</w:t>
            </w:r>
          </w:p>
        </w:tc>
        <w:tc>
          <w:tcPr>
            <w:tcW w:w="384" w:type="pct"/>
            <w:tcBorders>
              <w:top w:val="nil"/>
              <w:left w:val="nil"/>
              <w:bottom w:val="nil"/>
              <w:right w:val="nil"/>
            </w:tcBorders>
            <w:shd w:val="clear" w:color="auto" w:fill="auto"/>
            <w:noWrap/>
            <w:vAlign w:val="bottom"/>
            <w:hideMark/>
          </w:tcPr>
          <w:p w14:paraId="3B2C18E7"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w:t>
            </w:r>
          </w:p>
        </w:tc>
        <w:tc>
          <w:tcPr>
            <w:tcW w:w="384" w:type="pct"/>
            <w:tcBorders>
              <w:top w:val="nil"/>
              <w:left w:val="nil"/>
              <w:bottom w:val="nil"/>
              <w:right w:val="nil"/>
            </w:tcBorders>
            <w:shd w:val="clear" w:color="auto" w:fill="auto"/>
            <w:noWrap/>
            <w:vAlign w:val="bottom"/>
            <w:hideMark/>
          </w:tcPr>
          <w:p w14:paraId="25C42DE3"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102.88</w:t>
            </w:r>
          </w:p>
        </w:tc>
      </w:tr>
      <w:tr w:rsidR="00F562A0" w:rsidRPr="00F562A0" w14:paraId="7805340E" w14:textId="77777777" w:rsidTr="00A242F8">
        <w:trPr>
          <w:trHeight w:val="345"/>
        </w:trPr>
        <w:tc>
          <w:tcPr>
            <w:tcW w:w="3082" w:type="pct"/>
            <w:tcBorders>
              <w:top w:val="nil"/>
              <w:left w:val="nil"/>
              <w:bottom w:val="nil"/>
              <w:right w:val="nil"/>
            </w:tcBorders>
            <w:shd w:val="clear" w:color="auto" w:fill="auto"/>
            <w:vAlign w:val="bottom"/>
            <w:hideMark/>
          </w:tcPr>
          <w:p w14:paraId="7AFDEEED" w14:textId="77777777" w:rsidR="00F562A0" w:rsidRPr="00F562A0" w:rsidRDefault="00F562A0" w:rsidP="00F562A0">
            <w:pPr>
              <w:spacing w:after="0" w:line="240" w:lineRule="auto"/>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Self-isolation index</w:t>
            </w:r>
          </w:p>
        </w:tc>
        <w:tc>
          <w:tcPr>
            <w:tcW w:w="384" w:type="pct"/>
            <w:tcBorders>
              <w:top w:val="nil"/>
              <w:left w:val="nil"/>
              <w:bottom w:val="nil"/>
              <w:right w:val="nil"/>
            </w:tcBorders>
            <w:shd w:val="clear" w:color="auto" w:fill="auto"/>
            <w:noWrap/>
            <w:vAlign w:val="bottom"/>
            <w:hideMark/>
          </w:tcPr>
          <w:p w14:paraId="7AC3E551"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672</w:t>
            </w:r>
          </w:p>
        </w:tc>
        <w:tc>
          <w:tcPr>
            <w:tcW w:w="384" w:type="pct"/>
            <w:tcBorders>
              <w:top w:val="nil"/>
              <w:left w:val="nil"/>
              <w:bottom w:val="nil"/>
              <w:right w:val="nil"/>
            </w:tcBorders>
            <w:shd w:val="clear" w:color="auto" w:fill="auto"/>
            <w:noWrap/>
            <w:vAlign w:val="bottom"/>
            <w:hideMark/>
          </w:tcPr>
          <w:p w14:paraId="484151EE"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1.81</w:t>
            </w:r>
          </w:p>
        </w:tc>
        <w:tc>
          <w:tcPr>
            <w:tcW w:w="384" w:type="pct"/>
            <w:tcBorders>
              <w:top w:val="nil"/>
              <w:left w:val="nil"/>
              <w:bottom w:val="nil"/>
              <w:right w:val="nil"/>
            </w:tcBorders>
            <w:shd w:val="clear" w:color="auto" w:fill="auto"/>
            <w:noWrap/>
            <w:vAlign w:val="bottom"/>
            <w:hideMark/>
          </w:tcPr>
          <w:p w14:paraId="0CF0FAE5"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0.55</w:t>
            </w:r>
          </w:p>
        </w:tc>
        <w:tc>
          <w:tcPr>
            <w:tcW w:w="384" w:type="pct"/>
            <w:tcBorders>
              <w:top w:val="nil"/>
              <w:left w:val="nil"/>
              <w:bottom w:val="nil"/>
              <w:right w:val="nil"/>
            </w:tcBorders>
            <w:shd w:val="clear" w:color="auto" w:fill="auto"/>
            <w:noWrap/>
            <w:vAlign w:val="bottom"/>
            <w:hideMark/>
          </w:tcPr>
          <w:p w14:paraId="13D5D818"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0.8</w:t>
            </w:r>
          </w:p>
        </w:tc>
        <w:tc>
          <w:tcPr>
            <w:tcW w:w="384" w:type="pct"/>
            <w:tcBorders>
              <w:top w:val="nil"/>
              <w:left w:val="nil"/>
              <w:bottom w:val="nil"/>
              <w:right w:val="nil"/>
            </w:tcBorders>
            <w:shd w:val="clear" w:color="auto" w:fill="auto"/>
            <w:noWrap/>
            <w:vAlign w:val="bottom"/>
            <w:hideMark/>
          </w:tcPr>
          <w:p w14:paraId="0DCFCD57"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3.43</w:t>
            </w:r>
          </w:p>
        </w:tc>
      </w:tr>
      <w:tr w:rsidR="00F562A0" w:rsidRPr="00A242F8" w14:paraId="0C175965" w14:textId="77777777" w:rsidTr="00A242F8">
        <w:trPr>
          <w:trHeight w:val="255"/>
        </w:trPr>
        <w:tc>
          <w:tcPr>
            <w:tcW w:w="5000" w:type="pct"/>
            <w:gridSpan w:val="6"/>
            <w:tcBorders>
              <w:top w:val="single" w:sz="4" w:space="0" w:color="000000"/>
              <w:left w:val="nil"/>
              <w:bottom w:val="single" w:sz="4" w:space="0" w:color="000000"/>
              <w:right w:val="nil"/>
            </w:tcBorders>
            <w:shd w:val="clear" w:color="auto" w:fill="auto"/>
            <w:vAlign w:val="bottom"/>
            <w:hideMark/>
          </w:tcPr>
          <w:p w14:paraId="7AAAF8CA" w14:textId="77777777" w:rsidR="00F562A0" w:rsidRPr="00A242F8" w:rsidRDefault="00F562A0" w:rsidP="00F562A0">
            <w:pPr>
              <w:spacing w:after="0" w:line="240" w:lineRule="auto"/>
              <w:jc w:val="center"/>
              <w:rPr>
                <w:rFonts w:ascii="Latin Modern Roman" w:eastAsia="Times New Roman" w:hAnsi="Latin Modern Roman" w:cs="Arial"/>
                <w:b/>
                <w:bCs/>
                <w:sz w:val="20"/>
                <w:szCs w:val="20"/>
                <w:lang w:val="en-US" w:eastAsia="de-DE"/>
              </w:rPr>
            </w:pPr>
            <w:r w:rsidRPr="00A242F8">
              <w:rPr>
                <w:rFonts w:ascii="Latin Modern Roman" w:eastAsia="Times New Roman" w:hAnsi="Latin Modern Roman" w:cs="Arial"/>
                <w:b/>
                <w:bCs/>
                <w:sz w:val="20"/>
                <w:szCs w:val="20"/>
                <w:lang w:val="en-US" w:eastAsia="de-DE"/>
              </w:rPr>
              <w:t>Variables from the balance test: economic and political characteristics (Table C1)</w:t>
            </w:r>
          </w:p>
        </w:tc>
      </w:tr>
      <w:tr w:rsidR="00F562A0" w:rsidRPr="00F562A0" w14:paraId="7BA4BFE8" w14:textId="77777777" w:rsidTr="00A242F8">
        <w:trPr>
          <w:trHeight w:val="345"/>
        </w:trPr>
        <w:tc>
          <w:tcPr>
            <w:tcW w:w="3082" w:type="pct"/>
            <w:tcBorders>
              <w:top w:val="nil"/>
              <w:left w:val="nil"/>
              <w:bottom w:val="nil"/>
              <w:right w:val="nil"/>
            </w:tcBorders>
            <w:shd w:val="clear" w:color="auto" w:fill="auto"/>
            <w:vAlign w:val="bottom"/>
            <w:hideMark/>
          </w:tcPr>
          <w:p w14:paraId="76CD1C7A" w14:textId="77777777" w:rsidR="00F562A0" w:rsidRPr="00F562A0" w:rsidRDefault="00F562A0" w:rsidP="00F562A0">
            <w:pPr>
              <w:spacing w:after="0" w:line="240" w:lineRule="auto"/>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Population, log</w:t>
            </w:r>
          </w:p>
        </w:tc>
        <w:tc>
          <w:tcPr>
            <w:tcW w:w="384" w:type="pct"/>
            <w:tcBorders>
              <w:top w:val="nil"/>
              <w:left w:val="nil"/>
              <w:bottom w:val="nil"/>
              <w:right w:val="nil"/>
            </w:tcBorders>
            <w:shd w:val="clear" w:color="auto" w:fill="auto"/>
            <w:vAlign w:val="bottom"/>
            <w:hideMark/>
          </w:tcPr>
          <w:p w14:paraId="35CA7BA4"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85</w:t>
            </w:r>
          </w:p>
        </w:tc>
        <w:tc>
          <w:tcPr>
            <w:tcW w:w="384" w:type="pct"/>
            <w:tcBorders>
              <w:top w:val="nil"/>
              <w:left w:val="nil"/>
              <w:bottom w:val="nil"/>
              <w:right w:val="nil"/>
            </w:tcBorders>
            <w:shd w:val="clear" w:color="auto" w:fill="auto"/>
            <w:vAlign w:val="bottom"/>
            <w:hideMark/>
          </w:tcPr>
          <w:p w14:paraId="33F61E37"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13.96</w:t>
            </w:r>
          </w:p>
        </w:tc>
        <w:tc>
          <w:tcPr>
            <w:tcW w:w="384" w:type="pct"/>
            <w:tcBorders>
              <w:top w:val="nil"/>
              <w:left w:val="nil"/>
              <w:bottom w:val="nil"/>
              <w:right w:val="nil"/>
            </w:tcBorders>
            <w:shd w:val="clear" w:color="auto" w:fill="auto"/>
            <w:vAlign w:val="bottom"/>
            <w:hideMark/>
          </w:tcPr>
          <w:p w14:paraId="03F20371"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0.96</w:t>
            </w:r>
          </w:p>
        </w:tc>
        <w:tc>
          <w:tcPr>
            <w:tcW w:w="384" w:type="pct"/>
            <w:tcBorders>
              <w:top w:val="nil"/>
              <w:left w:val="nil"/>
              <w:bottom w:val="nil"/>
              <w:right w:val="nil"/>
            </w:tcBorders>
            <w:shd w:val="clear" w:color="auto" w:fill="auto"/>
            <w:vAlign w:val="bottom"/>
            <w:hideMark/>
          </w:tcPr>
          <w:p w14:paraId="767AC942"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10.69</w:t>
            </w:r>
          </w:p>
        </w:tc>
        <w:tc>
          <w:tcPr>
            <w:tcW w:w="384" w:type="pct"/>
            <w:tcBorders>
              <w:top w:val="nil"/>
              <w:left w:val="nil"/>
              <w:bottom w:val="nil"/>
              <w:right w:val="nil"/>
            </w:tcBorders>
            <w:shd w:val="clear" w:color="auto" w:fill="auto"/>
            <w:vAlign w:val="bottom"/>
            <w:hideMark/>
          </w:tcPr>
          <w:p w14:paraId="5F87E68E"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16.36</w:t>
            </w:r>
          </w:p>
        </w:tc>
      </w:tr>
      <w:tr w:rsidR="00F562A0" w:rsidRPr="00F562A0" w14:paraId="71880064" w14:textId="77777777" w:rsidTr="00A242F8">
        <w:trPr>
          <w:trHeight w:val="345"/>
        </w:trPr>
        <w:tc>
          <w:tcPr>
            <w:tcW w:w="3082" w:type="pct"/>
            <w:tcBorders>
              <w:top w:val="nil"/>
              <w:left w:val="nil"/>
              <w:bottom w:val="nil"/>
              <w:right w:val="nil"/>
            </w:tcBorders>
            <w:shd w:val="clear" w:color="auto" w:fill="auto"/>
            <w:vAlign w:val="bottom"/>
            <w:hideMark/>
          </w:tcPr>
          <w:p w14:paraId="7A631DD1" w14:textId="77777777" w:rsidR="00F562A0" w:rsidRPr="00F562A0" w:rsidRDefault="00F562A0" w:rsidP="00F562A0">
            <w:pPr>
              <w:spacing w:after="0" w:line="240" w:lineRule="auto"/>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Urbanization, %</w:t>
            </w:r>
          </w:p>
        </w:tc>
        <w:tc>
          <w:tcPr>
            <w:tcW w:w="384" w:type="pct"/>
            <w:tcBorders>
              <w:top w:val="nil"/>
              <w:left w:val="nil"/>
              <w:bottom w:val="nil"/>
              <w:right w:val="nil"/>
            </w:tcBorders>
            <w:shd w:val="clear" w:color="auto" w:fill="auto"/>
            <w:vAlign w:val="bottom"/>
            <w:hideMark/>
          </w:tcPr>
          <w:p w14:paraId="477BC28D"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85</w:t>
            </w:r>
          </w:p>
        </w:tc>
        <w:tc>
          <w:tcPr>
            <w:tcW w:w="384" w:type="pct"/>
            <w:tcBorders>
              <w:top w:val="nil"/>
              <w:left w:val="nil"/>
              <w:bottom w:val="nil"/>
              <w:right w:val="nil"/>
            </w:tcBorders>
            <w:shd w:val="clear" w:color="auto" w:fill="auto"/>
            <w:vAlign w:val="bottom"/>
            <w:hideMark/>
          </w:tcPr>
          <w:p w14:paraId="71E37D27"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70.75</w:t>
            </w:r>
          </w:p>
        </w:tc>
        <w:tc>
          <w:tcPr>
            <w:tcW w:w="384" w:type="pct"/>
            <w:tcBorders>
              <w:top w:val="nil"/>
              <w:left w:val="nil"/>
              <w:bottom w:val="nil"/>
              <w:right w:val="nil"/>
            </w:tcBorders>
            <w:shd w:val="clear" w:color="auto" w:fill="auto"/>
            <w:vAlign w:val="bottom"/>
            <w:hideMark/>
          </w:tcPr>
          <w:p w14:paraId="3F452A84"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12.97</w:t>
            </w:r>
          </w:p>
        </w:tc>
        <w:tc>
          <w:tcPr>
            <w:tcW w:w="384" w:type="pct"/>
            <w:tcBorders>
              <w:top w:val="nil"/>
              <w:left w:val="nil"/>
              <w:bottom w:val="nil"/>
              <w:right w:val="nil"/>
            </w:tcBorders>
            <w:shd w:val="clear" w:color="auto" w:fill="auto"/>
            <w:vAlign w:val="bottom"/>
            <w:hideMark/>
          </w:tcPr>
          <w:p w14:paraId="5B7CF2C7"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29.22</w:t>
            </w:r>
          </w:p>
        </w:tc>
        <w:tc>
          <w:tcPr>
            <w:tcW w:w="384" w:type="pct"/>
            <w:tcBorders>
              <w:top w:val="nil"/>
              <w:left w:val="nil"/>
              <w:bottom w:val="nil"/>
              <w:right w:val="nil"/>
            </w:tcBorders>
            <w:shd w:val="clear" w:color="auto" w:fill="auto"/>
            <w:vAlign w:val="bottom"/>
            <w:hideMark/>
          </w:tcPr>
          <w:p w14:paraId="637A9A8D"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100</w:t>
            </w:r>
          </w:p>
        </w:tc>
      </w:tr>
      <w:tr w:rsidR="00F562A0" w:rsidRPr="00F562A0" w14:paraId="5A0AD5F4" w14:textId="77777777" w:rsidTr="00A242F8">
        <w:trPr>
          <w:trHeight w:val="345"/>
        </w:trPr>
        <w:tc>
          <w:tcPr>
            <w:tcW w:w="3082" w:type="pct"/>
            <w:tcBorders>
              <w:top w:val="nil"/>
              <w:left w:val="nil"/>
              <w:bottom w:val="nil"/>
              <w:right w:val="nil"/>
            </w:tcBorders>
            <w:shd w:val="clear" w:color="auto" w:fill="auto"/>
            <w:vAlign w:val="bottom"/>
            <w:hideMark/>
          </w:tcPr>
          <w:p w14:paraId="0983EF1F" w14:textId="77777777" w:rsidR="00F562A0" w:rsidRPr="00A242F8" w:rsidRDefault="00F562A0" w:rsidP="00F562A0">
            <w:pPr>
              <w:spacing w:after="0" w:line="240" w:lineRule="auto"/>
              <w:rPr>
                <w:rFonts w:ascii="Latin Modern Roman" w:eastAsia="Times New Roman" w:hAnsi="Latin Modern Roman" w:cs="Arial"/>
                <w:sz w:val="20"/>
                <w:szCs w:val="20"/>
                <w:lang w:val="en-US" w:eastAsia="de-DE"/>
              </w:rPr>
            </w:pPr>
            <w:r w:rsidRPr="00A242F8">
              <w:rPr>
                <w:rFonts w:ascii="Latin Modern Roman" w:eastAsia="Times New Roman" w:hAnsi="Latin Modern Roman" w:cs="Arial"/>
                <w:sz w:val="20"/>
                <w:szCs w:val="20"/>
                <w:lang w:val="en-US" w:eastAsia="de-DE"/>
              </w:rPr>
              <w:t>Life expectancy at birth, years</w:t>
            </w:r>
          </w:p>
        </w:tc>
        <w:tc>
          <w:tcPr>
            <w:tcW w:w="384" w:type="pct"/>
            <w:tcBorders>
              <w:top w:val="nil"/>
              <w:left w:val="nil"/>
              <w:bottom w:val="nil"/>
              <w:right w:val="nil"/>
            </w:tcBorders>
            <w:shd w:val="clear" w:color="auto" w:fill="auto"/>
            <w:vAlign w:val="bottom"/>
            <w:hideMark/>
          </w:tcPr>
          <w:p w14:paraId="2579363B"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85</w:t>
            </w:r>
          </w:p>
        </w:tc>
        <w:tc>
          <w:tcPr>
            <w:tcW w:w="384" w:type="pct"/>
            <w:tcBorders>
              <w:top w:val="nil"/>
              <w:left w:val="nil"/>
              <w:bottom w:val="nil"/>
              <w:right w:val="nil"/>
            </w:tcBorders>
            <w:shd w:val="clear" w:color="auto" w:fill="auto"/>
            <w:vAlign w:val="bottom"/>
            <w:hideMark/>
          </w:tcPr>
          <w:p w14:paraId="3622313A"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72.69</w:t>
            </w:r>
          </w:p>
        </w:tc>
        <w:tc>
          <w:tcPr>
            <w:tcW w:w="384" w:type="pct"/>
            <w:tcBorders>
              <w:top w:val="nil"/>
              <w:left w:val="nil"/>
              <w:bottom w:val="nil"/>
              <w:right w:val="nil"/>
            </w:tcBorders>
            <w:shd w:val="clear" w:color="auto" w:fill="auto"/>
            <w:vAlign w:val="bottom"/>
            <w:hideMark/>
          </w:tcPr>
          <w:p w14:paraId="58C755F6"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2.37</w:t>
            </w:r>
          </w:p>
        </w:tc>
        <w:tc>
          <w:tcPr>
            <w:tcW w:w="384" w:type="pct"/>
            <w:tcBorders>
              <w:top w:val="nil"/>
              <w:left w:val="nil"/>
              <w:bottom w:val="nil"/>
              <w:right w:val="nil"/>
            </w:tcBorders>
            <w:shd w:val="clear" w:color="auto" w:fill="auto"/>
            <w:vAlign w:val="bottom"/>
            <w:hideMark/>
          </w:tcPr>
          <w:p w14:paraId="72399AAD"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67.57</w:t>
            </w:r>
          </w:p>
        </w:tc>
        <w:tc>
          <w:tcPr>
            <w:tcW w:w="384" w:type="pct"/>
            <w:tcBorders>
              <w:top w:val="nil"/>
              <w:left w:val="nil"/>
              <w:bottom w:val="nil"/>
              <w:right w:val="nil"/>
            </w:tcBorders>
            <w:shd w:val="clear" w:color="auto" w:fill="auto"/>
            <w:vAlign w:val="bottom"/>
            <w:hideMark/>
          </w:tcPr>
          <w:p w14:paraId="26EFD6A9"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83.41</w:t>
            </w:r>
          </w:p>
        </w:tc>
      </w:tr>
      <w:tr w:rsidR="00F562A0" w:rsidRPr="00F562A0" w14:paraId="19F64ED1" w14:textId="77777777" w:rsidTr="00A242F8">
        <w:trPr>
          <w:trHeight w:val="345"/>
        </w:trPr>
        <w:tc>
          <w:tcPr>
            <w:tcW w:w="3082" w:type="pct"/>
            <w:tcBorders>
              <w:top w:val="nil"/>
              <w:left w:val="nil"/>
              <w:bottom w:val="nil"/>
              <w:right w:val="nil"/>
            </w:tcBorders>
            <w:shd w:val="clear" w:color="auto" w:fill="auto"/>
            <w:vAlign w:val="bottom"/>
            <w:hideMark/>
          </w:tcPr>
          <w:p w14:paraId="6CBED332" w14:textId="77777777" w:rsidR="00F562A0" w:rsidRPr="00F562A0" w:rsidRDefault="00F562A0" w:rsidP="00F562A0">
            <w:pPr>
              <w:spacing w:after="0" w:line="240" w:lineRule="auto"/>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Income, log rubles</w:t>
            </w:r>
          </w:p>
        </w:tc>
        <w:tc>
          <w:tcPr>
            <w:tcW w:w="384" w:type="pct"/>
            <w:tcBorders>
              <w:top w:val="nil"/>
              <w:left w:val="nil"/>
              <w:bottom w:val="nil"/>
              <w:right w:val="nil"/>
            </w:tcBorders>
            <w:shd w:val="clear" w:color="auto" w:fill="auto"/>
            <w:vAlign w:val="bottom"/>
            <w:hideMark/>
          </w:tcPr>
          <w:p w14:paraId="6FB91208"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85</w:t>
            </w:r>
          </w:p>
        </w:tc>
        <w:tc>
          <w:tcPr>
            <w:tcW w:w="384" w:type="pct"/>
            <w:tcBorders>
              <w:top w:val="nil"/>
              <w:left w:val="nil"/>
              <w:bottom w:val="nil"/>
              <w:right w:val="nil"/>
            </w:tcBorders>
            <w:shd w:val="clear" w:color="auto" w:fill="auto"/>
            <w:vAlign w:val="bottom"/>
            <w:hideMark/>
          </w:tcPr>
          <w:p w14:paraId="29F5BA43"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10.31</w:t>
            </w:r>
          </w:p>
        </w:tc>
        <w:tc>
          <w:tcPr>
            <w:tcW w:w="384" w:type="pct"/>
            <w:tcBorders>
              <w:top w:val="nil"/>
              <w:left w:val="nil"/>
              <w:bottom w:val="nil"/>
              <w:right w:val="nil"/>
            </w:tcBorders>
            <w:shd w:val="clear" w:color="auto" w:fill="auto"/>
            <w:vAlign w:val="bottom"/>
            <w:hideMark/>
          </w:tcPr>
          <w:p w14:paraId="52F771D5"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0.34</w:t>
            </w:r>
          </w:p>
        </w:tc>
        <w:tc>
          <w:tcPr>
            <w:tcW w:w="384" w:type="pct"/>
            <w:tcBorders>
              <w:top w:val="nil"/>
              <w:left w:val="nil"/>
              <w:bottom w:val="nil"/>
              <w:right w:val="nil"/>
            </w:tcBorders>
            <w:shd w:val="clear" w:color="auto" w:fill="auto"/>
            <w:vAlign w:val="bottom"/>
            <w:hideMark/>
          </w:tcPr>
          <w:p w14:paraId="79D6DBE1"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9.72</w:t>
            </w:r>
          </w:p>
        </w:tc>
        <w:tc>
          <w:tcPr>
            <w:tcW w:w="384" w:type="pct"/>
            <w:tcBorders>
              <w:top w:val="nil"/>
              <w:left w:val="nil"/>
              <w:bottom w:val="nil"/>
              <w:right w:val="nil"/>
            </w:tcBorders>
            <w:shd w:val="clear" w:color="auto" w:fill="auto"/>
            <w:vAlign w:val="bottom"/>
            <w:hideMark/>
          </w:tcPr>
          <w:p w14:paraId="42BE4F55"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11.33</w:t>
            </w:r>
          </w:p>
        </w:tc>
      </w:tr>
      <w:tr w:rsidR="00F562A0" w:rsidRPr="00F562A0" w14:paraId="4013B003" w14:textId="77777777" w:rsidTr="00A242F8">
        <w:trPr>
          <w:trHeight w:val="345"/>
        </w:trPr>
        <w:tc>
          <w:tcPr>
            <w:tcW w:w="3082" w:type="pct"/>
            <w:tcBorders>
              <w:top w:val="nil"/>
              <w:left w:val="nil"/>
              <w:bottom w:val="nil"/>
              <w:right w:val="nil"/>
            </w:tcBorders>
            <w:shd w:val="clear" w:color="auto" w:fill="auto"/>
            <w:vAlign w:val="bottom"/>
            <w:hideMark/>
          </w:tcPr>
          <w:p w14:paraId="193A60B9" w14:textId="77777777" w:rsidR="00F562A0" w:rsidRPr="00F562A0" w:rsidRDefault="00F562A0" w:rsidP="00F562A0">
            <w:pPr>
              <w:spacing w:after="0" w:line="240" w:lineRule="auto"/>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Gini index</w:t>
            </w:r>
          </w:p>
        </w:tc>
        <w:tc>
          <w:tcPr>
            <w:tcW w:w="384" w:type="pct"/>
            <w:tcBorders>
              <w:top w:val="nil"/>
              <w:left w:val="nil"/>
              <w:bottom w:val="nil"/>
              <w:right w:val="nil"/>
            </w:tcBorders>
            <w:shd w:val="clear" w:color="auto" w:fill="auto"/>
            <w:vAlign w:val="bottom"/>
            <w:hideMark/>
          </w:tcPr>
          <w:p w14:paraId="6F9D66E8"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85</w:t>
            </w:r>
          </w:p>
        </w:tc>
        <w:tc>
          <w:tcPr>
            <w:tcW w:w="384" w:type="pct"/>
            <w:tcBorders>
              <w:top w:val="nil"/>
              <w:left w:val="nil"/>
              <w:bottom w:val="nil"/>
              <w:right w:val="nil"/>
            </w:tcBorders>
            <w:shd w:val="clear" w:color="auto" w:fill="auto"/>
            <w:vAlign w:val="bottom"/>
            <w:hideMark/>
          </w:tcPr>
          <w:p w14:paraId="0481B9FC"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0.37</w:t>
            </w:r>
          </w:p>
        </w:tc>
        <w:tc>
          <w:tcPr>
            <w:tcW w:w="384" w:type="pct"/>
            <w:tcBorders>
              <w:top w:val="nil"/>
              <w:left w:val="nil"/>
              <w:bottom w:val="nil"/>
              <w:right w:val="nil"/>
            </w:tcBorders>
            <w:shd w:val="clear" w:color="auto" w:fill="auto"/>
            <w:vAlign w:val="bottom"/>
            <w:hideMark/>
          </w:tcPr>
          <w:p w14:paraId="7FC8BB01"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0.02</w:t>
            </w:r>
          </w:p>
        </w:tc>
        <w:tc>
          <w:tcPr>
            <w:tcW w:w="384" w:type="pct"/>
            <w:tcBorders>
              <w:top w:val="nil"/>
              <w:left w:val="nil"/>
              <w:bottom w:val="nil"/>
              <w:right w:val="nil"/>
            </w:tcBorders>
            <w:shd w:val="clear" w:color="auto" w:fill="auto"/>
            <w:vAlign w:val="bottom"/>
            <w:hideMark/>
          </w:tcPr>
          <w:p w14:paraId="52BB19FC"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0.33</w:t>
            </w:r>
          </w:p>
        </w:tc>
        <w:tc>
          <w:tcPr>
            <w:tcW w:w="384" w:type="pct"/>
            <w:tcBorders>
              <w:top w:val="nil"/>
              <w:left w:val="nil"/>
              <w:bottom w:val="nil"/>
              <w:right w:val="nil"/>
            </w:tcBorders>
            <w:shd w:val="clear" w:color="auto" w:fill="auto"/>
            <w:vAlign w:val="bottom"/>
            <w:hideMark/>
          </w:tcPr>
          <w:p w14:paraId="6EE0C5DD"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0.44</w:t>
            </w:r>
          </w:p>
        </w:tc>
      </w:tr>
      <w:tr w:rsidR="00F562A0" w:rsidRPr="00F562A0" w14:paraId="75CF404C" w14:textId="77777777" w:rsidTr="00A242F8">
        <w:trPr>
          <w:trHeight w:val="345"/>
        </w:trPr>
        <w:tc>
          <w:tcPr>
            <w:tcW w:w="3082" w:type="pct"/>
            <w:tcBorders>
              <w:top w:val="nil"/>
              <w:left w:val="nil"/>
              <w:bottom w:val="nil"/>
              <w:right w:val="nil"/>
            </w:tcBorders>
            <w:shd w:val="clear" w:color="auto" w:fill="auto"/>
            <w:vAlign w:val="bottom"/>
            <w:hideMark/>
          </w:tcPr>
          <w:p w14:paraId="4E543F53" w14:textId="77777777" w:rsidR="00F562A0" w:rsidRPr="00F562A0" w:rsidRDefault="00F562A0" w:rsidP="00F562A0">
            <w:pPr>
              <w:spacing w:after="0" w:line="240" w:lineRule="auto"/>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Professional education, % of pop</w:t>
            </w:r>
          </w:p>
        </w:tc>
        <w:tc>
          <w:tcPr>
            <w:tcW w:w="384" w:type="pct"/>
            <w:tcBorders>
              <w:top w:val="nil"/>
              <w:left w:val="nil"/>
              <w:bottom w:val="nil"/>
              <w:right w:val="nil"/>
            </w:tcBorders>
            <w:shd w:val="clear" w:color="auto" w:fill="auto"/>
            <w:vAlign w:val="bottom"/>
            <w:hideMark/>
          </w:tcPr>
          <w:p w14:paraId="110E43FF"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85</w:t>
            </w:r>
          </w:p>
        </w:tc>
        <w:tc>
          <w:tcPr>
            <w:tcW w:w="384" w:type="pct"/>
            <w:tcBorders>
              <w:top w:val="nil"/>
              <w:left w:val="nil"/>
              <w:bottom w:val="nil"/>
              <w:right w:val="nil"/>
            </w:tcBorders>
            <w:shd w:val="clear" w:color="auto" w:fill="auto"/>
            <w:vAlign w:val="bottom"/>
            <w:hideMark/>
          </w:tcPr>
          <w:p w14:paraId="6B53563D"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77.48</w:t>
            </w:r>
          </w:p>
        </w:tc>
        <w:tc>
          <w:tcPr>
            <w:tcW w:w="384" w:type="pct"/>
            <w:tcBorders>
              <w:top w:val="nil"/>
              <w:left w:val="nil"/>
              <w:bottom w:val="nil"/>
              <w:right w:val="nil"/>
            </w:tcBorders>
            <w:shd w:val="clear" w:color="auto" w:fill="auto"/>
            <w:vAlign w:val="bottom"/>
            <w:hideMark/>
          </w:tcPr>
          <w:p w14:paraId="772062BC"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6.15</w:t>
            </w:r>
          </w:p>
        </w:tc>
        <w:tc>
          <w:tcPr>
            <w:tcW w:w="384" w:type="pct"/>
            <w:tcBorders>
              <w:top w:val="nil"/>
              <w:left w:val="nil"/>
              <w:bottom w:val="nil"/>
              <w:right w:val="nil"/>
            </w:tcBorders>
            <w:shd w:val="clear" w:color="auto" w:fill="auto"/>
            <w:vAlign w:val="bottom"/>
            <w:hideMark/>
          </w:tcPr>
          <w:p w14:paraId="3078BAD0"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54.4</w:t>
            </w:r>
          </w:p>
        </w:tc>
        <w:tc>
          <w:tcPr>
            <w:tcW w:w="384" w:type="pct"/>
            <w:tcBorders>
              <w:top w:val="nil"/>
              <w:left w:val="nil"/>
              <w:bottom w:val="nil"/>
              <w:right w:val="nil"/>
            </w:tcBorders>
            <w:shd w:val="clear" w:color="auto" w:fill="auto"/>
            <w:vAlign w:val="bottom"/>
            <w:hideMark/>
          </w:tcPr>
          <w:p w14:paraId="22A3826C"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93.5</w:t>
            </w:r>
          </w:p>
        </w:tc>
      </w:tr>
      <w:tr w:rsidR="00F562A0" w:rsidRPr="00F562A0" w14:paraId="7D45CFB6" w14:textId="77777777" w:rsidTr="00A242F8">
        <w:trPr>
          <w:trHeight w:val="345"/>
        </w:trPr>
        <w:tc>
          <w:tcPr>
            <w:tcW w:w="3082" w:type="pct"/>
            <w:tcBorders>
              <w:top w:val="nil"/>
              <w:left w:val="nil"/>
              <w:bottom w:val="nil"/>
              <w:right w:val="nil"/>
            </w:tcBorders>
            <w:shd w:val="clear" w:color="auto" w:fill="auto"/>
            <w:vAlign w:val="bottom"/>
            <w:hideMark/>
          </w:tcPr>
          <w:p w14:paraId="2AE2A65C" w14:textId="77777777" w:rsidR="00F562A0" w:rsidRPr="00A242F8" w:rsidRDefault="00F562A0" w:rsidP="00F562A0">
            <w:pPr>
              <w:spacing w:after="0" w:line="240" w:lineRule="auto"/>
              <w:rPr>
                <w:rFonts w:ascii="Latin Modern Roman" w:eastAsia="Times New Roman" w:hAnsi="Latin Modern Roman" w:cs="Arial"/>
                <w:sz w:val="20"/>
                <w:szCs w:val="20"/>
                <w:lang w:val="en-US" w:eastAsia="de-DE"/>
              </w:rPr>
            </w:pPr>
            <w:r w:rsidRPr="00A242F8">
              <w:rPr>
                <w:rFonts w:ascii="Latin Modern Roman" w:eastAsia="Times New Roman" w:hAnsi="Latin Modern Roman" w:cs="Arial"/>
                <w:sz w:val="20"/>
                <w:szCs w:val="20"/>
                <w:lang w:val="en-US" w:eastAsia="de-DE"/>
              </w:rPr>
              <w:t>Votes for Putin in 2018 election</w:t>
            </w:r>
          </w:p>
        </w:tc>
        <w:tc>
          <w:tcPr>
            <w:tcW w:w="384" w:type="pct"/>
            <w:tcBorders>
              <w:top w:val="nil"/>
              <w:left w:val="nil"/>
              <w:bottom w:val="nil"/>
              <w:right w:val="nil"/>
            </w:tcBorders>
            <w:shd w:val="clear" w:color="auto" w:fill="auto"/>
            <w:vAlign w:val="bottom"/>
            <w:hideMark/>
          </w:tcPr>
          <w:p w14:paraId="5414EFE9"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85</w:t>
            </w:r>
          </w:p>
        </w:tc>
        <w:tc>
          <w:tcPr>
            <w:tcW w:w="384" w:type="pct"/>
            <w:tcBorders>
              <w:top w:val="nil"/>
              <w:left w:val="nil"/>
              <w:bottom w:val="nil"/>
              <w:right w:val="nil"/>
            </w:tcBorders>
            <w:shd w:val="clear" w:color="auto" w:fill="auto"/>
            <w:vAlign w:val="bottom"/>
            <w:hideMark/>
          </w:tcPr>
          <w:p w14:paraId="4244AB57"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76.51</w:t>
            </w:r>
          </w:p>
        </w:tc>
        <w:tc>
          <w:tcPr>
            <w:tcW w:w="384" w:type="pct"/>
            <w:tcBorders>
              <w:top w:val="nil"/>
              <w:left w:val="nil"/>
              <w:bottom w:val="nil"/>
              <w:right w:val="nil"/>
            </w:tcBorders>
            <w:shd w:val="clear" w:color="auto" w:fill="auto"/>
            <w:vAlign w:val="bottom"/>
            <w:hideMark/>
          </w:tcPr>
          <w:p w14:paraId="5F6DFF72"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6.53</w:t>
            </w:r>
          </w:p>
        </w:tc>
        <w:tc>
          <w:tcPr>
            <w:tcW w:w="384" w:type="pct"/>
            <w:tcBorders>
              <w:top w:val="nil"/>
              <w:left w:val="nil"/>
              <w:bottom w:val="nil"/>
              <w:right w:val="nil"/>
            </w:tcBorders>
            <w:shd w:val="clear" w:color="auto" w:fill="auto"/>
            <w:vAlign w:val="bottom"/>
            <w:hideMark/>
          </w:tcPr>
          <w:p w14:paraId="19EDA643"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64.4</w:t>
            </w:r>
          </w:p>
        </w:tc>
        <w:tc>
          <w:tcPr>
            <w:tcW w:w="384" w:type="pct"/>
            <w:tcBorders>
              <w:top w:val="nil"/>
              <w:left w:val="nil"/>
              <w:bottom w:val="nil"/>
              <w:right w:val="nil"/>
            </w:tcBorders>
            <w:shd w:val="clear" w:color="auto" w:fill="auto"/>
            <w:vAlign w:val="bottom"/>
            <w:hideMark/>
          </w:tcPr>
          <w:p w14:paraId="4D1016C1" w14:textId="77777777" w:rsidR="00F562A0" w:rsidRPr="00F562A0" w:rsidRDefault="00F562A0" w:rsidP="00F562A0">
            <w:pPr>
              <w:spacing w:after="0" w:line="240" w:lineRule="auto"/>
              <w:jc w:val="center"/>
              <w:rPr>
                <w:rFonts w:ascii="Latin Modern Roman" w:eastAsia="Times New Roman" w:hAnsi="Latin Modern Roman" w:cs="Arial"/>
                <w:sz w:val="20"/>
                <w:szCs w:val="20"/>
                <w:lang w:eastAsia="de-DE"/>
              </w:rPr>
            </w:pPr>
            <w:r w:rsidRPr="00F562A0">
              <w:rPr>
                <w:rFonts w:ascii="Latin Modern Roman" w:eastAsia="Times New Roman" w:hAnsi="Latin Modern Roman" w:cs="Arial"/>
                <w:sz w:val="20"/>
                <w:szCs w:val="20"/>
                <w:lang w:eastAsia="de-DE"/>
              </w:rPr>
              <w:t>93.4</w:t>
            </w:r>
          </w:p>
        </w:tc>
      </w:tr>
      <w:tr w:rsidR="00F562A0" w:rsidRPr="00A242F8" w14:paraId="4B817C5C" w14:textId="77777777" w:rsidTr="00A242F8">
        <w:trPr>
          <w:trHeight w:val="345"/>
        </w:trPr>
        <w:tc>
          <w:tcPr>
            <w:tcW w:w="5000" w:type="pct"/>
            <w:gridSpan w:val="6"/>
            <w:tcBorders>
              <w:top w:val="single" w:sz="4" w:space="0" w:color="000000"/>
              <w:left w:val="nil"/>
              <w:bottom w:val="single" w:sz="4" w:space="0" w:color="000000"/>
              <w:right w:val="nil"/>
            </w:tcBorders>
            <w:shd w:val="clear" w:color="auto" w:fill="auto"/>
            <w:vAlign w:val="bottom"/>
            <w:hideMark/>
          </w:tcPr>
          <w:p w14:paraId="7A3E8501" w14:textId="77777777" w:rsidR="00F562A0" w:rsidRPr="00A242F8" w:rsidRDefault="00F562A0" w:rsidP="00F562A0">
            <w:pPr>
              <w:spacing w:after="0" w:line="240" w:lineRule="auto"/>
              <w:jc w:val="center"/>
              <w:rPr>
                <w:rFonts w:ascii="Latin Modern Roman" w:eastAsia="Times New Roman" w:hAnsi="Latin Modern Roman" w:cs="Arial"/>
                <w:b/>
                <w:bCs/>
                <w:sz w:val="20"/>
                <w:szCs w:val="20"/>
                <w:lang w:val="en-US" w:eastAsia="de-DE"/>
              </w:rPr>
            </w:pPr>
            <w:r w:rsidRPr="00A242F8">
              <w:rPr>
                <w:rFonts w:ascii="Latin Modern Roman" w:eastAsia="Times New Roman" w:hAnsi="Latin Modern Roman" w:cs="Arial"/>
                <w:b/>
                <w:bCs/>
                <w:sz w:val="20"/>
                <w:szCs w:val="20"/>
                <w:lang w:val="en-US" w:eastAsia="de-DE"/>
              </w:rPr>
              <w:t>Variables from the balance test: institutional characteristics (Table C2)</w:t>
            </w:r>
          </w:p>
        </w:tc>
      </w:tr>
      <w:tr w:rsidR="00F562A0" w:rsidRPr="00F562A0" w14:paraId="3FF4B689" w14:textId="77777777" w:rsidTr="00A242F8">
        <w:trPr>
          <w:trHeight w:val="255"/>
        </w:trPr>
        <w:tc>
          <w:tcPr>
            <w:tcW w:w="3082" w:type="pct"/>
            <w:tcBorders>
              <w:top w:val="nil"/>
              <w:left w:val="nil"/>
              <w:bottom w:val="nil"/>
              <w:right w:val="nil"/>
            </w:tcBorders>
            <w:shd w:val="clear" w:color="auto" w:fill="auto"/>
            <w:vAlign w:val="center"/>
            <w:hideMark/>
          </w:tcPr>
          <w:p w14:paraId="418CBF25" w14:textId="77777777" w:rsidR="00F562A0" w:rsidRPr="00F562A0" w:rsidRDefault="00F562A0" w:rsidP="00F562A0">
            <w:pPr>
              <w:spacing w:after="0" w:line="240" w:lineRule="auto"/>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Press freedom</w:t>
            </w:r>
          </w:p>
        </w:tc>
        <w:tc>
          <w:tcPr>
            <w:tcW w:w="384" w:type="pct"/>
            <w:tcBorders>
              <w:top w:val="nil"/>
              <w:left w:val="nil"/>
              <w:bottom w:val="nil"/>
              <w:right w:val="nil"/>
            </w:tcBorders>
            <w:shd w:val="clear" w:color="auto" w:fill="auto"/>
            <w:vAlign w:val="center"/>
            <w:hideMark/>
          </w:tcPr>
          <w:p w14:paraId="4F8DD398"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83</w:t>
            </w:r>
          </w:p>
        </w:tc>
        <w:tc>
          <w:tcPr>
            <w:tcW w:w="384" w:type="pct"/>
            <w:tcBorders>
              <w:top w:val="nil"/>
              <w:left w:val="nil"/>
              <w:bottom w:val="nil"/>
              <w:right w:val="nil"/>
            </w:tcBorders>
            <w:shd w:val="clear" w:color="auto" w:fill="auto"/>
            <w:vAlign w:val="center"/>
            <w:hideMark/>
          </w:tcPr>
          <w:p w14:paraId="0EFB504E"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2.89</w:t>
            </w:r>
          </w:p>
        </w:tc>
        <w:tc>
          <w:tcPr>
            <w:tcW w:w="384" w:type="pct"/>
            <w:tcBorders>
              <w:top w:val="nil"/>
              <w:left w:val="nil"/>
              <w:bottom w:val="nil"/>
              <w:right w:val="nil"/>
            </w:tcBorders>
            <w:shd w:val="clear" w:color="auto" w:fill="auto"/>
            <w:vAlign w:val="center"/>
            <w:hideMark/>
          </w:tcPr>
          <w:p w14:paraId="5A446AE5"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0.94</w:t>
            </w:r>
          </w:p>
        </w:tc>
        <w:tc>
          <w:tcPr>
            <w:tcW w:w="384" w:type="pct"/>
            <w:tcBorders>
              <w:top w:val="nil"/>
              <w:left w:val="nil"/>
              <w:bottom w:val="nil"/>
              <w:right w:val="nil"/>
            </w:tcBorders>
            <w:shd w:val="clear" w:color="auto" w:fill="auto"/>
            <w:vAlign w:val="center"/>
            <w:hideMark/>
          </w:tcPr>
          <w:p w14:paraId="0DC5B3A1"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1</w:t>
            </w:r>
          </w:p>
        </w:tc>
        <w:tc>
          <w:tcPr>
            <w:tcW w:w="384" w:type="pct"/>
            <w:tcBorders>
              <w:top w:val="nil"/>
              <w:left w:val="nil"/>
              <w:bottom w:val="nil"/>
              <w:right w:val="nil"/>
            </w:tcBorders>
            <w:shd w:val="clear" w:color="auto" w:fill="auto"/>
            <w:vAlign w:val="center"/>
            <w:hideMark/>
          </w:tcPr>
          <w:p w14:paraId="7488D232"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5</w:t>
            </w:r>
          </w:p>
        </w:tc>
      </w:tr>
      <w:tr w:rsidR="00F562A0" w:rsidRPr="00F562A0" w14:paraId="125B9B93" w14:textId="77777777" w:rsidTr="00A242F8">
        <w:trPr>
          <w:trHeight w:val="345"/>
        </w:trPr>
        <w:tc>
          <w:tcPr>
            <w:tcW w:w="3082" w:type="pct"/>
            <w:tcBorders>
              <w:top w:val="nil"/>
              <w:left w:val="nil"/>
              <w:bottom w:val="nil"/>
              <w:right w:val="nil"/>
            </w:tcBorders>
            <w:shd w:val="clear" w:color="auto" w:fill="auto"/>
            <w:vAlign w:val="center"/>
            <w:hideMark/>
          </w:tcPr>
          <w:p w14:paraId="2A0B6EAD" w14:textId="77777777" w:rsidR="00F562A0" w:rsidRPr="00F562A0" w:rsidRDefault="00F562A0" w:rsidP="00F562A0">
            <w:pPr>
              <w:spacing w:after="0" w:line="240" w:lineRule="auto"/>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Election quality</w:t>
            </w:r>
          </w:p>
        </w:tc>
        <w:tc>
          <w:tcPr>
            <w:tcW w:w="384" w:type="pct"/>
            <w:tcBorders>
              <w:top w:val="nil"/>
              <w:left w:val="nil"/>
              <w:bottom w:val="nil"/>
              <w:right w:val="nil"/>
            </w:tcBorders>
            <w:shd w:val="clear" w:color="auto" w:fill="auto"/>
            <w:vAlign w:val="center"/>
            <w:hideMark/>
          </w:tcPr>
          <w:p w14:paraId="13A1B293"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83</w:t>
            </w:r>
          </w:p>
        </w:tc>
        <w:tc>
          <w:tcPr>
            <w:tcW w:w="384" w:type="pct"/>
            <w:tcBorders>
              <w:top w:val="nil"/>
              <w:left w:val="nil"/>
              <w:bottom w:val="nil"/>
              <w:right w:val="nil"/>
            </w:tcBorders>
            <w:shd w:val="clear" w:color="auto" w:fill="auto"/>
            <w:vAlign w:val="center"/>
            <w:hideMark/>
          </w:tcPr>
          <w:p w14:paraId="3D4C6F12"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3.04</w:t>
            </w:r>
          </w:p>
        </w:tc>
        <w:tc>
          <w:tcPr>
            <w:tcW w:w="384" w:type="pct"/>
            <w:tcBorders>
              <w:top w:val="nil"/>
              <w:left w:val="nil"/>
              <w:bottom w:val="nil"/>
              <w:right w:val="nil"/>
            </w:tcBorders>
            <w:shd w:val="clear" w:color="auto" w:fill="auto"/>
            <w:vAlign w:val="center"/>
            <w:hideMark/>
          </w:tcPr>
          <w:p w14:paraId="384DCBD3"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0.94</w:t>
            </w:r>
          </w:p>
        </w:tc>
        <w:tc>
          <w:tcPr>
            <w:tcW w:w="384" w:type="pct"/>
            <w:tcBorders>
              <w:top w:val="nil"/>
              <w:left w:val="nil"/>
              <w:bottom w:val="nil"/>
              <w:right w:val="nil"/>
            </w:tcBorders>
            <w:shd w:val="clear" w:color="auto" w:fill="auto"/>
            <w:vAlign w:val="center"/>
            <w:hideMark/>
          </w:tcPr>
          <w:p w14:paraId="1B911FAB"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1</w:t>
            </w:r>
          </w:p>
        </w:tc>
        <w:tc>
          <w:tcPr>
            <w:tcW w:w="384" w:type="pct"/>
            <w:tcBorders>
              <w:top w:val="nil"/>
              <w:left w:val="nil"/>
              <w:bottom w:val="nil"/>
              <w:right w:val="nil"/>
            </w:tcBorders>
            <w:shd w:val="clear" w:color="auto" w:fill="auto"/>
            <w:vAlign w:val="center"/>
            <w:hideMark/>
          </w:tcPr>
          <w:p w14:paraId="29789793"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5</w:t>
            </w:r>
          </w:p>
        </w:tc>
      </w:tr>
      <w:tr w:rsidR="00F562A0" w:rsidRPr="00F562A0" w14:paraId="60DB3E04" w14:textId="77777777" w:rsidTr="00A242F8">
        <w:trPr>
          <w:trHeight w:val="345"/>
        </w:trPr>
        <w:tc>
          <w:tcPr>
            <w:tcW w:w="3082" w:type="pct"/>
            <w:tcBorders>
              <w:top w:val="nil"/>
              <w:left w:val="nil"/>
              <w:bottom w:val="nil"/>
              <w:right w:val="nil"/>
            </w:tcBorders>
            <w:shd w:val="clear" w:color="auto" w:fill="auto"/>
            <w:vAlign w:val="center"/>
            <w:hideMark/>
          </w:tcPr>
          <w:p w14:paraId="5F6C2094" w14:textId="77777777" w:rsidR="00F562A0" w:rsidRPr="00F562A0" w:rsidRDefault="00F562A0" w:rsidP="00F562A0">
            <w:pPr>
              <w:spacing w:after="0" w:line="240" w:lineRule="auto"/>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Political system</w:t>
            </w:r>
          </w:p>
        </w:tc>
        <w:tc>
          <w:tcPr>
            <w:tcW w:w="384" w:type="pct"/>
            <w:tcBorders>
              <w:top w:val="nil"/>
              <w:left w:val="nil"/>
              <w:bottom w:val="nil"/>
              <w:right w:val="nil"/>
            </w:tcBorders>
            <w:shd w:val="clear" w:color="auto" w:fill="auto"/>
            <w:vAlign w:val="center"/>
            <w:hideMark/>
          </w:tcPr>
          <w:p w14:paraId="522AC739"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83</w:t>
            </w:r>
          </w:p>
        </w:tc>
        <w:tc>
          <w:tcPr>
            <w:tcW w:w="384" w:type="pct"/>
            <w:tcBorders>
              <w:top w:val="nil"/>
              <w:left w:val="nil"/>
              <w:bottom w:val="nil"/>
              <w:right w:val="nil"/>
            </w:tcBorders>
            <w:shd w:val="clear" w:color="auto" w:fill="auto"/>
            <w:vAlign w:val="center"/>
            <w:hideMark/>
          </w:tcPr>
          <w:p w14:paraId="4E29C068"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3.10</w:t>
            </w:r>
          </w:p>
        </w:tc>
        <w:tc>
          <w:tcPr>
            <w:tcW w:w="384" w:type="pct"/>
            <w:tcBorders>
              <w:top w:val="nil"/>
              <w:left w:val="nil"/>
              <w:bottom w:val="nil"/>
              <w:right w:val="nil"/>
            </w:tcBorders>
            <w:shd w:val="clear" w:color="auto" w:fill="auto"/>
            <w:vAlign w:val="center"/>
            <w:hideMark/>
          </w:tcPr>
          <w:p w14:paraId="32C7226F"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0.69</w:t>
            </w:r>
          </w:p>
        </w:tc>
        <w:tc>
          <w:tcPr>
            <w:tcW w:w="384" w:type="pct"/>
            <w:tcBorders>
              <w:top w:val="nil"/>
              <w:left w:val="nil"/>
              <w:bottom w:val="nil"/>
              <w:right w:val="nil"/>
            </w:tcBorders>
            <w:shd w:val="clear" w:color="auto" w:fill="auto"/>
            <w:vAlign w:val="center"/>
            <w:hideMark/>
          </w:tcPr>
          <w:p w14:paraId="1C80CF33"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1</w:t>
            </w:r>
          </w:p>
        </w:tc>
        <w:tc>
          <w:tcPr>
            <w:tcW w:w="384" w:type="pct"/>
            <w:tcBorders>
              <w:top w:val="nil"/>
              <w:left w:val="nil"/>
              <w:bottom w:val="nil"/>
              <w:right w:val="nil"/>
            </w:tcBorders>
            <w:shd w:val="clear" w:color="auto" w:fill="auto"/>
            <w:vAlign w:val="center"/>
            <w:hideMark/>
          </w:tcPr>
          <w:p w14:paraId="149986F6"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5</w:t>
            </w:r>
          </w:p>
        </w:tc>
      </w:tr>
      <w:tr w:rsidR="00F562A0" w:rsidRPr="00F562A0" w14:paraId="3EA48F1F" w14:textId="77777777" w:rsidTr="00A242F8">
        <w:trPr>
          <w:trHeight w:val="345"/>
        </w:trPr>
        <w:tc>
          <w:tcPr>
            <w:tcW w:w="3082" w:type="pct"/>
            <w:tcBorders>
              <w:top w:val="nil"/>
              <w:left w:val="nil"/>
              <w:bottom w:val="nil"/>
              <w:right w:val="nil"/>
            </w:tcBorders>
            <w:shd w:val="clear" w:color="auto" w:fill="auto"/>
            <w:vAlign w:val="center"/>
            <w:hideMark/>
          </w:tcPr>
          <w:p w14:paraId="55E71790" w14:textId="77777777" w:rsidR="00F562A0" w:rsidRPr="00F562A0" w:rsidRDefault="00F562A0" w:rsidP="00F562A0">
            <w:pPr>
              <w:spacing w:after="0" w:line="240" w:lineRule="auto"/>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Pluralism</w:t>
            </w:r>
          </w:p>
        </w:tc>
        <w:tc>
          <w:tcPr>
            <w:tcW w:w="384" w:type="pct"/>
            <w:tcBorders>
              <w:top w:val="nil"/>
              <w:left w:val="nil"/>
              <w:bottom w:val="nil"/>
              <w:right w:val="nil"/>
            </w:tcBorders>
            <w:shd w:val="clear" w:color="auto" w:fill="auto"/>
            <w:vAlign w:val="center"/>
            <w:hideMark/>
          </w:tcPr>
          <w:p w14:paraId="1D7FCFAC"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83</w:t>
            </w:r>
          </w:p>
        </w:tc>
        <w:tc>
          <w:tcPr>
            <w:tcW w:w="384" w:type="pct"/>
            <w:tcBorders>
              <w:top w:val="nil"/>
              <w:left w:val="nil"/>
              <w:bottom w:val="nil"/>
              <w:right w:val="nil"/>
            </w:tcBorders>
            <w:shd w:val="clear" w:color="auto" w:fill="auto"/>
            <w:vAlign w:val="center"/>
            <w:hideMark/>
          </w:tcPr>
          <w:p w14:paraId="4B4EC397"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3.13</w:t>
            </w:r>
          </w:p>
        </w:tc>
        <w:tc>
          <w:tcPr>
            <w:tcW w:w="384" w:type="pct"/>
            <w:tcBorders>
              <w:top w:val="nil"/>
              <w:left w:val="nil"/>
              <w:bottom w:val="nil"/>
              <w:right w:val="nil"/>
            </w:tcBorders>
            <w:shd w:val="clear" w:color="auto" w:fill="auto"/>
            <w:vAlign w:val="center"/>
            <w:hideMark/>
          </w:tcPr>
          <w:p w14:paraId="27B243FC"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0.79</w:t>
            </w:r>
          </w:p>
        </w:tc>
        <w:tc>
          <w:tcPr>
            <w:tcW w:w="384" w:type="pct"/>
            <w:tcBorders>
              <w:top w:val="nil"/>
              <w:left w:val="nil"/>
              <w:bottom w:val="nil"/>
              <w:right w:val="nil"/>
            </w:tcBorders>
            <w:shd w:val="clear" w:color="auto" w:fill="auto"/>
            <w:vAlign w:val="center"/>
            <w:hideMark/>
          </w:tcPr>
          <w:p w14:paraId="7CE6E300"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1</w:t>
            </w:r>
          </w:p>
        </w:tc>
        <w:tc>
          <w:tcPr>
            <w:tcW w:w="384" w:type="pct"/>
            <w:tcBorders>
              <w:top w:val="nil"/>
              <w:left w:val="nil"/>
              <w:bottom w:val="nil"/>
              <w:right w:val="nil"/>
            </w:tcBorders>
            <w:shd w:val="clear" w:color="auto" w:fill="auto"/>
            <w:vAlign w:val="center"/>
            <w:hideMark/>
          </w:tcPr>
          <w:p w14:paraId="409F69A4"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5</w:t>
            </w:r>
          </w:p>
        </w:tc>
      </w:tr>
      <w:tr w:rsidR="00F562A0" w:rsidRPr="00F562A0" w14:paraId="386D7CA4" w14:textId="77777777" w:rsidTr="00A242F8">
        <w:trPr>
          <w:trHeight w:val="345"/>
        </w:trPr>
        <w:tc>
          <w:tcPr>
            <w:tcW w:w="3082" w:type="pct"/>
            <w:tcBorders>
              <w:top w:val="nil"/>
              <w:left w:val="nil"/>
              <w:bottom w:val="nil"/>
              <w:right w:val="nil"/>
            </w:tcBorders>
            <w:shd w:val="clear" w:color="auto" w:fill="auto"/>
            <w:vAlign w:val="center"/>
            <w:hideMark/>
          </w:tcPr>
          <w:p w14:paraId="4A136A3C" w14:textId="77777777" w:rsidR="00F562A0" w:rsidRPr="00F562A0" w:rsidRDefault="00F562A0" w:rsidP="00F562A0">
            <w:pPr>
              <w:spacing w:after="0" w:line="240" w:lineRule="auto"/>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Local elites</w:t>
            </w:r>
          </w:p>
        </w:tc>
        <w:tc>
          <w:tcPr>
            <w:tcW w:w="384" w:type="pct"/>
            <w:tcBorders>
              <w:top w:val="nil"/>
              <w:left w:val="nil"/>
              <w:bottom w:val="nil"/>
              <w:right w:val="nil"/>
            </w:tcBorders>
            <w:shd w:val="clear" w:color="auto" w:fill="auto"/>
            <w:vAlign w:val="center"/>
            <w:hideMark/>
          </w:tcPr>
          <w:p w14:paraId="65DF4EB2"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83</w:t>
            </w:r>
          </w:p>
        </w:tc>
        <w:tc>
          <w:tcPr>
            <w:tcW w:w="384" w:type="pct"/>
            <w:tcBorders>
              <w:top w:val="nil"/>
              <w:left w:val="nil"/>
              <w:bottom w:val="nil"/>
              <w:right w:val="nil"/>
            </w:tcBorders>
            <w:shd w:val="clear" w:color="auto" w:fill="auto"/>
            <w:vAlign w:val="center"/>
            <w:hideMark/>
          </w:tcPr>
          <w:p w14:paraId="42DAE6C5"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2.96</w:t>
            </w:r>
          </w:p>
        </w:tc>
        <w:tc>
          <w:tcPr>
            <w:tcW w:w="384" w:type="pct"/>
            <w:tcBorders>
              <w:top w:val="nil"/>
              <w:left w:val="nil"/>
              <w:bottom w:val="nil"/>
              <w:right w:val="nil"/>
            </w:tcBorders>
            <w:shd w:val="clear" w:color="auto" w:fill="auto"/>
            <w:vAlign w:val="center"/>
            <w:hideMark/>
          </w:tcPr>
          <w:p w14:paraId="62D3E0D1"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0.69</w:t>
            </w:r>
          </w:p>
        </w:tc>
        <w:tc>
          <w:tcPr>
            <w:tcW w:w="384" w:type="pct"/>
            <w:tcBorders>
              <w:top w:val="nil"/>
              <w:left w:val="nil"/>
              <w:bottom w:val="nil"/>
              <w:right w:val="nil"/>
            </w:tcBorders>
            <w:shd w:val="clear" w:color="auto" w:fill="auto"/>
            <w:vAlign w:val="center"/>
            <w:hideMark/>
          </w:tcPr>
          <w:p w14:paraId="7564962D"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2</w:t>
            </w:r>
          </w:p>
        </w:tc>
        <w:tc>
          <w:tcPr>
            <w:tcW w:w="384" w:type="pct"/>
            <w:tcBorders>
              <w:top w:val="nil"/>
              <w:left w:val="nil"/>
              <w:bottom w:val="nil"/>
              <w:right w:val="nil"/>
            </w:tcBorders>
            <w:shd w:val="clear" w:color="auto" w:fill="auto"/>
            <w:vAlign w:val="center"/>
            <w:hideMark/>
          </w:tcPr>
          <w:p w14:paraId="2EE23DE6"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4</w:t>
            </w:r>
          </w:p>
        </w:tc>
      </w:tr>
      <w:tr w:rsidR="00F562A0" w:rsidRPr="00F562A0" w14:paraId="5D4FF025" w14:textId="77777777" w:rsidTr="00A242F8">
        <w:trPr>
          <w:trHeight w:val="345"/>
        </w:trPr>
        <w:tc>
          <w:tcPr>
            <w:tcW w:w="3082" w:type="pct"/>
            <w:tcBorders>
              <w:top w:val="nil"/>
              <w:left w:val="nil"/>
              <w:bottom w:val="nil"/>
              <w:right w:val="nil"/>
            </w:tcBorders>
            <w:shd w:val="clear" w:color="auto" w:fill="auto"/>
            <w:vAlign w:val="center"/>
            <w:hideMark/>
          </w:tcPr>
          <w:p w14:paraId="5B53827B" w14:textId="77777777" w:rsidR="00F562A0" w:rsidRPr="00F562A0" w:rsidRDefault="00F562A0" w:rsidP="00F562A0">
            <w:pPr>
              <w:spacing w:after="0" w:line="240" w:lineRule="auto"/>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Control of corruption</w:t>
            </w:r>
          </w:p>
        </w:tc>
        <w:tc>
          <w:tcPr>
            <w:tcW w:w="384" w:type="pct"/>
            <w:tcBorders>
              <w:top w:val="nil"/>
              <w:left w:val="nil"/>
              <w:bottom w:val="nil"/>
              <w:right w:val="nil"/>
            </w:tcBorders>
            <w:shd w:val="clear" w:color="auto" w:fill="auto"/>
            <w:vAlign w:val="center"/>
            <w:hideMark/>
          </w:tcPr>
          <w:p w14:paraId="2DC19FE5"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83</w:t>
            </w:r>
          </w:p>
        </w:tc>
        <w:tc>
          <w:tcPr>
            <w:tcW w:w="384" w:type="pct"/>
            <w:tcBorders>
              <w:top w:val="nil"/>
              <w:left w:val="nil"/>
              <w:bottom w:val="nil"/>
              <w:right w:val="nil"/>
            </w:tcBorders>
            <w:shd w:val="clear" w:color="auto" w:fill="auto"/>
            <w:vAlign w:val="center"/>
            <w:hideMark/>
          </w:tcPr>
          <w:p w14:paraId="781FEDA7"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2.82</w:t>
            </w:r>
          </w:p>
        </w:tc>
        <w:tc>
          <w:tcPr>
            <w:tcW w:w="384" w:type="pct"/>
            <w:tcBorders>
              <w:top w:val="nil"/>
              <w:left w:val="nil"/>
              <w:bottom w:val="nil"/>
              <w:right w:val="nil"/>
            </w:tcBorders>
            <w:shd w:val="clear" w:color="auto" w:fill="auto"/>
            <w:vAlign w:val="center"/>
            <w:hideMark/>
          </w:tcPr>
          <w:p w14:paraId="7BED1B39"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0.65</w:t>
            </w:r>
          </w:p>
        </w:tc>
        <w:tc>
          <w:tcPr>
            <w:tcW w:w="384" w:type="pct"/>
            <w:tcBorders>
              <w:top w:val="nil"/>
              <w:left w:val="nil"/>
              <w:bottom w:val="nil"/>
              <w:right w:val="nil"/>
            </w:tcBorders>
            <w:shd w:val="clear" w:color="auto" w:fill="auto"/>
            <w:vAlign w:val="center"/>
            <w:hideMark/>
          </w:tcPr>
          <w:p w14:paraId="523A47C7"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1</w:t>
            </w:r>
          </w:p>
        </w:tc>
        <w:tc>
          <w:tcPr>
            <w:tcW w:w="384" w:type="pct"/>
            <w:tcBorders>
              <w:top w:val="nil"/>
              <w:left w:val="nil"/>
              <w:bottom w:val="nil"/>
              <w:right w:val="nil"/>
            </w:tcBorders>
            <w:shd w:val="clear" w:color="auto" w:fill="auto"/>
            <w:vAlign w:val="center"/>
            <w:hideMark/>
          </w:tcPr>
          <w:p w14:paraId="20E070B1"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5</w:t>
            </w:r>
          </w:p>
        </w:tc>
      </w:tr>
      <w:tr w:rsidR="00F562A0" w:rsidRPr="00F562A0" w14:paraId="595A0E10" w14:textId="77777777" w:rsidTr="00A242F8">
        <w:trPr>
          <w:trHeight w:val="345"/>
        </w:trPr>
        <w:tc>
          <w:tcPr>
            <w:tcW w:w="3082" w:type="pct"/>
            <w:tcBorders>
              <w:top w:val="nil"/>
              <w:left w:val="nil"/>
              <w:bottom w:val="nil"/>
              <w:right w:val="nil"/>
            </w:tcBorders>
            <w:shd w:val="clear" w:color="auto" w:fill="auto"/>
            <w:vAlign w:val="center"/>
            <w:hideMark/>
          </w:tcPr>
          <w:p w14:paraId="5EBC9DF8" w14:textId="77777777" w:rsidR="00F562A0" w:rsidRPr="00F562A0" w:rsidRDefault="00F562A0" w:rsidP="00F562A0">
            <w:pPr>
              <w:spacing w:after="0" w:line="240" w:lineRule="auto"/>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Civil society</w:t>
            </w:r>
          </w:p>
        </w:tc>
        <w:tc>
          <w:tcPr>
            <w:tcW w:w="384" w:type="pct"/>
            <w:tcBorders>
              <w:top w:val="nil"/>
              <w:left w:val="nil"/>
              <w:bottom w:val="nil"/>
              <w:right w:val="nil"/>
            </w:tcBorders>
            <w:shd w:val="clear" w:color="auto" w:fill="auto"/>
            <w:vAlign w:val="center"/>
            <w:hideMark/>
          </w:tcPr>
          <w:p w14:paraId="05052DD5"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83</w:t>
            </w:r>
          </w:p>
        </w:tc>
        <w:tc>
          <w:tcPr>
            <w:tcW w:w="384" w:type="pct"/>
            <w:tcBorders>
              <w:top w:val="nil"/>
              <w:left w:val="nil"/>
              <w:bottom w:val="nil"/>
              <w:right w:val="nil"/>
            </w:tcBorders>
            <w:shd w:val="clear" w:color="auto" w:fill="auto"/>
            <w:vAlign w:val="center"/>
            <w:hideMark/>
          </w:tcPr>
          <w:p w14:paraId="32BBE5B9"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3.23</w:t>
            </w:r>
          </w:p>
        </w:tc>
        <w:tc>
          <w:tcPr>
            <w:tcW w:w="384" w:type="pct"/>
            <w:tcBorders>
              <w:top w:val="nil"/>
              <w:left w:val="nil"/>
              <w:bottom w:val="nil"/>
              <w:right w:val="nil"/>
            </w:tcBorders>
            <w:shd w:val="clear" w:color="auto" w:fill="auto"/>
            <w:vAlign w:val="center"/>
            <w:hideMark/>
          </w:tcPr>
          <w:p w14:paraId="6D68BD86"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0.9</w:t>
            </w:r>
          </w:p>
        </w:tc>
        <w:tc>
          <w:tcPr>
            <w:tcW w:w="384" w:type="pct"/>
            <w:tcBorders>
              <w:top w:val="nil"/>
              <w:left w:val="nil"/>
              <w:bottom w:val="nil"/>
              <w:right w:val="nil"/>
            </w:tcBorders>
            <w:shd w:val="clear" w:color="auto" w:fill="auto"/>
            <w:vAlign w:val="center"/>
            <w:hideMark/>
          </w:tcPr>
          <w:p w14:paraId="663BBD48"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1</w:t>
            </w:r>
          </w:p>
        </w:tc>
        <w:tc>
          <w:tcPr>
            <w:tcW w:w="384" w:type="pct"/>
            <w:tcBorders>
              <w:top w:val="nil"/>
              <w:left w:val="nil"/>
              <w:bottom w:val="nil"/>
              <w:right w:val="nil"/>
            </w:tcBorders>
            <w:shd w:val="clear" w:color="auto" w:fill="auto"/>
            <w:vAlign w:val="center"/>
            <w:hideMark/>
          </w:tcPr>
          <w:p w14:paraId="1CD959E3"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5</w:t>
            </w:r>
          </w:p>
        </w:tc>
      </w:tr>
      <w:tr w:rsidR="00F562A0" w:rsidRPr="00F562A0" w14:paraId="6FBCBE05" w14:textId="77777777" w:rsidTr="00A242F8">
        <w:trPr>
          <w:trHeight w:val="345"/>
        </w:trPr>
        <w:tc>
          <w:tcPr>
            <w:tcW w:w="3082" w:type="pct"/>
            <w:tcBorders>
              <w:top w:val="nil"/>
              <w:left w:val="nil"/>
              <w:bottom w:val="nil"/>
              <w:right w:val="nil"/>
            </w:tcBorders>
            <w:shd w:val="clear" w:color="auto" w:fill="auto"/>
            <w:vAlign w:val="center"/>
            <w:hideMark/>
          </w:tcPr>
          <w:p w14:paraId="6EDA6948" w14:textId="77777777" w:rsidR="00F562A0" w:rsidRPr="00F562A0" w:rsidRDefault="00F562A0" w:rsidP="00F562A0">
            <w:pPr>
              <w:spacing w:after="0" w:line="240" w:lineRule="auto"/>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Openness</w:t>
            </w:r>
          </w:p>
        </w:tc>
        <w:tc>
          <w:tcPr>
            <w:tcW w:w="384" w:type="pct"/>
            <w:tcBorders>
              <w:top w:val="nil"/>
              <w:left w:val="nil"/>
              <w:bottom w:val="nil"/>
              <w:right w:val="nil"/>
            </w:tcBorders>
            <w:shd w:val="clear" w:color="auto" w:fill="auto"/>
            <w:vAlign w:val="center"/>
            <w:hideMark/>
          </w:tcPr>
          <w:p w14:paraId="4C05D775"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83</w:t>
            </w:r>
          </w:p>
        </w:tc>
        <w:tc>
          <w:tcPr>
            <w:tcW w:w="384" w:type="pct"/>
            <w:tcBorders>
              <w:top w:val="nil"/>
              <w:left w:val="nil"/>
              <w:bottom w:val="nil"/>
              <w:right w:val="nil"/>
            </w:tcBorders>
            <w:shd w:val="clear" w:color="auto" w:fill="auto"/>
            <w:vAlign w:val="center"/>
            <w:hideMark/>
          </w:tcPr>
          <w:p w14:paraId="1727775A"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3.36</w:t>
            </w:r>
          </w:p>
        </w:tc>
        <w:tc>
          <w:tcPr>
            <w:tcW w:w="384" w:type="pct"/>
            <w:tcBorders>
              <w:top w:val="nil"/>
              <w:left w:val="nil"/>
              <w:bottom w:val="nil"/>
              <w:right w:val="nil"/>
            </w:tcBorders>
            <w:shd w:val="clear" w:color="auto" w:fill="auto"/>
            <w:vAlign w:val="center"/>
            <w:hideMark/>
          </w:tcPr>
          <w:p w14:paraId="601A74FC"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0.82</w:t>
            </w:r>
          </w:p>
        </w:tc>
        <w:tc>
          <w:tcPr>
            <w:tcW w:w="384" w:type="pct"/>
            <w:tcBorders>
              <w:top w:val="nil"/>
              <w:left w:val="nil"/>
              <w:bottom w:val="nil"/>
              <w:right w:val="nil"/>
            </w:tcBorders>
            <w:shd w:val="clear" w:color="auto" w:fill="auto"/>
            <w:vAlign w:val="center"/>
            <w:hideMark/>
          </w:tcPr>
          <w:p w14:paraId="7206D7B6"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1</w:t>
            </w:r>
          </w:p>
        </w:tc>
        <w:tc>
          <w:tcPr>
            <w:tcW w:w="384" w:type="pct"/>
            <w:tcBorders>
              <w:top w:val="nil"/>
              <w:left w:val="nil"/>
              <w:bottom w:val="nil"/>
              <w:right w:val="nil"/>
            </w:tcBorders>
            <w:shd w:val="clear" w:color="auto" w:fill="auto"/>
            <w:vAlign w:val="center"/>
            <w:hideMark/>
          </w:tcPr>
          <w:p w14:paraId="0B8E5E1A"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5</w:t>
            </w:r>
          </w:p>
        </w:tc>
      </w:tr>
      <w:tr w:rsidR="00F562A0" w:rsidRPr="00F562A0" w14:paraId="11671581" w14:textId="77777777" w:rsidTr="00A242F8">
        <w:trPr>
          <w:trHeight w:val="360"/>
        </w:trPr>
        <w:tc>
          <w:tcPr>
            <w:tcW w:w="3082" w:type="pct"/>
            <w:tcBorders>
              <w:top w:val="nil"/>
              <w:left w:val="nil"/>
              <w:bottom w:val="single" w:sz="8" w:space="0" w:color="000000"/>
              <w:right w:val="nil"/>
            </w:tcBorders>
            <w:shd w:val="clear" w:color="auto" w:fill="auto"/>
            <w:vAlign w:val="center"/>
            <w:hideMark/>
          </w:tcPr>
          <w:p w14:paraId="36D2B6F6" w14:textId="77777777" w:rsidR="00F562A0" w:rsidRPr="00F562A0" w:rsidRDefault="00F562A0" w:rsidP="00F562A0">
            <w:pPr>
              <w:spacing w:after="0" w:line="240" w:lineRule="auto"/>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Economic liberalization</w:t>
            </w:r>
          </w:p>
        </w:tc>
        <w:tc>
          <w:tcPr>
            <w:tcW w:w="384" w:type="pct"/>
            <w:tcBorders>
              <w:top w:val="nil"/>
              <w:left w:val="nil"/>
              <w:bottom w:val="single" w:sz="8" w:space="0" w:color="000000"/>
              <w:right w:val="nil"/>
            </w:tcBorders>
            <w:shd w:val="clear" w:color="auto" w:fill="auto"/>
            <w:vAlign w:val="center"/>
            <w:hideMark/>
          </w:tcPr>
          <w:p w14:paraId="4CC1B9A2"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83</w:t>
            </w:r>
          </w:p>
        </w:tc>
        <w:tc>
          <w:tcPr>
            <w:tcW w:w="384" w:type="pct"/>
            <w:tcBorders>
              <w:top w:val="nil"/>
              <w:left w:val="nil"/>
              <w:bottom w:val="single" w:sz="8" w:space="0" w:color="000000"/>
              <w:right w:val="nil"/>
            </w:tcBorders>
            <w:shd w:val="clear" w:color="auto" w:fill="auto"/>
            <w:vAlign w:val="center"/>
            <w:hideMark/>
          </w:tcPr>
          <w:p w14:paraId="3EFB5385"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3.19</w:t>
            </w:r>
          </w:p>
        </w:tc>
        <w:tc>
          <w:tcPr>
            <w:tcW w:w="384" w:type="pct"/>
            <w:tcBorders>
              <w:top w:val="nil"/>
              <w:left w:val="nil"/>
              <w:bottom w:val="single" w:sz="8" w:space="0" w:color="000000"/>
              <w:right w:val="nil"/>
            </w:tcBorders>
            <w:shd w:val="clear" w:color="auto" w:fill="auto"/>
            <w:vAlign w:val="center"/>
            <w:hideMark/>
          </w:tcPr>
          <w:p w14:paraId="4ABFDCB9"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0.77</w:t>
            </w:r>
          </w:p>
        </w:tc>
        <w:tc>
          <w:tcPr>
            <w:tcW w:w="384" w:type="pct"/>
            <w:tcBorders>
              <w:top w:val="nil"/>
              <w:left w:val="nil"/>
              <w:bottom w:val="single" w:sz="8" w:space="0" w:color="000000"/>
              <w:right w:val="nil"/>
            </w:tcBorders>
            <w:shd w:val="clear" w:color="auto" w:fill="auto"/>
            <w:vAlign w:val="center"/>
            <w:hideMark/>
          </w:tcPr>
          <w:p w14:paraId="3D838305"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1</w:t>
            </w:r>
          </w:p>
        </w:tc>
        <w:tc>
          <w:tcPr>
            <w:tcW w:w="384" w:type="pct"/>
            <w:tcBorders>
              <w:top w:val="nil"/>
              <w:left w:val="nil"/>
              <w:bottom w:val="single" w:sz="8" w:space="0" w:color="000000"/>
              <w:right w:val="nil"/>
            </w:tcBorders>
            <w:shd w:val="clear" w:color="auto" w:fill="auto"/>
            <w:vAlign w:val="center"/>
            <w:hideMark/>
          </w:tcPr>
          <w:p w14:paraId="79461A2C" w14:textId="77777777" w:rsidR="00F562A0" w:rsidRPr="00F562A0" w:rsidRDefault="00F562A0" w:rsidP="00F562A0">
            <w:pPr>
              <w:spacing w:after="0" w:line="240" w:lineRule="auto"/>
              <w:jc w:val="center"/>
              <w:rPr>
                <w:rFonts w:ascii="Latin Modern Roman" w:eastAsia="Times New Roman" w:hAnsi="Latin Modern Roman" w:cs="Arial"/>
                <w:color w:val="000000"/>
                <w:sz w:val="20"/>
                <w:szCs w:val="20"/>
                <w:lang w:eastAsia="de-DE"/>
              </w:rPr>
            </w:pPr>
            <w:r w:rsidRPr="00F562A0">
              <w:rPr>
                <w:rFonts w:ascii="Latin Modern Roman" w:eastAsia="Times New Roman" w:hAnsi="Latin Modern Roman" w:cs="Arial"/>
                <w:color w:val="000000"/>
                <w:sz w:val="20"/>
                <w:szCs w:val="20"/>
                <w:lang w:eastAsia="de-DE"/>
              </w:rPr>
              <w:t>5</w:t>
            </w:r>
          </w:p>
        </w:tc>
      </w:tr>
    </w:tbl>
    <w:p w14:paraId="5ED3016A" w14:textId="77777777" w:rsidR="00613B33" w:rsidRPr="003F30C1" w:rsidRDefault="00613B33" w:rsidP="00613B33">
      <w:pPr>
        <w:spacing w:after="0" w:line="240" w:lineRule="auto"/>
        <w:jc w:val="both"/>
        <w:rPr>
          <w:rFonts w:ascii="Latin Modern Roman" w:hAnsi="Latin Modern Roman" w:cs="Times New Roman"/>
          <w:sz w:val="20"/>
          <w:szCs w:val="20"/>
          <w:lang w:val="en-US"/>
        </w:rPr>
      </w:pPr>
    </w:p>
    <w:p w14:paraId="5FEA1A18" w14:textId="77777777" w:rsidR="00613B33" w:rsidRPr="00637B5F" w:rsidRDefault="00613B33" w:rsidP="00613B33">
      <w:pPr>
        <w:pStyle w:val="berschrift2"/>
        <w:rPr>
          <w:b/>
          <w:sz w:val="20"/>
          <w:szCs w:val="20"/>
          <w:lang w:val="en-US"/>
        </w:rPr>
      </w:pPr>
      <w:r w:rsidRPr="00637B5F">
        <w:rPr>
          <w:b/>
          <w:sz w:val="20"/>
          <w:szCs w:val="20"/>
          <w:lang w:val="en-US"/>
        </w:rPr>
        <w:lastRenderedPageBreak/>
        <w:t>C: Balancing tests</w:t>
      </w:r>
    </w:p>
    <w:p w14:paraId="32F7FBB6" w14:textId="77777777" w:rsidR="00613B33" w:rsidRPr="00637B5F" w:rsidRDefault="00613B33" w:rsidP="00613B33">
      <w:pPr>
        <w:jc w:val="both"/>
        <w:rPr>
          <w:rFonts w:ascii="Latin Modern Roman" w:hAnsi="Latin Modern Roman"/>
          <w:sz w:val="20"/>
          <w:szCs w:val="20"/>
          <w:lang w:val="en-US"/>
        </w:rPr>
      </w:pPr>
      <w:r w:rsidRPr="00637B5F">
        <w:rPr>
          <w:rFonts w:ascii="Latin Modern Roman" w:hAnsi="Latin Modern Roman"/>
          <w:sz w:val="20"/>
          <w:szCs w:val="20"/>
          <w:lang w:val="en-US"/>
        </w:rPr>
        <w:t>We consider the time to elections as an exogenous variable orthogonal to possible confounders. In addition to the logical considerations presented above, here we perform a number of balancing tests comparing regions with governors with proximate and distant reelections and checking whether they systematically differ in terms of any (relevant) observable characteristics. While this analysis does not rule out that there are differences between regions in terms of unobservables, it still reassures us that our interpretation is correct.</w:t>
      </w:r>
    </w:p>
    <w:p w14:paraId="6E804BA8" w14:textId="77777777" w:rsidR="00613B33" w:rsidRPr="00637B5F" w:rsidRDefault="00613B33" w:rsidP="00613B33">
      <w:pPr>
        <w:jc w:val="both"/>
        <w:rPr>
          <w:rFonts w:ascii="Latin Modern Roman" w:hAnsi="Latin Modern Roman"/>
          <w:sz w:val="20"/>
          <w:szCs w:val="20"/>
          <w:lang w:val="en-US"/>
        </w:rPr>
      </w:pPr>
      <w:r w:rsidRPr="00637B5F">
        <w:rPr>
          <w:rFonts w:ascii="Latin Modern Roman" w:hAnsi="Latin Modern Roman"/>
          <w:sz w:val="20"/>
          <w:szCs w:val="20"/>
          <w:lang w:val="en-US"/>
        </w:rPr>
        <w:t xml:space="preserve">Table C1 compares regions with distant and proximate reelections (using both metrics we introduced in section 3.2) in terms of a number of regional baseline characteristics: </w:t>
      </w:r>
    </w:p>
    <w:p w14:paraId="4AE3645E" w14:textId="77777777" w:rsidR="00613B33" w:rsidRPr="00637B5F" w:rsidRDefault="00613B33" w:rsidP="00613B33">
      <w:pPr>
        <w:pStyle w:val="Listenabsatz"/>
        <w:numPr>
          <w:ilvl w:val="0"/>
          <w:numId w:val="7"/>
        </w:numPr>
        <w:jc w:val="both"/>
        <w:rPr>
          <w:rFonts w:ascii="Latin Modern Roman" w:hAnsi="Latin Modern Roman"/>
          <w:sz w:val="20"/>
          <w:szCs w:val="20"/>
          <w:lang w:val="en-US"/>
        </w:rPr>
      </w:pPr>
      <w:r w:rsidRPr="00637B5F">
        <w:rPr>
          <w:rFonts w:ascii="Latin Modern Roman" w:hAnsi="Latin Modern Roman"/>
          <w:sz w:val="20"/>
          <w:szCs w:val="20"/>
          <w:lang w:val="en-US"/>
        </w:rPr>
        <w:t xml:space="preserve">monthly income per capita, in logs </w:t>
      </w:r>
    </w:p>
    <w:p w14:paraId="108E3933" w14:textId="77777777" w:rsidR="00613B33" w:rsidRPr="00637B5F" w:rsidRDefault="00613B33" w:rsidP="00613B33">
      <w:pPr>
        <w:pStyle w:val="Listenabsatz"/>
        <w:numPr>
          <w:ilvl w:val="0"/>
          <w:numId w:val="7"/>
        </w:numPr>
        <w:jc w:val="both"/>
        <w:rPr>
          <w:rFonts w:ascii="Latin Modern Roman" w:hAnsi="Latin Modern Roman"/>
          <w:sz w:val="20"/>
          <w:szCs w:val="20"/>
          <w:lang w:val="en-US"/>
        </w:rPr>
      </w:pPr>
      <w:r w:rsidRPr="00637B5F">
        <w:rPr>
          <w:rFonts w:ascii="Latin Modern Roman" w:hAnsi="Latin Modern Roman"/>
          <w:sz w:val="20"/>
          <w:szCs w:val="20"/>
          <w:lang w:val="en-US"/>
        </w:rPr>
        <w:t xml:space="preserve">Gini coefficient, </w:t>
      </w:r>
    </w:p>
    <w:p w14:paraId="3B352535" w14:textId="4E26754D" w:rsidR="00613B33" w:rsidRPr="00637B5F" w:rsidRDefault="00613B33" w:rsidP="00613B33">
      <w:pPr>
        <w:pStyle w:val="Listenabsatz"/>
        <w:numPr>
          <w:ilvl w:val="0"/>
          <w:numId w:val="7"/>
        </w:numPr>
        <w:jc w:val="both"/>
        <w:rPr>
          <w:rFonts w:ascii="Latin Modern Roman" w:hAnsi="Latin Modern Roman"/>
          <w:sz w:val="20"/>
          <w:szCs w:val="20"/>
          <w:lang w:val="en-US"/>
        </w:rPr>
      </w:pPr>
      <w:r w:rsidRPr="00637B5F">
        <w:rPr>
          <w:rFonts w:ascii="Latin Modern Roman" w:hAnsi="Latin Modern Roman"/>
          <w:sz w:val="20"/>
          <w:szCs w:val="20"/>
          <w:lang w:val="en-US"/>
        </w:rPr>
        <w:t xml:space="preserve">education level (In the Russian context, given the universal coverage of the population by secondary schooling, the literature typically looks at the share of the regional population with a </w:t>
      </w:r>
      <w:r w:rsidR="00C562ED">
        <w:rPr>
          <w:rFonts w:ascii="Latin Modern Roman" w:hAnsi="Latin Modern Roman"/>
          <w:sz w:val="20"/>
          <w:szCs w:val="20"/>
          <w:lang w:val="en-US"/>
        </w:rPr>
        <w:t>professional</w:t>
      </w:r>
      <w:r w:rsidR="00C562ED" w:rsidRPr="00637B5F">
        <w:rPr>
          <w:rFonts w:ascii="Latin Modern Roman" w:hAnsi="Latin Modern Roman"/>
          <w:sz w:val="20"/>
          <w:szCs w:val="20"/>
          <w:lang w:val="en-US"/>
        </w:rPr>
        <w:t xml:space="preserve"> </w:t>
      </w:r>
      <w:r w:rsidRPr="00637B5F">
        <w:rPr>
          <w:rFonts w:ascii="Latin Modern Roman" w:hAnsi="Latin Modern Roman"/>
          <w:sz w:val="20"/>
          <w:szCs w:val="20"/>
          <w:lang w:val="en-US"/>
        </w:rPr>
        <w:t xml:space="preserve">degree to capture educational differences. We follow this approach), </w:t>
      </w:r>
    </w:p>
    <w:p w14:paraId="00E12744" w14:textId="77777777" w:rsidR="00613B33" w:rsidRPr="00637B5F" w:rsidRDefault="00613B33" w:rsidP="00613B33">
      <w:pPr>
        <w:pStyle w:val="Listenabsatz"/>
        <w:numPr>
          <w:ilvl w:val="0"/>
          <w:numId w:val="7"/>
        </w:numPr>
        <w:jc w:val="both"/>
        <w:rPr>
          <w:rFonts w:ascii="Latin Modern Roman" w:hAnsi="Latin Modern Roman"/>
          <w:sz w:val="20"/>
          <w:szCs w:val="20"/>
          <w:lang w:val="en-US"/>
        </w:rPr>
      </w:pPr>
      <w:r w:rsidRPr="00637B5F">
        <w:rPr>
          <w:rFonts w:ascii="Latin Modern Roman" w:hAnsi="Latin Modern Roman"/>
          <w:sz w:val="20"/>
          <w:szCs w:val="20"/>
          <w:lang w:val="en-US"/>
        </w:rPr>
        <w:t xml:space="preserve">the share of the urban population, </w:t>
      </w:r>
    </w:p>
    <w:p w14:paraId="58AC1A58" w14:textId="77777777" w:rsidR="00613B33" w:rsidRPr="00637B5F" w:rsidRDefault="00613B33" w:rsidP="00613B33">
      <w:pPr>
        <w:pStyle w:val="Listenabsatz"/>
        <w:numPr>
          <w:ilvl w:val="0"/>
          <w:numId w:val="7"/>
        </w:numPr>
        <w:jc w:val="both"/>
        <w:rPr>
          <w:rFonts w:ascii="Latin Modern Roman" w:hAnsi="Latin Modern Roman"/>
          <w:sz w:val="20"/>
          <w:szCs w:val="20"/>
          <w:lang w:val="en-US"/>
        </w:rPr>
      </w:pPr>
      <w:r w:rsidRPr="00637B5F">
        <w:rPr>
          <w:rFonts w:ascii="Latin Modern Roman" w:hAnsi="Latin Modern Roman"/>
          <w:sz w:val="20"/>
          <w:szCs w:val="20"/>
          <w:lang w:val="en-US"/>
        </w:rPr>
        <w:t xml:space="preserve">population size, </w:t>
      </w:r>
    </w:p>
    <w:p w14:paraId="5D7B761D" w14:textId="77777777" w:rsidR="00613B33" w:rsidRPr="00637B5F" w:rsidRDefault="00613B33" w:rsidP="00613B33">
      <w:pPr>
        <w:pStyle w:val="Listenabsatz"/>
        <w:numPr>
          <w:ilvl w:val="0"/>
          <w:numId w:val="7"/>
        </w:numPr>
        <w:jc w:val="both"/>
        <w:rPr>
          <w:rFonts w:ascii="Latin Modern Roman" w:hAnsi="Latin Modern Roman"/>
          <w:lang w:val="en-US"/>
        </w:rPr>
      </w:pPr>
      <w:r w:rsidRPr="00637B5F">
        <w:rPr>
          <w:rFonts w:ascii="Latin Modern Roman" w:hAnsi="Latin Modern Roman"/>
          <w:sz w:val="20"/>
          <w:szCs w:val="20"/>
          <w:lang w:val="en-US"/>
        </w:rPr>
        <w:t xml:space="preserve">life expectancy at birth. </w:t>
      </w:r>
    </w:p>
    <w:p w14:paraId="646F1B29" w14:textId="346EE749" w:rsidR="00613B33" w:rsidRPr="00637B5F" w:rsidRDefault="00613B33" w:rsidP="00613B33">
      <w:pPr>
        <w:jc w:val="both"/>
        <w:rPr>
          <w:rFonts w:ascii="Latin Modern Roman" w:hAnsi="Latin Modern Roman"/>
          <w:sz w:val="20"/>
          <w:szCs w:val="20"/>
          <w:lang w:val="en-US"/>
        </w:rPr>
      </w:pPr>
      <w:r w:rsidRPr="00637B5F">
        <w:rPr>
          <w:rFonts w:ascii="Latin Modern Roman" w:hAnsi="Latin Modern Roman"/>
          <w:sz w:val="20"/>
          <w:szCs w:val="20"/>
          <w:lang w:val="en-US"/>
        </w:rPr>
        <w:t xml:space="preserve">The data are from Rosstat; we use the most recent data for the year 2019. Furthermore, we compare regions in terms of the share of votes received by Vladimir Putin </w:t>
      </w:r>
      <w:r w:rsidR="00711066">
        <w:rPr>
          <w:rFonts w:ascii="Latin Modern Roman" w:hAnsi="Latin Modern Roman"/>
          <w:sz w:val="20"/>
          <w:szCs w:val="20"/>
          <w:lang w:val="en-US"/>
        </w:rPr>
        <w:t>in</w:t>
      </w:r>
      <w:r w:rsidR="00711066" w:rsidRPr="00637B5F">
        <w:rPr>
          <w:rFonts w:ascii="Latin Modern Roman" w:hAnsi="Latin Modern Roman"/>
          <w:sz w:val="20"/>
          <w:szCs w:val="20"/>
          <w:lang w:val="en-US"/>
        </w:rPr>
        <w:t xml:space="preserve"> </w:t>
      </w:r>
      <w:r w:rsidRPr="00637B5F">
        <w:rPr>
          <w:rFonts w:ascii="Latin Modern Roman" w:hAnsi="Latin Modern Roman"/>
          <w:sz w:val="20"/>
          <w:szCs w:val="20"/>
          <w:lang w:val="en-US"/>
        </w:rPr>
        <w:t xml:space="preserve">the most recent elections. In each column, we report the results of estimating a regression, where a regional characteristic is a dependent variable, and the time remaining to elections (or dummy for regions </w:t>
      </w:r>
      <w:r>
        <w:rPr>
          <w:rFonts w:ascii="Latin Modern Roman" w:hAnsi="Latin Modern Roman"/>
          <w:sz w:val="20"/>
          <w:szCs w:val="20"/>
          <w:lang w:val="en-US"/>
        </w:rPr>
        <w:t>that</w:t>
      </w:r>
      <w:r w:rsidRPr="00637B5F">
        <w:rPr>
          <w:rFonts w:ascii="Latin Modern Roman" w:hAnsi="Latin Modern Roman"/>
          <w:sz w:val="20"/>
          <w:szCs w:val="20"/>
          <w:lang w:val="en-US"/>
        </w:rPr>
        <w:t xml:space="preserve"> will have gubernatorial elections in 2020-2022) is the explanatory variable. In terms of each of these variables, no significant differences between regions with more proximate and more distant elections are detected.</w:t>
      </w:r>
    </w:p>
    <w:p w14:paraId="1571F1ED" w14:textId="77777777" w:rsidR="00613B33" w:rsidRPr="003F30C1" w:rsidRDefault="00613B33" w:rsidP="00613B33">
      <w:pPr>
        <w:spacing w:after="0" w:line="240" w:lineRule="auto"/>
        <w:jc w:val="both"/>
        <w:rPr>
          <w:rFonts w:ascii="Latin Modern Roman" w:hAnsi="Latin Modern Roman" w:cs="Times New Roman"/>
          <w:sz w:val="20"/>
          <w:szCs w:val="20"/>
          <w:lang w:val="en-US"/>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173"/>
        <w:gridCol w:w="543"/>
        <w:gridCol w:w="543"/>
        <w:gridCol w:w="543"/>
        <w:gridCol w:w="542"/>
        <w:gridCol w:w="542"/>
        <w:gridCol w:w="542"/>
        <w:gridCol w:w="584"/>
        <w:gridCol w:w="586"/>
        <w:gridCol w:w="542"/>
        <w:gridCol w:w="542"/>
        <w:gridCol w:w="542"/>
        <w:gridCol w:w="542"/>
        <w:gridCol w:w="542"/>
        <w:gridCol w:w="762"/>
      </w:tblGrid>
      <w:tr w:rsidR="00613B33" w:rsidRPr="00A242F8" w14:paraId="6B30AAAC" w14:textId="77777777" w:rsidTr="00C3360E">
        <w:trPr>
          <w:trHeight w:val="255"/>
          <w:tblCellSpacing w:w="0" w:type="dxa"/>
        </w:trPr>
        <w:tc>
          <w:tcPr>
            <w:tcW w:w="5000" w:type="pct"/>
            <w:gridSpan w:val="15"/>
            <w:vAlign w:val="center"/>
            <w:hideMark/>
          </w:tcPr>
          <w:p w14:paraId="4F5AD881" w14:textId="77777777" w:rsidR="00613B33" w:rsidRPr="00A242F8" w:rsidRDefault="00613B33" w:rsidP="00C3360E">
            <w:pPr>
              <w:spacing w:after="0" w:line="240" w:lineRule="auto"/>
              <w:rPr>
                <w:rFonts w:ascii="Latin Modern Roman" w:eastAsia="Times New Roman" w:hAnsi="Latin Modern Roman" w:cs="Times New Roman"/>
                <w:sz w:val="18"/>
                <w:szCs w:val="18"/>
                <w:lang w:val="en-US" w:eastAsia="de-DE"/>
              </w:rPr>
            </w:pPr>
            <w:r w:rsidRPr="00A242F8">
              <w:rPr>
                <w:rFonts w:ascii="Latin Modern Roman" w:eastAsia="Times New Roman" w:hAnsi="Latin Modern Roman" w:cs="Times New Roman"/>
                <w:sz w:val="18"/>
                <w:szCs w:val="18"/>
                <w:lang w:val="en-US" w:eastAsia="de-DE"/>
              </w:rPr>
              <w:t>Table C1: Natural randomization of the approaching elections: economic and political factors</w:t>
            </w:r>
          </w:p>
        </w:tc>
      </w:tr>
      <w:tr w:rsidR="00613B33" w:rsidRPr="001E1E45" w14:paraId="188C0B2D" w14:textId="77777777" w:rsidTr="00C3360E">
        <w:trPr>
          <w:trHeight w:val="255"/>
          <w:tblCellSpacing w:w="0" w:type="dxa"/>
        </w:trPr>
        <w:tc>
          <w:tcPr>
            <w:tcW w:w="646" w:type="pct"/>
            <w:tcBorders>
              <w:top w:val="single" w:sz="6" w:space="0" w:color="000000"/>
            </w:tcBorders>
            <w:vAlign w:val="center"/>
            <w:hideMark/>
          </w:tcPr>
          <w:p w14:paraId="45107235" w14:textId="77777777" w:rsidR="00613B33" w:rsidRPr="00A242F8" w:rsidRDefault="00613B33" w:rsidP="00C3360E">
            <w:pPr>
              <w:spacing w:after="0" w:line="240" w:lineRule="auto"/>
              <w:rPr>
                <w:rFonts w:ascii="Latin Modern Roman" w:eastAsia="Times New Roman" w:hAnsi="Latin Modern Roman" w:cs="Times New Roman"/>
                <w:sz w:val="18"/>
                <w:szCs w:val="18"/>
                <w:lang w:val="en-US" w:eastAsia="de-DE"/>
              </w:rPr>
            </w:pPr>
          </w:p>
        </w:tc>
        <w:tc>
          <w:tcPr>
            <w:tcW w:w="299" w:type="pct"/>
            <w:tcBorders>
              <w:top w:val="single" w:sz="6" w:space="0" w:color="000000"/>
            </w:tcBorders>
            <w:vAlign w:val="center"/>
            <w:hideMark/>
          </w:tcPr>
          <w:p w14:paraId="22FA407C"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w:t>
            </w:r>
          </w:p>
        </w:tc>
        <w:tc>
          <w:tcPr>
            <w:tcW w:w="299" w:type="pct"/>
            <w:tcBorders>
              <w:top w:val="single" w:sz="6" w:space="0" w:color="000000"/>
            </w:tcBorders>
            <w:vAlign w:val="center"/>
            <w:hideMark/>
          </w:tcPr>
          <w:p w14:paraId="758897BB"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(2)</w:t>
            </w:r>
          </w:p>
        </w:tc>
        <w:tc>
          <w:tcPr>
            <w:tcW w:w="299" w:type="pct"/>
            <w:tcBorders>
              <w:top w:val="single" w:sz="6" w:space="0" w:color="000000"/>
            </w:tcBorders>
            <w:vAlign w:val="center"/>
            <w:hideMark/>
          </w:tcPr>
          <w:p w14:paraId="1431D41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(3)</w:t>
            </w:r>
          </w:p>
        </w:tc>
        <w:tc>
          <w:tcPr>
            <w:tcW w:w="299" w:type="pct"/>
            <w:tcBorders>
              <w:top w:val="single" w:sz="6" w:space="0" w:color="000000"/>
            </w:tcBorders>
            <w:vAlign w:val="center"/>
            <w:hideMark/>
          </w:tcPr>
          <w:p w14:paraId="56A2A3F7"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(4)</w:t>
            </w:r>
          </w:p>
        </w:tc>
        <w:tc>
          <w:tcPr>
            <w:tcW w:w="299" w:type="pct"/>
            <w:tcBorders>
              <w:top w:val="single" w:sz="6" w:space="0" w:color="000000"/>
            </w:tcBorders>
            <w:vAlign w:val="center"/>
            <w:hideMark/>
          </w:tcPr>
          <w:p w14:paraId="38790F40"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(5)</w:t>
            </w:r>
          </w:p>
        </w:tc>
        <w:tc>
          <w:tcPr>
            <w:tcW w:w="299" w:type="pct"/>
            <w:tcBorders>
              <w:top w:val="single" w:sz="6" w:space="0" w:color="000000"/>
            </w:tcBorders>
            <w:vAlign w:val="center"/>
            <w:hideMark/>
          </w:tcPr>
          <w:p w14:paraId="174ADFE5"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(6)</w:t>
            </w:r>
          </w:p>
        </w:tc>
        <w:tc>
          <w:tcPr>
            <w:tcW w:w="322" w:type="pct"/>
            <w:tcBorders>
              <w:top w:val="single" w:sz="6" w:space="0" w:color="000000"/>
            </w:tcBorders>
            <w:vAlign w:val="center"/>
            <w:hideMark/>
          </w:tcPr>
          <w:p w14:paraId="2E7C1F45"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(7)</w:t>
            </w:r>
          </w:p>
        </w:tc>
        <w:tc>
          <w:tcPr>
            <w:tcW w:w="322" w:type="pct"/>
            <w:tcBorders>
              <w:top w:val="single" w:sz="6" w:space="0" w:color="000000"/>
            </w:tcBorders>
            <w:vAlign w:val="center"/>
            <w:hideMark/>
          </w:tcPr>
          <w:p w14:paraId="6AC8740E"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w:t>
            </w:r>
          </w:p>
        </w:tc>
        <w:tc>
          <w:tcPr>
            <w:tcW w:w="299" w:type="pct"/>
            <w:tcBorders>
              <w:top w:val="single" w:sz="6" w:space="0" w:color="000000"/>
            </w:tcBorders>
            <w:vAlign w:val="center"/>
            <w:hideMark/>
          </w:tcPr>
          <w:p w14:paraId="27191CB2"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(9)</w:t>
            </w:r>
          </w:p>
        </w:tc>
        <w:tc>
          <w:tcPr>
            <w:tcW w:w="299" w:type="pct"/>
            <w:tcBorders>
              <w:top w:val="single" w:sz="6" w:space="0" w:color="000000"/>
            </w:tcBorders>
            <w:vAlign w:val="center"/>
            <w:hideMark/>
          </w:tcPr>
          <w:p w14:paraId="096EA9D1"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(10)</w:t>
            </w:r>
          </w:p>
        </w:tc>
        <w:tc>
          <w:tcPr>
            <w:tcW w:w="299" w:type="pct"/>
            <w:tcBorders>
              <w:top w:val="single" w:sz="6" w:space="0" w:color="000000"/>
            </w:tcBorders>
            <w:vAlign w:val="center"/>
            <w:hideMark/>
          </w:tcPr>
          <w:p w14:paraId="75755F89"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(11)</w:t>
            </w:r>
          </w:p>
        </w:tc>
        <w:tc>
          <w:tcPr>
            <w:tcW w:w="299" w:type="pct"/>
            <w:tcBorders>
              <w:top w:val="single" w:sz="6" w:space="0" w:color="000000"/>
            </w:tcBorders>
            <w:vAlign w:val="center"/>
            <w:hideMark/>
          </w:tcPr>
          <w:p w14:paraId="32DEF5D8"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(12)</w:t>
            </w:r>
          </w:p>
        </w:tc>
        <w:tc>
          <w:tcPr>
            <w:tcW w:w="299" w:type="pct"/>
            <w:tcBorders>
              <w:top w:val="single" w:sz="6" w:space="0" w:color="000000"/>
            </w:tcBorders>
            <w:vAlign w:val="center"/>
            <w:hideMark/>
          </w:tcPr>
          <w:p w14:paraId="2E8A28AD"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(13)</w:t>
            </w:r>
          </w:p>
        </w:tc>
        <w:tc>
          <w:tcPr>
            <w:tcW w:w="423" w:type="pct"/>
            <w:tcBorders>
              <w:top w:val="single" w:sz="6" w:space="0" w:color="000000"/>
            </w:tcBorders>
            <w:vAlign w:val="center"/>
            <w:hideMark/>
          </w:tcPr>
          <w:p w14:paraId="05473A1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(14)</w:t>
            </w:r>
          </w:p>
        </w:tc>
      </w:tr>
      <w:tr w:rsidR="00613B33" w:rsidRPr="001E1E45" w14:paraId="22EB0456" w14:textId="77777777" w:rsidTr="00C3360E">
        <w:trPr>
          <w:trHeight w:val="255"/>
          <w:tblCellSpacing w:w="0" w:type="dxa"/>
        </w:trPr>
        <w:tc>
          <w:tcPr>
            <w:tcW w:w="646" w:type="pct"/>
            <w:hideMark/>
          </w:tcPr>
          <w:p w14:paraId="4F958521" w14:textId="77777777" w:rsidR="00613B33" w:rsidRPr="00A242F8" w:rsidRDefault="00613B33" w:rsidP="00C3360E">
            <w:pPr>
              <w:spacing w:after="0" w:line="240" w:lineRule="auto"/>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Dependent variable:</w:t>
            </w:r>
          </w:p>
        </w:tc>
        <w:tc>
          <w:tcPr>
            <w:tcW w:w="597" w:type="pct"/>
            <w:gridSpan w:val="2"/>
            <w:hideMark/>
          </w:tcPr>
          <w:p w14:paraId="36211D47"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Income</w:t>
            </w:r>
          </w:p>
        </w:tc>
        <w:tc>
          <w:tcPr>
            <w:tcW w:w="597" w:type="pct"/>
            <w:gridSpan w:val="2"/>
            <w:hideMark/>
          </w:tcPr>
          <w:p w14:paraId="2F6D01E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Gini</w:t>
            </w:r>
          </w:p>
        </w:tc>
        <w:tc>
          <w:tcPr>
            <w:tcW w:w="597" w:type="pct"/>
            <w:gridSpan w:val="2"/>
            <w:hideMark/>
          </w:tcPr>
          <w:p w14:paraId="03EF2EAD"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Education</w:t>
            </w:r>
          </w:p>
        </w:tc>
        <w:tc>
          <w:tcPr>
            <w:tcW w:w="645" w:type="pct"/>
            <w:gridSpan w:val="2"/>
            <w:hideMark/>
          </w:tcPr>
          <w:p w14:paraId="09DE4CF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Urbanization</w:t>
            </w:r>
          </w:p>
        </w:tc>
        <w:tc>
          <w:tcPr>
            <w:tcW w:w="597" w:type="pct"/>
            <w:gridSpan w:val="2"/>
            <w:hideMark/>
          </w:tcPr>
          <w:p w14:paraId="303B2FFE"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Population</w:t>
            </w:r>
          </w:p>
        </w:tc>
        <w:tc>
          <w:tcPr>
            <w:tcW w:w="597" w:type="pct"/>
            <w:gridSpan w:val="2"/>
            <w:hideMark/>
          </w:tcPr>
          <w:p w14:paraId="69ACE6B5"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Life expectancy</w:t>
            </w:r>
          </w:p>
        </w:tc>
        <w:tc>
          <w:tcPr>
            <w:tcW w:w="722" w:type="pct"/>
            <w:gridSpan w:val="2"/>
            <w:hideMark/>
          </w:tcPr>
          <w:p w14:paraId="291B99E1"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Putin votes</w:t>
            </w:r>
          </w:p>
        </w:tc>
      </w:tr>
      <w:tr w:rsidR="00613B33" w:rsidRPr="001E1E45" w14:paraId="0CEBD660" w14:textId="77777777" w:rsidTr="00C3360E">
        <w:trPr>
          <w:trHeight w:val="315"/>
          <w:tblCellSpacing w:w="0" w:type="dxa"/>
        </w:trPr>
        <w:tc>
          <w:tcPr>
            <w:tcW w:w="646" w:type="pct"/>
            <w:tcBorders>
              <w:top w:val="single" w:sz="6" w:space="0" w:color="000000"/>
            </w:tcBorders>
            <w:vAlign w:val="center"/>
            <w:hideMark/>
          </w:tcPr>
          <w:p w14:paraId="2D12288A" w14:textId="77777777" w:rsidR="00613B33" w:rsidRPr="00A242F8" w:rsidRDefault="00613B33" w:rsidP="00C3360E">
            <w:pPr>
              <w:spacing w:after="0" w:line="240" w:lineRule="auto"/>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Elections approaching dummy</w:t>
            </w:r>
          </w:p>
        </w:tc>
        <w:tc>
          <w:tcPr>
            <w:tcW w:w="299" w:type="pct"/>
            <w:tcBorders>
              <w:top w:val="single" w:sz="6" w:space="0" w:color="000000"/>
            </w:tcBorders>
            <w:vAlign w:val="center"/>
            <w:hideMark/>
          </w:tcPr>
          <w:p w14:paraId="2CAA130C"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-0.08</w:t>
            </w:r>
          </w:p>
        </w:tc>
        <w:tc>
          <w:tcPr>
            <w:tcW w:w="299" w:type="pct"/>
            <w:tcBorders>
              <w:top w:val="single" w:sz="6" w:space="0" w:color="000000"/>
            </w:tcBorders>
            <w:vAlign w:val="center"/>
            <w:hideMark/>
          </w:tcPr>
          <w:p w14:paraId="13A96FD4"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tcBorders>
              <w:top w:val="single" w:sz="6" w:space="0" w:color="000000"/>
            </w:tcBorders>
            <w:vAlign w:val="center"/>
            <w:hideMark/>
          </w:tcPr>
          <w:p w14:paraId="6633E1E5"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-0.01</w:t>
            </w:r>
          </w:p>
        </w:tc>
        <w:tc>
          <w:tcPr>
            <w:tcW w:w="299" w:type="pct"/>
            <w:tcBorders>
              <w:top w:val="single" w:sz="6" w:space="0" w:color="000000"/>
            </w:tcBorders>
            <w:vAlign w:val="center"/>
            <w:hideMark/>
          </w:tcPr>
          <w:p w14:paraId="6F6DEBC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tcBorders>
              <w:top w:val="single" w:sz="6" w:space="0" w:color="000000"/>
            </w:tcBorders>
            <w:vAlign w:val="center"/>
            <w:hideMark/>
          </w:tcPr>
          <w:p w14:paraId="66FB061C"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0.39</w:t>
            </w:r>
          </w:p>
        </w:tc>
        <w:tc>
          <w:tcPr>
            <w:tcW w:w="299" w:type="pct"/>
            <w:tcBorders>
              <w:top w:val="single" w:sz="6" w:space="0" w:color="000000"/>
            </w:tcBorders>
            <w:vAlign w:val="center"/>
            <w:hideMark/>
          </w:tcPr>
          <w:p w14:paraId="472651B0"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322" w:type="pct"/>
            <w:tcBorders>
              <w:top w:val="single" w:sz="6" w:space="0" w:color="000000"/>
            </w:tcBorders>
            <w:vAlign w:val="center"/>
            <w:hideMark/>
          </w:tcPr>
          <w:p w14:paraId="2418ADE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-0.14</w:t>
            </w:r>
          </w:p>
        </w:tc>
        <w:tc>
          <w:tcPr>
            <w:tcW w:w="322" w:type="pct"/>
            <w:tcBorders>
              <w:top w:val="single" w:sz="6" w:space="0" w:color="000000"/>
            </w:tcBorders>
            <w:vAlign w:val="center"/>
            <w:hideMark/>
          </w:tcPr>
          <w:p w14:paraId="61D405AD"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tcBorders>
              <w:top w:val="single" w:sz="6" w:space="0" w:color="000000"/>
            </w:tcBorders>
            <w:vAlign w:val="center"/>
            <w:hideMark/>
          </w:tcPr>
          <w:p w14:paraId="1DEAB5BC"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-0.23</w:t>
            </w:r>
          </w:p>
        </w:tc>
        <w:tc>
          <w:tcPr>
            <w:tcW w:w="299" w:type="pct"/>
            <w:tcBorders>
              <w:top w:val="single" w:sz="6" w:space="0" w:color="000000"/>
            </w:tcBorders>
            <w:vAlign w:val="center"/>
            <w:hideMark/>
          </w:tcPr>
          <w:p w14:paraId="504AB8C0"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tcBorders>
              <w:top w:val="single" w:sz="6" w:space="0" w:color="000000"/>
            </w:tcBorders>
            <w:vAlign w:val="center"/>
            <w:hideMark/>
          </w:tcPr>
          <w:p w14:paraId="5D9E7437"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-0.10</w:t>
            </w:r>
          </w:p>
        </w:tc>
        <w:tc>
          <w:tcPr>
            <w:tcW w:w="299" w:type="pct"/>
            <w:tcBorders>
              <w:top w:val="single" w:sz="6" w:space="0" w:color="000000"/>
            </w:tcBorders>
            <w:vAlign w:val="center"/>
            <w:hideMark/>
          </w:tcPr>
          <w:p w14:paraId="22DD5359"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tcBorders>
              <w:top w:val="single" w:sz="6" w:space="0" w:color="000000"/>
            </w:tcBorders>
            <w:vAlign w:val="center"/>
            <w:hideMark/>
          </w:tcPr>
          <w:p w14:paraId="1FD3505B"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1.03</w:t>
            </w:r>
          </w:p>
        </w:tc>
        <w:tc>
          <w:tcPr>
            <w:tcW w:w="423" w:type="pct"/>
            <w:tcBorders>
              <w:top w:val="single" w:sz="6" w:space="0" w:color="000000"/>
            </w:tcBorders>
            <w:vAlign w:val="center"/>
            <w:hideMark/>
          </w:tcPr>
          <w:p w14:paraId="08BE706E"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r>
      <w:tr w:rsidR="00613B33" w:rsidRPr="001E1E45" w14:paraId="74A14214" w14:textId="77777777" w:rsidTr="00C3360E">
        <w:trPr>
          <w:trHeight w:val="255"/>
          <w:tblCellSpacing w:w="0" w:type="dxa"/>
        </w:trPr>
        <w:tc>
          <w:tcPr>
            <w:tcW w:w="646" w:type="pct"/>
            <w:vAlign w:val="center"/>
            <w:hideMark/>
          </w:tcPr>
          <w:p w14:paraId="4E8BCD02" w14:textId="77777777" w:rsidR="00613B33" w:rsidRPr="00A242F8" w:rsidRDefault="00613B33" w:rsidP="00C3360E">
            <w:pPr>
              <w:spacing w:after="0" w:line="240" w:lineRule="auto"/>
              <w:rPr>
                <w:rFonts w:ascii="Latin Modern Roman" w:eastAsia="Times New Roman" w:hAnsi="Latin Modern Roman" w:cs="Times New Roman"/>
                <w:sz w:val="18"/>
                <w:szCs w:val="18"/>
                <w:lang w:eastAsia="de-DE"/>
              </w:rPr>
            </w:pPr>
          </w:p>
        </w:tc>
        <w:tc>
          <w:tcPr>
            <w:tcW w:w="299" w:type="pct"/>
            <w:vAlign w:val="center"/>
            <w:hideMark/>
          </w:tcPr>
          <w:p w14:paraId="64449F0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(0.07)</w:t>
            </w:r>
          </w:p>
        </w:tc>
        <w:tc>
          <w:tcPr>
            <w:tcW w:w="299" w:type="pct"/>
            <w:vAlign w:val="center"/>
            <w:hideMark/>
          </w:tcPr>
          <w:p w14:paraId="37963041"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vAlign w:val="center"/>
            <w:hideMark/>
          </w:tcPr>
          <w:p w14:paraId="17C5FD7D"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(0.01)</w:t>
            </w:r>
          </w:p>
        </w:tc>
        <w:tc>
          <w:tcPr>
            <w:tcW w:w="299" w:type="pct"/>
            <w:vAlign w:val="center"/>
            <w:hideMark/>
          </w:tcPr>
          <w:p w14:paraId="219A7004"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vAlign w:val="center"/>
            <w:hideMark/>
          </w:tcPr>
          <w:p w14:paraId="3CC8077F"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(1.35)</w:t>
            </w:r>
          </w:p>
        </w:tc>
        <w:tc>
          <w:tcPr>
            <w:tcW w:w="299" w:type="pct"/>
            <w:vAlign w:val="center"/>
            <w:hideMark/>
          </w:tcPr>
          <w:p w14:paraId="60D455E5"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322" w:type="pct"/>
            <w:vAlign w:val="center"/>
            <w:hideMark/>
          </w:tcPr>
          <w:p w14:paraId="4CF02C53"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(2.85)</w:t>
            </w:r>
          </w:p>
        </w:tc>
        <w:tc>
          <w:tcPr>
            <w:tcW w:w="322" w:type="pct"/>
            <w:vAlign w:val="center"/>
            <w:hideMark/>
          </w:tcPr>
          <w:p w14:paraId="34E148D7"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vAlign w:val="center"/>
            <w:hideMark/>
          </w:tcPr>
          <w:p w14:paraId="41B42E08"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(0.21)</w:t>
            </w:r>
          </w:p>
        </w:tc>
        <w:tc>
          <w:tcPr>
            <w:tcW w:w="299" w:type="pct"/>
            <w:vAlign w:val="center"/>
            <w:hideMark/>
          </w:tcPr>
          <w:p w14:paraId="3856BF2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vAlign w:val="center"/>
            <w:hideMark/>
          </w:tcPr>
          <w:p w14:paraId="72EFF143"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(0.52)</w:t>
            </w:r>
          </w:p>
        </w:tc>
        <w:tc>
          <w:tcPr>
            <w:tcW w:w="299" w:type="pct"/>
            <w:vAlign w:val="center"/>
            <w:hideMark/>
          </w:tcPr>
          <w:p w14:paraId="7A079D15"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vAlign w:val="center"/>
            <w:hideMark/>
          </w:tcPr>
          <w:p w14:paraId="112237AD"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(1.43)</w:t>
            </w:r>
          </w:p>
        </w:tc>
        <w:tc>
          <w:tcPr>
            <w:tcW w:w="423" w:type="pct"/>
            <w:vAlign w:val="center"/>
            <w:hideMark/>
          </w:tcPr>
          <w:p w14:paraId="68BEA3DD"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r>
      <w:tr w:rsidR="00613B33" w:rsidRPr="001E1E45" w14:paraId="5C0F84D2" w14:textId="77777777" w:rsidTr="00C3360E">
        <w:trPr>
          <w:trHeight w:val="255"/>
          <w:tblCellSpacing w:w="0" w:type="dxa"/>
        </w:trPr>
        <w:tc>
          <w:tcPr>
            <w:tcW w:w="646" w:type="pct"/>
            <w:vAlign w:val="center"/>
            <w:hideMark/>
          </w:tcPr>
          <w:p w14:paraId="6970EF93" w14:textId="77777777" w:rsidR="00613B33" w:rsidRPr="00A242F8" w:rsidRDefault="00613B33" w:rsidP="00C3360E">
            <w:pPr>
              <w:spacing w:after="0" w:line="240" w:lineRule="auto"/>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Election proximity, years</w:t>
            </w:r>
          </w:p>
        </w:tc>
        <w:tc>
          <w:tcPr>
            <w:tcW w:w="299" w:type="pct"/>
            <w:vAlign w:val="center"/>
            <w:hideMark/>
          </w:tcPr>
          <w:p w14:paraId="2CA3D36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vAlign w:val="center"/>
            <w:hideMark/>
          </w:tcPr>
          <w:p w14:paraId="23F24A6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-0.01</w:t>
            </w:r>
          </w:p>
        </w:tc>
        <w:tc>
          <w:tcPr>
            <w:tcW w:w="299" w:type="pct"/>
            <w:vAlign w:val="center"/>
            <w:hideMark/>
          </w:tcPr>
          <w:p w14:paraId="211CEA12"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vAlign w:val="center"/>
            <w:hideMark/>
          </w:tcPr>
          <w:p w14:paraId="6D4C8529"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299" w:type="pct"/>
            <w:vAlign w:val="center"/>
            <w:hideMark/>
          </w:tcPr>
          <w:p w14:paraId="2B9D60D2"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vAlign w:val="center"/>
            <w:hideMark/>
          </w:tcPr>
          <w:p w14:paraId="4F98138F"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-0.28</w:t>
            </w:r>
          </w:p>
        </w:tc>
        <w:tc>
          <w:tcPr>
            <w:tcW w:w="322" w:type="pct"/>
            <w:vAlign w:val="center"/>
            <w:hideMark/>
          </w:tcPr>
          <w:p w14:paraId="1833226E"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322" w:type="pct"/>
            <w:vAlign w:val="center"/>
            <w:hideMark/>
          </w:tcPr>
          <w:p w14:paraId="7CBC8264"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-0.73</w:t>
            </w:r>
          </w:p>
        </w:tc>
        <w:tc>
          <w:tcPr>
            <w:tcW w:w="299" w:type="pct"/>
            <w:vAlign w:val="center"/>
            <w:hideMark/>
          </w:tcPr>
          <w:p w14:paraId="66E32B84"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vAlign w:val="center"/>
            <w:hideMark/>
          </w:tcPr>
          <w:p w14:paraId="34094417"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0.06</w:t>
            </w:r>
          </w:p>
        </w:tc>
        <w:tc>
          <w:tcPr>
            <w:tcW w:w="299" w:type="pct"/>
            <w:vAlign w:val="center"/>
            <w:hideMark/>
          </w:tcPr>
          <w:p w14:paraId="6285F7B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vAlign w:val="center"/>
            <w:hideMark/>
          </w:tcPr>
          <w:p w14:paraId="487D7E73"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0.11</w:t>
            </w:r>
          </w:p>
        </w:tc>
        <w:tc>
          <w:tcPr>
            <w:tcW w:w="299" w:type="pct"/>
            <w:vAlign w:val="center"/>
            <w:hideMark/>
          </w:tcPr>
          <w:p w14:paraId="1168E07D"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423" w:type="pct"/>
            <w:vAlign w:val="center"/>
            <w:hideMark/>
          </w:tcPr>
          <w:p w14:paraId="7F78E5A9"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-0.17</w:t>
            </w:r>
          </w:p>
        </w:tc>
      </w:tr>
      <w:tr w:rsidR="00613B33" w:rsidRPr="001E1E45" w14:paraId="0CD9C42F" w14:textId="77777777" w:rsidTr="00C3360E">
        <w:trPr>
          <w:trHeight w:val="255"/>
          <w:tblCellSpacing w:w="0" w:type="dxa"/>
        </w:trPr>
        <w:tc>
          <w:tcPr>
            <w:tcW w:w="646" w:type="pct"/>
            <w:tcBorders>
              <w:bottom w:val="single" w:sz="6" w:space="0" w:color="000000"/>
            </w:tcBorders>
            <w:vAlign w:val="center"/>
            <w:hideMark/>
          </w:tcPr>
          <w:p w14:paraId="5A675304" w14:textId="77777777" w:rsidR="00613B33" w:rsidRPr="00A242F8" w:rsidRDefault="00613B33" w:rsidP="00C3360E">
            <w:pPr>
              <w:spacing w:after="0" w:line="240" w:lineRule="auto"/>
              <w:rPr>
                <w:rFonts w:ascii="Latin Modern Roman" w:eastAsia="Times New Roman" w:hAnsi="Latin Modern Roman" w:cs="Times New Roman"/>
                <w:sz w:val="18"/>
                <w:szCs w:val="18"/>
                <w:lang w:eastAsia="de-DE"/>
              </w:rPr>
            </w:pPr>
          </w:p>
        </w:tc>
        <w:tc>
          <w:tcPr>
            <w:tcW w:w="299" w:type="pct"/>
            <w:tcBorders>
              <w:bottom w:val="single" w:sz="6" w:space="0" w:color="000000"/>
            </w:tcBorders>
            <w:vAlign w:val="center"/>
            <w:hideMark/>
          </w:tcPr>
          <w:p w14:paraId="48E89B6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tcBorders>
              <w:bottom w:val="single" w:sz="6" w:space="0" w:color="000000"/>
            </w:tcBorders>
            <w:vAlign w:val="center"/>
            <w:hideMark/>
          </w:tcPr>
          <w:p w14:paraId="1E9F1EFB"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(0.02)</w:t>
            </w:r>
          </w:p>
        </w:tc>
        <w:tc>
          <w:tcPr>
            <w:tcW w:w="299" w:type="pct"/>
            <w:tcBorders>
              <w:bottom w:val="single" w:sz="6" w:space="0" w:color="000000"/>
            </w:tcBorders>
            <w:vAlign w:val="center"/>
            <w:hideMark/>
          </w:tcPr>
          <w:p w14:paraId="5974451F"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tcBorders>
              <w:bottom w:val="single" w:sz="6" w:space="0" w:color="000000"/>
            </w:tcBorders>
            <w:vAlign w:val="center"/>
            <w:hideMark/>
          </w:tcPr>
          <w:p w14:paraId="5C8C8A1B"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299" w:type="pct"/>
            <w:tcBorders>
              <w:bottom w:val="single" w:sz="6" w:space="0" w:color="000000"/>
            </w:tcBorders>
            <w:vAlign w:val="center"/>
            <w:hideMark/>
          </w:tcPr>
          <w:p w14:paraId="169B1177"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tcBorders>
              <w:bottom w:val="single" w:sz="6" w:space="0" w:color="000000"/>
            </w:tcBorders>
            <w:vAlign w:val="center"/>
            <w:hideMark/>
          </w:tcPr>
          <w:p w14:paraId="55F9CC09"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(0.43)</w:t>
            </w:r>
          </w:p>
        </w:tc>
        <w:tc>
          <w:tcPr>
            <w:tcW w:w="322" w:type="pct"/>
            <w:tcBorders>
              <w:bottom w:val="single" w:sz="6" w:space="0" w:color="000000"/>
            </w:tcBorders>
            <w:vAlign w:val="center"/>
            <w:hideMark/>
          </w:tcPr>
          <w:p w14:paraId="6B154BE2"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322" w:type="pct"/>
            <w:tcBorders>
              <w:bottom w:val="single" w:sz="6" w:space="0" w:color="000000"/>
            </w:tcBorders>
            <w:vAlign w:val="center"/>
            <w:hideMark/>
          </w:tcPr>
          <w:p w14:paraId="2B0D1C68"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(0.97)</w:t>
            </w:r>
          </w:p>
        </w:tc>
        <w:tc>
          <w:tcPr>
            <w:tcW w:w="299" w:type="pct"/>
            <w:tcBorders>
              <w:bottom w:val="single" w:sz="6" w:space="0" w:color="000000"/>
            </w:tcBorders>
            <w:vAlign w:val="center"/>
            <w:hideMark/>
          </w:tcPr>
          <w:p w14:paraId="31078CA3"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tcBorders>
              <w:bottom w:val="single" w:sz="6" w:space="0" w:color="000000"/>
            </w:tcBorders>
            <w:vAlign w:val="center"/>
            <w:hideMark/>
          </w:tcPr>
          <w:p w14:paraId="09AB0E4D"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(0.08)</w:t>
            </w:r>
          </w:p>
        </w:tc>
        <w:tc>
          <w:tcPr>
            <w:tcW w:w="299" w:type="pct"/>
            <w:tcBorders>
              <w:bottom w:val="single" w:sz="6" w:space="0" w:color="000000"/>
            </w:tcBorders>
            <w:vAlign w:val="center"/>
            <w:hideMark/>
          </w:tcPr>
          <w:p w14:paraId="0250659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299" w:type="pct"/>
            <w:tcBorders>
              <w:bottom w:val="single" w:sz="6" w:space="0" w:color="000000"/>
            </w:tcBorders>
            <w:vAlign w:val="center"/>
            <w:hideMark/>
          </w:tcPr>
          <w:p w14:paraId="6155D527"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(0.18)</w:t>
            </w:r>
          </w:p>
        </w:tc>
        <w:tc>
          <w:tcPr>
            <w:tcW w:w="299" w:type="pct"/>
            <w:tcBorders>
              <w:bottom w:val="single" w:sz="6" w:space="0" w:color="000000"/>
            </w:tcBorders>
            <w:vAlign w:val="center"/>
            <w:hideMark/>
          </w:tcPr>
          <w:p w14:paraId="34DF12B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423" w:type="pct"/>
            <w:tcBorders>
              <w:bottom w:val="single" w:sz="6" w:space="0" w:color="000000"/>
            </w:tcBorders>
            <w:vAlign w:val="center"/>
            <w:hideMark/>
          </w:tcPr>
          <w:p w14:paraId="6CDD9CEB"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(0.48)</w:t>
            </w:r>
          </w:p>
        </w:tc>
      </w:tr>
      <w:tr w:rsidR="00613B33" w:rsidRPr="001E1E45" w14:paraId="54ACBE18" w14:textId="77777777" w:rsidTr="00C3360E">
        <w:trPr>
          <w:trHeight w:val="255"/>
          <w:tblCellSpacing w:w="0" w:type="dxa"/>
        </w:trPr>
        <w:tc>
          <w:tcPr>
            <w:tcW w:w="646" w:type="pct"/>
            <w:tcBorders>
              <w:top w:val="single" w:sz="6" w:space="0" w:color="000000"/>
            </w:tcBorders>
            <w:vAlign w:val="center"/>
            <w:hideMark/>
          </w:tcPr>
          <w:p w14:paraId="1947E644" w14:textId="77777777" w:rsidR="00613B33" w:rsidRPr="00A242F8" w:rsidRDefault="00613B33" w:rsidP="00C3360E">
            <w:pPr>
              <w:spacing w:after="0" w:line="240" w:lineRule="auto"/>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Observations</w:t>
            </w:r>
          </w:p>
        </w:tc>
        <w:tc>
          <w:tcPr>
            <w:tcW w:w="299" w:type="pct"/>
            <w:tcBorders>
              <w:top w:val="single" w:sz="6" w:space="0" w:color="000000"/>
            </w:tcBorders>
            <w:vAlign w:val="center"/>
            <w:hideMark/>
          </w:tcPr>
          <w:p w14:paraId="7659721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85</w:t>
            </w:r>
          </w:p>
        </w:tc>
        <w:tc>
          <w:tcPr>
            <w:tcW w:w="299" w:type="pct"/>
            <w:tcBorders>
              <w:top w:val="single" w:sz="6" w:space="0" w:color="000000"/>
            </w:tcBorders>
            <w:vAlign w:val="center"/>
            <w:hideMark/>
          </w:tcPr>
          <w:p w14:paraId="607B4083"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85</w:t>
            </w:r>
          </w:p>
        </w:tc>
        <w:tc>
          <w:tcPr>
            <w:tcW w:w="299" w:type="pct"/>
            <w:tcBorders>
              <w:top w:val="single" w:sz="6" w:space="0" w:color="000000"/>
            </w:tcBorders>
            <w:vAlign w:val="center"/>
            <w:hideMark/>
          </w:tcPr>
          <w:p w14:paraId="7366BF2C"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85</w:t>
            </w:r>
          </w:p>
        </w:tc>
        <w:tc>
          <w:tcPr>
            <w:tcW w:w="299" w:type="pct"/>
            <w:tcBorders>
              <w:top w:val="single" w:sz="6" w:space="0" w:color="000000"/>
            </w:tcBorders>
            <w:vAlign w:val="center"/>
            <w:hideMark/>
          </w:tcPr>
          <w:p w14:paraId="47C0F62B"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85</w:t>
            </w:r>
          </w:p>
        </w:tc>
        <w:tc>
          <w:tcPr>
            <w:tcW w:w="299" w:type="pct"/>
            <w:tcBorders>
              <w:top w:val="single" w:sz="6" w:space="0" w:color="000000"/>
            </w:tcBorders>
            <w:vAlign w:val="center"/>
            <w:hideMark/>
          </w:tcPr>
          <w:p w14:paraId="50B09AC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85</w:t>
            </w:r>
          </w:p>
        </w:tc>
        <w:tc>
          <w:tcPr>
            <w:tcW w:w="299" w:type="pct"/>
            <w:tcBorders>
              <w:top w:val="single" w:sz="6" w:space="0" w:color="000000"/>
            </w:tcBorders>
            <w:vAlign w:val="center"/>
            <w:hideMark/>
          </w:tcPr>
          <w:p w14:paraId="222E7EE4"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85</w:t>
            </w:r>
          </w:p>
        </w:tc>
        <w:tc>
          <w:tcPr>
            <w:tcW w:w="322" w:type="pct"/>
            <w:tcBorders>
              <w:top w:val="single" w:sz="6" w:space="0" w:color="000000"/>
            </w:tcBorders>
            <w:vAlign w:val="center"/>
            <w:hideMark/>
          </w:tcPr>
          <w:p w14:paraId="6CC6A5F3"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85</w:t>
            </w:r>
          </w:p>
        </w:tc>
        <w:tc>
          <w:tcPr>
            <w:tcW w:w="322" w:type="pct"/>
            <w:tcBorders>
              <w:top w:val="single" w:sz="6" w:space="0" w:color="000000"/>
            </w:tcBorders>
            <w:vAlign w:val="center"/>
            <w:hideMark/>
          </w:tcPr>
          <w:p w14:paraId="1BD9532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85</w:t>
            </w:r>
          </w:p>
        </w:tc>
        <w:tc>
          <w:tcPr>
            <w:tcW w:w="299" w:type="pct"/>
            <w:tcBorders>
              <w:top w:val="single" w:sz="6" w:space="0" w:color="000000"/>
            </w:tcBorders>
            <w:vAlign w:val="center"/>
            <w:hideMark/>
          </w:tcPr>
          <w:p w14:paraId="7B583DB5"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85</w:t>
            </w:r>
          </w:p>
        </w:tc>
        <w:tc>
          <w:tcPr>
            <w:tcW w:w="299" w:type="pct"/>
            <w:tcBorders>
              <w:top w:val="single" w:sz="6" w:space="0" w:color="000000"/>
            </w:tcBorders>
            <w:vAlign w:val="center"/>
            <w:hideMark/>
          </w:tcPr>
          <w:p w14:paraId="03444597"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85</w:t>
            </w:r>
          </w:p>
        </w:tc>
        <w:tc>
          <w:tcPr>
            <w:tcW w:w="299" w:type="pct"/>
            <w:tcBorders>
              <w:top w:val="single" w:sz="6" w:space="0" w:color="000000"/>
            </w:tcBorders>
            <w:vAlign w:val="center"/>
            <w:hideMark/>
          </w:tcPr>
          <w:p w14:paraId="6D2E56A5"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85</w:t>
            </w:r>
          </w:p>
        </w:tc>
        <w:tc>
          <w:tcPr>
            <w:tcW w:w="299" w:type="pct"/>
            <w:tcBorders>
              <w:top w:val="single" w:sz="6" w:space="0" w:color="000000"/>
            </w:tcBorders>
            <w:vAlign w:val="center"/>
            <w:hideMark/>
          </w:tcPr>
          <w:p w14:paraId="25BED8E7"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85</w:t>
            </w:r>
          </w:p>
        </w:tc>
        <w:tc>
          <w:tcPr>
            <w:tcW w:w="299" w:type="pct"/>
            <w:tcBorders>
              <w:top w:val="single" w:sz="6" w:space="0" w:color="000000"/>
            </w:tcBorders>
            <w:vAlign w:val="center"/>
            <w:hideMark/>
          </w:tcPr>
          <w:p w14:paraId="2593E21F"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85</w:t>
            </w:r>
          </w:p>
        </w:tc>
        <w:tc>
          <w:tcPr>
            <w:tcW w:w="423" w:type="pct"/>
            <w:tcBorders>
              <w:top w:val="single" w:sz="6" w:space="0" w:color="000000"/>
            </w:tcBorders>
            <w:vAlign w:val="center"/>
            <w:hideMark/>
          </w:tcPr>
          <w:p w14:paraId="35568EB0"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85</w:t>
            </w:r>
          </w:p>
        </w:tc>
      </w:tr>
      <w:tr w:rsidR="00613B33" w:rsidRPr="001E1E45" w14:paraId="4AA9B994" w14:textId="77777777" w:rsidTr="00C3360E">
        <w:trPr>
          <w:trHeight w:val="255"/>
          <w:tblCellSpacing w:w="0" w:type="dxa"/>
        </w:trPr>
        <w:tc>
          <w:tcPr>
            <w:tcW w:w="646" w:type="pct"/>
            <w:tcBorders>
              <w:bottom w:val="single" w:sz="6" w:space="0" w:color="000000"/>
            </w:tcBorders>
            <w:vAlign w:val="center"/>
            <w:hideMark/>
          </w:tcPr>
          <w:p w14:paraId="0205757D" w14:textId="77777777" w:rsidR="00613B33" w:rsidRPr="00A242F8" w:rsidRDefault="00613B33" w:rsidP="00C3360E">
            <w:pPr>
              <w:spacing w:after="0" w:line="240" w:lineRule="auto"/>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R2</w:t>
            </w:r>
          </w:p>
        </w:tc>
        <w:tc>
          <w:tcPr>
            <w:tcW w:w="299" w:type="pct"/>
            <w:tcBorders>
              <w:bottom w:val="single" w:sz="6" w:space="0" w:color="000000"/>
            </w:tcBorders>
            <w:vAlign w:val="center"/>
            <w:hideMark/>
          </w:tcPr>
          <w:p w14:paraId="2678FCED"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0.01</w:t>
            </w:r>
          </w:p>
        </w:tc>
        <w:tc>
          <w:tcPr>
            <w:tcW w:w="299" w:type="pct"/>
            <w:tcBorders>
              <w:bottom w:val="single" w:sz="6" w:space="0" w:color="000000"/>
            </w:tcBorders>
            <w:vAlign w:val="center"/>
            <w:hideMark/>
          </w:tcPr>
          <w:p w14:paraId="0A8BD2A4"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299" w:type="pct"/>
            <w:tcBorders>
              <w:bottom w:val="single" w:sz="6" w:space="0" w:color="000000"/>
            </w:tcBorders>
            <w:vAlign w:val="center"/>
            <w:hideMark/>
          </w:tcPr>
          <w:p w14:paraId="311C8D15"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0.02</w:t>
            </w:r>
          </w:p>
        </w:tc>
        <w:tc>
          <w:tcPr>
            <w:tcW w:w="299" w:type="pct"/>
            <w:tcBorders>
              <w:bottom w:val="single" w:sz="6" w:space="0" w:color="000000"/>
            </w:tcBorders>
            <w:vAlign w:val="center"/>
            <w:hideMark/>
          </w:tcPr>
          <w:p w14:paraId="2F5D3E9D"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299" w:type="pct"/>
            <w:tcBorders>
              <w:bottom w:val="single" w:sz="6" w:space="0" w:color="000000"/>
            </w:tcBorders>
            <w:vAlign w:val="center"/>
            <w:hideMark/>
          </w:tcPr>
          <w:p w14:paraId="2737DAA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299" w:type="pct"/>
            <w:tcBorders>
              <w:bottom w:val="single" w:sz="6" w:space="0" w:color="000000"/>
            </w:tcBorders>
            <w:vAlign w:val="center"/>
            <w:hideMark/>
          </w:tcPr>
          <w:p w14:paraId="24CC6621"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val="ru-RU" w:eastAsia="de-DE"/>
              </w:rPr>
            </w:pPr>
            <w:r w:rsidRPr="00A242F8">
              <w:rPr>
                <w:rFonts w:ascii="Latin Modern Roman" w:eastAsia="Times New Roman" w:hAnsi="Latin Modern Roman" w:cs="Times New Roman"/>
                <w:sz w:val="18"/>
                <w:szCs w:val="18"/>
                <w:lang w:eastAsia="de-DE"/>
              </w:rPr>
              <w:t>0.00</w:t>
            </w:r>
          </w:p>
        </w:tc>
        <w:tc>
          <w:tcPr>
            <w:tcW w:w="322" w:type="pct"/>
            <w:tcBorders>
              <w:bottom w:val="single" w:sz="6" w:space="0" w:color="000000"/>
            </w:tcBorders>
            <w:vAlign w:val="center"/>
            <w:hideMark/>
          </w:tcPr>
          <w:p w14:paraId="5076C692"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322" w:type="pct"/>
            <w:tcBorders>
              <w:bottom w:val="single" w:sz="6" w:space="0" w:color="000000"/>
            </w:tcBorders>
            <w:vAlign w:val="center"/>
            <w:hideMark/>
          </w:tcPr>
          <w:p w14:paraId="77ACACEC"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0.01</w:t>
            </w:r>
          </w:p>
        </w:tc>
        <w:tc>
          <w:tcPr>
            <w:tcW w:w="299" w:type="pct"/>
            <w:tcBorders>
              <w:bottom w:val="single" w:sz="6" w:space="0" w:color="000000"/>
            </w:tcBorders>
            <w:vAlign w:val="center"/>
            <w:hideMark/>
          </w:tcPr>
          <w:p w14:paraId="3672CA6D"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0.01</w:t>
            </w:r>
          </w:p>
        </w:tc>
        <w:tc>
          <w:tcPr>
            <w:tcW w:w="299" w:type="pct"/>
            <w:tcBorders>
              <w:bottom w:val="single" w:sz="6" w:space="0" w:color="000000"/>
            </w:tcBorders>
            <w:vAlign w:val="center"/>
            <w:hideMark/>
          </w:tcPr>
          <w:p w14:paraId="6CCC98A1"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0.01</w:t>
            </w:r>
          </w:p>
        </w:tc>
        <w:tc>
          <w:tcPr>
            <w:tcW w:w="299" w:type="pct"/>
            <w:tcBorders>
              <w:bottom w:val="single" w:sz="6" w:space="0" w:color="000000"/>
            </w:tcBorders>
            <w:vAlign w:val="center"/>
            <w:hideMark/>
          </w:tcPr>
          <w:p w14:paraId="00083AF3"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299" w:type="pct"/>
            <w:tcBorders>
              <w:bottom w:val="single" w:sz="6" w:space="0" w:color="000000"/>
            </w:tcBorders>
            <w:vAlign w:val="center"/>
            <w:hideMark/>
          </w:tcPr>
          <w:p w14:paraId="56CA2377"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299" w:type="pct"/>
            <w:tcBorders>
              <w:bottom w:val="single" w:sz="6" w:space="0" w:color="000000"/>
            </w:tcBorders>
            <w:vAlign w:val="center"/>
            <w:hideMark/>
          </w:tcPr>
          <w:p w14:paraId="23BF65FF"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0.01</w:t>
            </w:r>
          </w:p>
        </w:tc>
        <w:tc>
          <w:tcPr>
            <w:tcW w:w="423" w:type="pct"/>
            <w:tcBorders>
              <w:bottom w:val="single" w:sz="6" w:space="0" w:color="000000"/>
            </w:tcBorders>
            <w:vAlign w:val="center"/>
            <w:hideMark/>
          </w:tcPr>
          <w:p w14:paraId="00B8BFFB"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r>
      <w:tr w:rsidR="00613B33" w:rsidRPr="001E1E45" w14:paraId="1E881A65" w14:textId="77777777" w:rsidTr="00C3360E">
        <w:trPr>
          <w:trHeight w:val="255"/>
          <w:tblCellSpacing w:w="0" w:type="dxa"/>
        </w:trPr>
        <w:tc>
          <w:tcPr>
            <w:tcW w:w="5000" w:type="pct"/>
            <w:gridSpan w:val="15"/>
            <w:vAlign w:val="center"/>
            <w:hideMark/>
          </w:tcPr>
          <w:p w14:paraId="6C4141D9" w14:textId="77777777" w:rsidR="00613B33" w:rsidRPr="00A242F8" w:rsidRDefault="00613B33" w:rsidP="00C3360E">
            <w:pPr>
              <w:spacing w:after="0" w:line="240" w:lineRule="auto"/>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Notes: Standard errors in parentheses, * p &lt; 0.1, ** p &lt; 0.05, *** p &lt; 0.01. Robust SE.</w:t>
            </w:r>
          </w:p>
        </w:tc>
      </w:tr>
    </w:tbl>
    <w:p w14:paraId="66695235" w14:textId="77777777" w:rsidR="00613B33" w:rsidRPr="003F30C1" w:rsidRDefault="00613B33" w:rsidP="00613B33">
      <w:pPr>
        <w:spacing w:after="0" w:line="240" w:lineRule="auto"/>
        <w:jc w:val="both"/>
        <w:rPr>
          <w:rFonts w:ascii="Latin Modern Roman" w:hAnsi="Latin Modern Roman" w:cs="Times New Roman"/>
          <w:sz w:val="20"/>
          <w:szCs w:val="20"/>
          <w:lang w:val="en-US"/>
        </w:rPr>
      </w:pPr>
    </w:p>
    <w:p w14:paraId="718399F6" w14:textId="1DABACF8" w:rsidR="00613B33" w:rsidRPr="003F30C1" w:rsidRDefault="00613B33" w:rsidP="00613B33">
      <w:pPr>
        <w:jc w:val="both"/>
        <w:rPr>
          <w:rFonts w:ascii="Latin Modern Roman" w:hAnsi="Latin Modern Roman"/>
          <w:sz w:val="20"/>
          <w:szCs w:val="20"/>
          <w:lang w:val="en-US"/>
        </w:rPr>
      </w:pPr>
      <w:r w:rsidRPr="00637B5F">
        <w:rPr>
          <w:rFonts w:ascii="Latin Modern Roman" w:hAnsi="Latin Modern Roman"/>
          <w:sz w:val="20"/>
          <w:szCs w:val="20"/>
          <w:lang w:val="en-US"/>
        </w:rPr>
        <w:t>Table C2 compares Russian regions in terms of the characteristics of the political environment. In spite of two decades of Putin’s centralization drive, Russian regions are very heterogeneous in terms of political pluralism and competitiveness, integration of elites, media freedom, and corruption levels</w:t>
      </w:r>
      <w:r w:rsidRPr="003F30C1">
        <w:rPr>
          <w:rFonts w:ascii="Latin Modern Roman" w:hAnsi="Latin Modern Roman"/>
          <w:sz w:val="20"/>
          <w:szCs w:val="20"/>
          <w:lang w:val="en-US"/>
        </w:rPr>
        <w:t xml:space="preserve"> (Obydenkova and Libman 2015; Libman and Rochlitz 2018).</w:t>
      </w:r>
      <w:r w:rsidRPr="00637B5F">
        <w:rPr>
          <w:rFonts w:ascii="Latin Modern Roman" w:hAnsi="Latin Modern Roman"/>
          <w:sz w:val="20"/>
          <w:szCs w:val="20"/>
          <w:lang w:val="en-US"/>
        </w:rPr>
        <w:t xml:space="preserve"> These differences might be associated with the proximity to elections and, at the same time, influence the response to the pandemic (both in terms of actual disease management and in terms of data manipulation). This could bias our results. </w:t>
      </w:r>
    </w:p>
    <w:p w14:paraId="60B662FC" w14:textId="77777777" w:rsidR="00613B33" w:rsidRPr="00637B5F" w:rsidRDefault="00613B33" w:rsidP="00613B33">
      <w:pPr>
        <w:jc w:val="both"/>
        <w:rPr>
          <w:rFonts w:ascii="Latin Modern Roman" w:hAnsi="Latin Modern Roman"/>
          <w:sz w:val="20"/>
          <w:szCs w:val="20"/>
          <w:lang w:val="en-US"/>
        </w:rPr>
      </w:pPr>
      <w:r w:rsidRPr="00637B5F">
        <w:rPr>
          <w:rFonts w:ascii="Latin Modern Roman" w:hAnsi="Latin Modern Roman"/>
          <w:sz w:val="20"/>
          <w:szCs w:val="20"/>
          <w:lang w:val="en-US"/>
        </w:rPr>
        <w:t xml:space="preserve">In Table </w:t>
      </w:r>
      <w:r w:rsidRPr="003F30C1">
        <w:rPr>
          <w:rFonts w:ascii="Latin Modern Roman" w:hAnsi="Latin Modern Roman"/>
          <w:sz w:val="20"/>
          <w:szCs w:val="20"/>
          <w:lang w:val="en-US"/>
        </w:rPr>
        <w:t>C</w:t>
      </w:r>
      <w:r w:rsidRPr="00637B5F">
        <w:rPr>
          <w:rFonts w:ascii="Latin Modern Roman" w:hAnsi="Latin Modern Roman"/>
          <w:sz w:val="20"/>
          <w:szCs w:val="20"/>
          <w:lang w:val="en-US"/>
        </w:rPr>
        <w:t>2, we use various components of the</w:t>
      </w:r>
      <w:r w:rsidRPr="003F30C1">
        <w:rPr>
          <w:rFonts w:ascii="Latin Modern Roman" w:hAnsi="Latin Modern Roman"/>
          <w:sz w:val="20"/>
          <w:szCs w:val="20"/>
          <w:lang w:val="en-US"/>
        </w:rPr>
        <w:t xml:space="preserve"> so-called</w:t>
      </w:r>
      <w:r w:rsidRPr="00637B5F">
        <w:rPr>
          <w:rFonts w:ascii="Latin Modern Roman" w:hAnsi="Latin Modern Roman"/>
          <w:sz w:val="20"/>
          <w:szCs w:val="20"/>
          <w:lang w:val="en-US"/>
        </w:rPr>
        <w:t xml:space="preserve"> Petrov/Titkov index</w:t>
      </w:r>
      <w:r w:rsidRPr="003F30C1">
        <w:rPr>
          <w:rFonts w:ascii="Latin Modern Roman" w:hAnsi="Latin Modern Roman"/>
          <w:sz w:val="20"/>
          <w:szCs w:val="20"/>
          <w:lang w:val="en-US"/>
        </w:rPr>
        <w:t xml:space="preserve"> for the latest available period (2010-2014)</w:t>
      </w:r>
      <w:r w:rsidRPr="00637B5F">
        <w:rPr>
          <w:rFonts w:ascii="Latin Modern Roman" w:hAnsi="Latin Modern Roman"/>
          <w:sz w:val="20"/>
          <w:szCs w:val="20"/>
          <w:lang w:val="en-US"/>
        </w:rPr>
        <w:t xml:space="preserve"> to check whether there are systematic political differences between regions with proximate and distant elections. </w:t>
      </w:r>
      <w:r w:rsidRPr="003F30C1">
        <w:rPr>
          <w:rFonts w:ascii="Latin Modern Roman" w:hAnsi="Latin Modern Roman"/>
          <w:sz w:val="20"/>
          <w:szCs w:val="20"/>
          <w:lang w:val="en-US"/>
        </w:rPr>
        <w:t>The expert opinion index evaluates each region of Russia according to a large number of criteria (for each</w:t>
      </w:r>
      <w:r>
        <w:rPr>
          <w:rFonts w:ascii="Latin Modern Roman" w:hAnsi="Latin Modern Roman"/>
          <w:sz w:val="20"/>
          <w:szCs w:val="20"/>
          <w:lang w:val="en-US"/>
        </w:rPr>
        <w:t>,</w:t>
      </w:r>
      <w:r w:rsidRPr="003F30C1">
        <w:rPr>
          <w:rFonts w:ascii="Latin Modern Roman" w:hAnsi="Latin Modern Roman"/>
          <w:sz w:val="20"/>
          <w:szCs w:val="20"/>
          <w:lang w:val="en-US"/>
        </w:rPr>
        <w:t xml:space="preserve"> a five-point scale is used) of political pluralism and organization of regional political life. The index (originally developed under the auspices </w:t>
      </w:r>
      <w:r>
        <w:rPr>
          <w:rFonts w:ascii="Latin Modern Roman" w:hAnsi="Latin Modern Roman"/>
          <w:sz w:val="20"/>
          <w:szCs w:val="20"/>
          <w:lang w:val="en-US"/>
        </w:rPr>
        <w:t xml:space="preserve">of </w:t>
      </w:r>
      <w:r w:rsidRPr="003F30C1">
        <w:rPr>
          <w:rFonts w:ascii="Latin Modern Roman" w:hAnsi="Latin Modern Roman"/>
          <w:sz w:val="20"/>
          <w:szCs w:val="20"/>
          <w:lang w:val="en-US"/>
        </w:rPr>
        <w:t xml:space="preserve">the Moscow Carnegie Center, a reputable think tank and a branch of </w:t>
      </w:r>
      <w:r w:rsidRPr="003F30C1">
        <w:rPr>
          <w:rFonts w:ascii="Latin Modern Roman" w:hAnsi="Latin Modern Roman"/>
          <w:sz w:val="20"/>
          <w:szCs w:val="20"/>
          <w:lang w:val="en-US"/>
        </w:rPr>
        <w:lastRenderedPageBreak/>
        <w:t>the Carnegie Endowment for International Peace) has been widely used in the literature and became a standard proxy for the quality of sub-national political institutions in Russia (e.g., Akhmedov and Zhuravskaya 2004; Freinkman and Plekhanov 2009; Beazer 2015; Lankina et al. 2016; Buckley and Reuter 2019).</w:t>
      </w:r>
      <w:r>
        <w:rPr>
          <w:rFonts w:ascii="Latin Modern Roman" w:hAnsi="Latin Modern Roman"/>
          <w:sz w:val="20"/>
          <w:szCs w:val="20"/>
          <w:lang w:val="en-US"/>
        </w:rPr>
        <w:t xml:space="preserve"> </w:t>
      </w:r>
      <w:r w:rsidRPr="00637B5F">
        <w:rPr>
          <w:rFonts w:ascii="Latin Modern Roman" w:hAnsi="Latin Modern Roman"/>
          <w:sz w:val="20"/>
          <w:szCs w:val="20"/>
          <w:lang w:val="en-US"/>
        </w:rPr>
        <w:t>We compare regions with proximate and distant elections in terms of the value of each of these component indices and find no significant differences.</w:t>
      </w:r>
    </w:p>
    <w:tbl>
      <w:tblPr>
        <w:tblW w:w="10396" w:type="dxa"/>
        <w:jc w:val="center"/>
        <w:tblCellSpacing w:w="0" w:type="dxa"/>
        <w:tblCellMar>
          <w:top w:w="15" w:type="dxa"/>
          <w:left w:w="15" w:type="dxa"/>
          <w:bottom w:w="15" w:type="dxa"/>
          <w:right w:w="15" w:type="dxa"/>
        </w:tblCellMar>
        <w:tblLook w:val="04A0" w:firstRow="1" w:lastRow="0" w:firstColumn="1" w:lastColumn="0" w:noHBand="0" w:noVBand="1"/>
      </w:tblPr>
      <w:tblGrid>
        <w:gridCol w:w="1411"/>
        <w:gridCol w:w="468"/>
        <w:gridCol w:w="543"/>
        <w:gridCol w:w="499"/>
        <w:gridCol w:w="499"/>
        <w:gridCol w:w="500"/>
        <w:gridCol w:w="500"/>
        <w:gridCol w:w="459"/>
        <w:gridCol w:w="459"/>
        <w:gridCol w:w="459"/>
        <w:gridCol w:w="459"/>
        <w:gridCol w:w="538"/>
        <w:gridCol w:w="538"/>
        <w:gridCol w:w="459"/>
        <w:gridCol w:w="459"/>
        <w:gridCol w:w="459"/>
        <w:gridCol w:w="459"/>
        <w:gridCol w:w="614"/>
        <w:gridCol w:w="614"/>
      </w:tblGrid>
      <w:tr w:rsidR="00613B33" w:rsidRPr="00A242F8" w14:paraId="3365221F" w14:textId="77777777" w:rsidTr="00C3360E">
        <w:trPr>
          <w:trHeight w:val="315"/>
          <w:tblCellSpacing w:w="0" w:type="dxa"/>
          <w:jc w:val="center"/>
        </w:trPr>
        <w:tc>
          <w:tcPr>
            <w:tcW w:w="10396" w:type="dxa"/>
            <w:gridSpan w:val="19"/>
            <w:vAlign w:val="center"/>
            <w:hideMark/>
          </w:tcPr>
          <w:p w14:paraId="500037AF" w14:textId="77777777" w:rsidR="00613B33" w:rsidRPr="00A242F8" w:rsidRDefault="00613B33" w:rsidP="00C3360E">
            <w:pPr>
              <w:spacing w:after="0" w:line="240" w:lineRule="auto"/>
              <w:jc w:val="both"/>
              <w:rPr>
                <w:rFonts w:ascii="Latin Modern Roman" w:eastAsia="Times New Roman" w:hAnsi="Latin Modern Roman" w:cs="Times New Roman"/>
                <w:sz w:val="18"/>
                <w:szCs w:val="18"/>
                <w:lang w:val="en-US" w:eastAsia="de-DE"/>
              </w:rPr>
            </w:pPr>
            <w:r w:rsidRPr="00A242F8">
              <w:rPr>
                <w:rFonts w:ascii="Latin Modern Roman" w:eastAsia="Times New Roman" w:hAnsi="Latin Modern Roman" w:cs="Times New Roman"/>
                <w:sz w:val="18"/>
                <w:szCs w:val="18"/>
                <w:lang w:val="en-US" w:eastAsia="de-DE"/>
              </w:rPr>
              <w:t>Table C2: Natural randomization of the approaching elections: institutional measures from Petrov and Titkov (2013)</w:t>
            </w:r>
          </w:p>
        </w:tc>
      </w:tr>
      <w:tr w:rsidR="00613B33" w:rsidRPr="001E1E45" w14:paraId="2285573E" w14:textId="77777777" w:rsidTr="00C3360E">
        <w:trPr>
          <w:trHeight w:val="255"/>
          <w:tblCellSpacing w:w="0" w:type="dxa"/>
          <w:jc w:val="center"/>
        </w:trPr>
        <w:tc>
          <w:tcPr>
            <w:tcW w:w="0" w:type="auto"/>
            <w:tcBorders>
              <w:top w:val="single" w:sz="6" w:space="0" w:color="000000"/>
            </w:tcBorders>
            <w:vAlign w:val="center"/>
            <w:hideMark/>
          </w:tcPr>
          <w:p w14:paraId="49DAC82B" w14:textId="77777777" w:rsidR="00613B33" w:rsidRPr="00A242F8" w:rsidRDefault="00613B33" w:rsidP="00C3360E">
            <w:pPr>
              <w:spacing w:after="0" w:line="240" w:lineRule="auto"/>
              <w:rPr>
                <w:rFonts w:ascii="Latin Modern Roman" w:eastAsia="Times New Roman" w:hAnsi="Latin Modern Roman" w:cs="Times New Roman"/>
                <w:sz w:val="18"/>
                <w:szCs w:val="18"/>
                <w:lang w:val="en-US" w:eastAsia="de-DE"/>
              </w:rPr>
            </w:pPr>
          </w:p>
        </w:tc>
        <w:tc>
          <w:tcPr>
            <w:tcW w:w="0" w:type="auto"/>
            <w:tcBorders>
              <w:top w:val="single" w:sz="6" w:space="0" w:color="000000"/>
            </w:tcBorders>
            <w:vAlign w:val="center"/>
            <w:hideMark/>
          </w:tcPr>
          <w:p w14:paraId="693DE958"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w:t>
            </w:r>
          </w:p>
        </w:tc>
        <w:tc>
          <w:tcPr>
            <w:tcW w:w="514" w:type="dxa"/>
            <w:tcBorders>
              <w:top w:val="single" w:sz="6" w:space="0" w:color="000000"/>
            </w:tcBorders>
            <w:vAlign w:val="center"/>
            <w:hideMark/>
          </w:tcPr>
          <w:p w14:paraId="072DB900"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(2)</w:t>
            </w:r>
          </w:p>
        </w:tc>
        <w:tc>
          <w:tcPr>
            <w:tcW w:w="0" w:type="auto"/>
            <w:tcBorders>
              <w:top w:val="single" w:sz="6" w:space="0" w:color="000000"/>
            </w:tcBorders>
            <w:vAlign w:val="center"/>
            <w:hideMark/>
          </w:tcPr>
          <w:p w14:paraId="001EFB49"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(3)</w:t>
            </w:r>
          </w:p>
        </w:tc>
        <w:tc>
          <w:tcPr>
            <w:tcW w:w="0" w:type="auto"/>
            <w:tcBorders>
              <w:top w:val="single" w:sz="6" w:space="0" w:color="000000"/>
            </w:tcBorders>
            <w:vAlign w:val="center"/>
            <w:hideMark/>
          </w:tcPr>
          <w:p w14:paraId="3F9AE188"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(4)</w:t>
            </w:r>
          </w:p>
        </w:tc>
        <w:tc>
          <w:tcPr>
            <w:tcW w:w="0" w:type="auto"/>
            <w:tcBorders>
              <w:top w:val="single" w:sz="6" w:space="0" w:color="000000"/>
            </w:tcBorders>
            <w:vAlign w:val="center"/>
            <w:hideMark/>
          </w:tcPr>
          <w:p w14:paraId="33CAF939"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(5)</w:t>
            </w:r>
          </w:p>
        </w:tc>
        <w:tc>
          <w:tcPr>
            <w:tcW w:w="0" w:type="auto"/>
            <w:tcBorders>
              <w:top w:val="single" w:sz="6" w:space="0" w:color="000000"/>
            </w:tcBorders>
            <w:vAlign w:val="center"/>
            <w:hideMark/>
          </w:tcPr>
          <w:p w14:paraId="0CC7C744"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(6)</w:t>
            </w:r>
          </w:p>
        </w:tc>
        <w:tc>
          <w:tcPr>
            <w:tcW w:w="0" w:type="auto"/>
            <w:tcBorders>
              <w:top w:val="single" w:sz="6" w:space="0" w:color="000000"/>
            </w:tcBorders>
            <w:vAlign w:val="center"/>
            <w:hideMark/>
          </w:tcPr>
          <w:p w14:paraId="6734411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(7)</w:t>
            </w:r>
          </w:p>
        </w:tc>
        <w:tc>
          <w:tcPr>
            <w:tcW w:w="0" w:type="auto"/>
            <w:tcBorders>
              <w:top w:val="single" w:sz="6" w:space="0" w:color="000000"/>
            </w:tcBorders>
            <w:vAlign w:val="center"/>
            <w:hideMark/>
          </w:tcPr>
          <w:p w14:paraId="5AB1CA79"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w:t>
            </w:r>
          </w:p>
        </w:tc>
        <w:tc>
          <w:tcPr>
            <w:tcW w:w="0" w:type="auto"/>
            <w:tcBorders>
              <w:top w:val="single" w:sz="6" w:space="0" w:color="000000"/>
            </w:tcBorders>
            <w:vAlign w:val="center"/>
            <w:hideMark/>
          </w:tcPr>
          <w:p w14:paraId="71B169DB"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(9)</w:t>
            </w:r>
          </w:p>
        </w:tc>
        <w:tc>
          <w:tcPr>
            <w:tcW w:w="0" w:type="auto"/>
            <w:tcBorders>
              <w:top w:val="single" w:sz="6" w:space="0" w:color="000000"/>
            </w:tcBorders>
            <w:vAlign w:val="center"/>
            <w:hideMark/>
          </w:tcPr>
          <w:p w14:paraId="3E36F7F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(10)</w:t>
            </w:r>
          </w:p>
        </w:tc>
        <w:tc>
          <w:tcPr>
            <w:tcW w:w="0" w:type="auto"/>
            <w:tcBorders>
              <w:top w:val="single" w:sz="6" w:space="0" w:color="000000"/>
            </w:tcBorders>
            <w:vAlign w:val="center"/>
            <w:hideMark/>
          </w:tcPr>
          <w:p w14:paraId="5DD36684"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(11)</w:t>
            </w:r>
          </w:p>
        </w:tc>
        <w:tc>
          <w:tcPr>
            <w:tcW w:w="0" w:type="auto"/>
            <w:tcBorders>
              <w:top w:val="single" w:sz="6" w:space="0" w:color="000000"/>
            </w:tcBorders>
            <w:vAlign w:val="center"/>
            <w:hideMark/>
          </w:tcPr>
          <w:p w14:paraId="1210C11B"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(12)</w:t>
            </w:r>
          </w:p>
        </w:tc>
        <w:tc>
          <w:tcPr>
            <w:tcW w:w="0" w:type="auto"/>
            <w:tcBorders>
              <w:top w:val="single" w:sz="6" w:space="0" w:color="000000"/>
            </w:tcBorders>
            <w:vAlign w:val="center"/>
            <w:hideMark/>
          </w:tcPr>
          <w:p w14:paraId="27CCD28C"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(13)</w:t>
            </w:r>
          </w:p>
        </w:tc>
        <w:tc>
          <w:tcPr>
            <w:tcW w:w="0" w:type="auto"/>
            <w:tcBorders>
              <w:top w:val="single" w:sz="6" w:space="0" w:color="000000"/>
            </w:tcBorders>
            <w:vAlign w:val="center"/>
            <w:hideMark/>
          </w:tcPr>
          <w:p w14:paraId="77B5FF00"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(14)</w:t>
            </w:r>
          </w:p>
        </w:tc>
        <w:tc>
          <w:tcPr>
            <w:tcW w:w="0" w:type="auto"/>
            <w:tcBorders>
              <w:top w:val="single" w:sz="6" w:space="0" w:color="000000"/>
            </w:tcBorders>
            <w:vAlign w:val="center"/>
            <w:hideMark/>
          </w:tcPr>
          <w:p w14:paraId="1C04A168"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(15)</w:t>
            </w:r>
          </w:p>
        </w:tc>
        <w:tc>
          <w:tcPr>
            <w:tcW w:w="0" w:type="auto"/>
            <w:tcBorders>
              <w:top w:val="single" w:sz="6" w:space="0" w:color="000000"/>
            </w:tcBorders>
            <w:vAlign w:val="center"/>
            <w:hideMark/>
          </w:tcPr>
          <w:p w14:paraId="78B0D6BD"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(16)</w:t>
            </w:r>
          </w:p>
        </w:tc>
        <w:tc>
          <w:tcPr>
            <w:tcW w:w="0" w:type="auto"/>
            <w:tcBorders>
              <w:top w:val="single" w:sz="6" w:space="0" w:color="000000"/>
            </w:tcBorders>
            <w:vAlign w:val="center"/>
            <w:hideMark/>
          </w:tcPr>
          <w:p w14:paraId="332B0733"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(17)</w:t>
            </w:r>
          </w:p>
        </w:tc>
        <w:tc>
          <w:tcPr>
            <w:tcW w:w="0" w:type="auto"/>
            <w:tcBorders>
              <w:top w:val="single" w:sz="6" w:space="0" w:color="000000"/>
            </w:tcBorders>
            <w:vAlign w:val="center"/>
            <w:hideMark/>
          </w:tcPr>
          <w:p w14:paraId="14BFF0CB"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(18)</w:t>
            </w:r>
          </w:p>
        </w:tc>
      </w:tr>
      <w:tr w:rsidR="00613B33" w:rsidRPr="001E1E45" w14:paraId="7A410D0D" w14:textId="77777777" w:rsidTr="00C3360E">
        <w:trPr>
          <w:trHeight w:val="315"/>
          <w:tblCellSpacing w:w="0" w:type="dxa"/>
          <w:jc w:val="center"/>
        </w:trPr>
        <w:tc>
          <w:tcPr>
            <w:tcW w:w="0" w:type="auto"/>
            <w:hideMark/>
          </w:tcPr>
          <w:p w14:paraId="7070A18A" w14:textId="77777777" w:rsidR="00613B33" w:rsidRPr="00A242F8" w:rsidRDefault="00613B33" w:rsidP="00C3360E">
            <w:pPr>
              <w:spacing w:after="0" w:line="240" w:lineRule="auto"/>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Dependent variable:</w:t>
            </w:r>
          </w:p>
        </w:tc>
        <w:tc>
          <w:tcPr>
            <w:tcW w:w="1028" w:type="dxa"/>
            <w:gridSpan w:val="2"/>
            <w:hideMark/>
          </w:tcPr>
          <w:p w14:paraId="2BF217EE"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Free</w:t>
            </w:r>
          </w:p>
          <w:p w14:paraId="018CD56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press</w:t>
            </w:r>
          </w:p>
        </w:tc>
        <w:tc>
          <w:tcPr>
            <w:tcW w:w="0" w:type="auto"/>
            <w:gridSpan w:val="2"/>
            <w:hideMark/>
          </w:tcPr>
          <w:p w14:paraId="12E3EFB8"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Election quality</w:t>
            </w:r>
          </w:p>
        </w:tc>
        <w:tc>
          <w:tcPr>
            <w:tcW w:w="0" w:type="auto"/>
            <w:gridSpan w:val="2"/>
            <w:hideMark/>
          </w:tcPr>
          <w:p w14:paraId="4D701FC4"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Political system</w:t>
            </w:r>
          </w:p>
        </w:tc>
        <w:tc>
          <w:tcPr>
            <w:tcW w:w="0" w:type="auto"/>
            <w:gridSpan w:val="2"/>
            <w:hideMark/>
          </w:tcPr>
          <w:p w14:paraId="617F70D7"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Pluralism</w:t>
            </w:r>
          </w:p>
        </w:tc>
        <w:tc>
          <w:tcPr>
            <w:tcW w:w="0" w:type="auto"/>
            <w:gridSpan w:val="2"/>
            <w:hideMark/>
          </w:tcPr>
          <w:p w14:paraId="7118C6F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Local elites</w:t>
            </w:r>
          </w:p>
        </w:tc>
        <w:tc>
          <w:tcPr>
            <w:tcW w:w="0" w:type="auto"/>
            <w:gridSpan w:val="2"/>
            <w:hideMark/>
          </w:tcPr>
          <w:p w14:paraId="5E95C9EB"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Corruption control</w:t>
            </w:r>
          </w:p>
        </w:tc>
        <w:tc>
          <w:tcPr>
            <w:tcW w:w="0" w:type="auto"/>
            <w:gridSpan w:val="2"/>
            <w:hideMark/>
          </w:tcPr>
          <w:p w14:paraId="337034A2"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Civil society</w:t>
            </w:r>
          </w:p>
        </w:tc>
        <w:tc>
          <w:tcPr>
            <w:tcW w:w="0" w:type="auto"/>
            <w:gridSpan w:val="2"/>
            <w:hideMark/>
          </w:tcPr>
          <w:p w14:paraId="729FF2C8"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Openness</w:t>
            </w:r>
          </w:p>
        </w:tc>
        <w:tc>
          <w:tcPr>
            <w:tcW w:w="0" w:type="auto"/>
            <w:gridSpan w:val="2"/>
            <w:hideMark/>
          </w:tcPr>
          <w:p w14:paraId="7D31CAE1"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Economic liberalization</w:t>
            </w:r>
          </w:p>
        </w:tc>
      </w:tr>
      <w:tr w:rsidR="00613B33" w:rsidRPr="001E1E45" w14:paraId="57111545" w14:textId="77777777" w:rsidTr="00C3360E">
        <w:trPr>
          <w:trHeight w:val="255"/>
          <w:tblCellSpacing w:w="0" w:type="dxa"/>
          <w:jc w:val="center"/>
        </w:trPr>
        <w:tc>
          <w:tcPr>
            <w:tcW w:w="0" w:type="auto"/>
            <w:tcBorders>
              <w:top w:val="single" w:sz="6" w:space="0" w:color="000000"/>
            </w:tcBorders>
            <w:vAlign w:val="center"/>
            <w:hideMark/>
          </w:tcPr>
          <w:p w14:paraId="2C9E9A8B" w14:textId="77777777" w:rsidR="00613B33" w:rsidRPr="00A242F8" w:rsidRDefault="00613B33" w:rsidP="00C3360E">
            <w:pPr>
              <w:spacing w:after="0" w:line="240" w:lineRule="auto"/>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Elections approaching dummy</w:t>
            </w:r>
          </w:p>
        </w:tc>
        <w:tc>
          <w:tcPr>
            <w:tcW w:w="0" w:type="auto"/>
            <w:tcBorders>
              <w:top w:val="single" w:sz="6" w:space="0" w:color="000000"/>
            </w:tcBorders>
            <w:vAlign w:val="center"/>
            <w:hideMark/>
          </w:tcPr>
          <w:p w14:paraId="5B9B92D9"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-0.07</w:t>
            </w:r>
          </w:p>
        </w:tc>
        <w:tc>
          <w:tcPr>
            <w:tcW w:w="514" w:type="dxa"/>
            <w:tcBorders>
              <w:top w:val="single" w:sz="6" w:space="0" w:color="000000"/>
            </w:tcBorders>
            <w:vAlign w:val="center"/>
            <w:hideMark/>
          </w:tcPr>
          <w:p w14:paraId="7A5D6C30"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tcBorders>
              <w:top w:val="single" w:sz="6" w:space="0" w:color="000000"/>
            </w:tcBorders>
            <w:vAlign w:val="center"/>
            <w:hideMark/>
          </w:tcPr>
          <w:p w14:paraId="6D0C7A13"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0.17</w:t>
            </w:r>
          </w:p>
        </w:tc>
        <w:tc>
          <w:tcPr>
            <w:tcW w:w="0" w:type="auto"/>
            <w:tcBorders>
              <w:top w:val="single" w:sz="6" w:space="0" w:color="000000"/>
            </w:tcBorders>
            <w:vAlign w:val="center"/>
            <w:hideMark/>
          </w:tcPr>
          <w:p w14:paraId="12B428DC"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tcBorders>
              <w:top w:val="single" w:sz="6" w:space="0" w:color="000000"/>
            </w:tcBorders>
            <w:vAlign w:val="center"/>
            <w:hideMark/>
          </w:tcPr>
          <w:p w14:paraId="24904070"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-0.05</w:t>
            </w:r>
          </w:p>
        </w:tc>
        <w:tc>
          <w:tcPr>
            <w:tcW w:w="0" w:type="auto"/>
            <w:tcBorders>
              <w:top w:val="single" w:sz="6" w:space="0" w:color="000000"/>
            </w:tcBorders>
            <w:vAlign w:val="center"/>
            <w:hideMark/>
          </w:tcPr>
          <w:p w14:paraId="4D04CB39"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tcBorders>
              <w:top w:val="single" w:sz="6" w:space="0" w:color="000000"/>
            </w:tcBorders>
            <w:vAlign w:val="center"/>
            <w:hideMark/>
          </w:tcPr>
          <w:p w14:paraId="4BF52EEF"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-0.12</w:t>
            </w:r>
          </w:p>
        </w:tc>
        <w:tc>
          <w:tcPr>
            <w:tcW w:w="0" w:type="auto"/>
            <w:tcBorders>
              <w:top w:val="single" w:sz="6" w:space="0" w:color="000000"/>
            </w:tcBorders>
            <w:vAlign w:val="center"/>
            <w:hideMark/>
          </w:tcPr>
          <w:p w14:paraId="18166FE0"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tcBorders>
              <w:top w:val="single" w:sz="6" w:space="0" w:color="000000"/>
            </w:tcBorders>
            <w:vAlign w:val="center"/>
            <w:hideMark/>
          </w:tcPr>
          <w:p w14:paraId="2FCEB12E"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-0.12</w:t>
            </w:r>
          </w:p>
        </w:tc>
        <w:tc>
          <w:tcPr>
            <w:tcW w:w="0" w:type="auto"/>
            <w:tcBorders>
              <w:top w:val="single" w:sz="6" w:space="0" w:color="000000"/>
            </w:tcBorders>
            <w:vAlign w:val="center"/>
            <w:hideMark/>
          </w:tcPr>
          <w:p w14:paraId="276FEC28"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tcBorders>
              <w:top w:val="single" w:sz="6" w:space="0" w:color="000000"/>
            </w:tcBorders>
            <w:vAlign w:val="center"/>
            <w:hideMark/>
          </w:tcPr>
          <w:p w14:paraId="0BC3881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-0.02</w:t>
            </w:r>
          </w:p>
        </w:tc>
        <w:tc>
          <w:tcPr>
            <w:tcW w:w="0" w:type="auto"/>
            <w:tcBorders>
              <w:top w:val="single" w:sz="6" w:space="0" w:color="000000"/>
            </w:tcBorders>
            <w:vAlign w:val="center"/>
            <w:hideMark/>
          </w:tcPr>
          <w:p w14:paraId="67486764"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tcBorders>
              <w:top w:val="single" w:sz="6" w:space="0" w:color="000000"/>
            </w:tcBorders>
            <w:vAlign w:val="center"/>
            <w:hideMark/>
          </w:tcPr>
          <w:p w14:paraId="5FB35865"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0.07</w:t>
            </w:r>
          </w:p>
        </w:tc>
        <w:tc>
          <w:tcPr>
            <w:tcW w:w="0" w:type="auto"/>
            <w:tcBorders>
              <w:top w:val="single" w:sz="6" w:space="0" w:color="000000"/>
            </w:tcBorders>
            <w:vAlign w:val="center"/>
            <w:hideMark/>
          </w:tcPr>
          <w:p w14:paraId="7E52F833"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tcBorders>
              <w:top w:val="single" w:sz="6" w:space="0" w:color="000000"/>
            </w:tcBorders>
            <w:vAlign w:val="center"/>
            <w:hideMark/>
          </w:tcPr>
          <w:p w14:paraId="5008B0BE"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-0.06</w:t>
            </w:r>
          </w:p>
        </w:tc>
        <w:tc>
          <w:tcPr>
            <w:tcW w:w="0" w:type="auto"/>
            <w:tcBorders>
              <w:top w:val="single" w:sz="6" w:space="0" w:color="000000"/>
            </w:tcBorders>
            <w:vAlign w:val="center"/>
            <w:hideMark/>
          </w:tcPr>
          <w:p w14:paraId="7871385F"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tcBorders>
              <w:top w:val="single" w:sz="6" w:space="0" w:color="000000"/>
            </w:tcBorders>
            <w:vAlign w:val="center"/>
            <w:hideMark/>
          </w:tcPr>
          <w:p w14:paraId="2A8C7C10"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0" w:type="auto"/>
            <w:tcBorders>
              <w:top w:val="single" w:sz="6" w:space="0" w:color="000000"/>
            </w:tcBorders>
            <w:vAlign w:val="center"/>
            <w:hideMark/>
          </w:tcPr>
          <w:p w14:paraId="6A804CD9"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r>
      <w:tr w:rsidR="00613B33" w:rsidRPr="001E1E45" w14:paraId="11B444A6" w14:textId="77777777" w:rsidTr="00C3360E">
        <w:trPr>
          <w:trHeight w:val="255"/>
          <w:tblCellSpacing w:w="0" w:type="dxa"/>
          <w:jc w:val="center"/>
        </w:trPr>
        <w:tc>
          <w:tcPr>
            <w:tcW w:w="0" w:type="auto"/>
            <w:vAlign w:val="center"/>
            <w:hideMark/>
          </w:tcPr>
          <w:p w14:paraId="4569DC3F" w14:textId="77777777" w:rsidR="00613B33" w:rsidRPr="00A242F8" w:rsidRDefault="00613B33" w:rsidP="00C3360E">
            <w:pPr>
              <w:spacing w:after="0" w:line="240" w:lineRule="auto"/>
              <w:rPr>
                <w:rFonts w:ascii="Latin Modern Roman" w:eastAsia="Times New Roman" w:hAnsi="Latin Modern Roman" w:cs="Times New Roman"/>
                <w:sz w:val="18"/>
                <w:szCs w:val="18"/>
                <w:lang w:eastAsia="de-DE"/>
              </w:rPr>
            </w:pPr>
          </w:p>
        </w:tc>
        <w:tc>
          <w:tcPr>
            <w:tcW w:w="0" w:type="auto"/>
            <w:vAlign w:val="center"/>
            <w:hideMark/>
          </w:tcPr>
          <w:p w14:paraId="0933311C"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(0.21)</w:t>
            </w:r>
          </w:p>
        </w:tc>
        <w:tc>
          <w:tcPr>
            <w:tcW w:w="514" w:type="dxa"/>
            <w:vAlign w:val="center"/>
            <w:hideMark/>
          </w:tcPr>
          <w:p w14:paraId="0BEFB8F2"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vAlign w:val="center"/>
            <w:hideMark/>
          </w:tcPr>
          <w:p w14:paraId="0696D11E"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(0.21)</w:t>
            </w:r>
          </w:p>
        </w:tc>
        <w:tc>
          <w:tcPr>
            <w:tcW w:w="0" w:type="auto"/>
            <w:vAlign w:val="center"/>
            <w:hideMark/>
          </w:tcPr>
          <w:p w14:paraId="62E11E0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vAlign w:val="center"/>
            <w:hideMark/>
          </w:tcPr>
          <w:p w14:paraId="7149B9DF"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(0.15)</w:t>
            </w:r>
          </w:p>
        </w:tc>
        <w:tc>
          <w:tcPr>
            <w:tcW w:w="0" w:type="auto"/>
            <w:vAlign w:val="center"/>
            <w:hideMark/>
          </w:tcPr>
          <w:p w14:paraId="346C9D38"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vAlign w:val="center"/>
            <w:hideMark/>
          </w:tcPr>
          <w:p w14:paraId="45D834E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(0.17)</w:t>
            </w:r>
          </w:p>
        </w:tc>
        <w:tc>
          <w:tcPr>
            <w:tcW w:w="0" w:type="auto"/>
            <w:vAlign w:val="center"/>
            <w:hideMark/>
          </w:tcPr>
          <w:p w14:paraId="1272474E"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vAlign w:val="center"/>
            <w:hideMark/>
          </w:tcPr>
          <w:p w14:paraId="45263674"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(0.15)</w:t>
            </w:r>
          </w:p>
        </w:tc>
        <w:tc>
          <w:tcPr>
            <w:tcW w:w="0" w:type="auto"/>
            <w:vAlign w:val="center"/>
            <w:hideMark/>
          </w:tcPr>
          <w:p w14:paraId="6603E60B"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vAlign w:val="center"/>
            <w:hideMark/>
          </w:tcPr>
          <w:p w14:paraId="3E9D0F09"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(0.14)</w:t>
            </w:r>
          </w:p>
        </w:tc>
        <w:tc>
          <w:tcPr>
            <w:tcW w:w="0" w:type="auto"/>
            <w:vAlign w:val="center"/>
            <w:hideMark/>
          </w:tcPr>
          <w:p w14:paraId="2A569A59"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vAlign w:val="center"/>
            <w:hideMark/>
          </w:tcPr>
          <w:p w14:paraId="576C062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(0.20)</w:t>
            </w:r>
          </w:p>
        </w:tc>
        <w:tc>
          <w:tcPr>
            <w:tcW w:w="0" w:type="auto"/>
            <w:vAlign w:val="center"/>
            <w:hideMark/>
          </w:tcPr>
          <w:p w14:paraId="6634B40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vAlign w:val="center"/>
            <w:hideMark/>
          </w:tcPr>
          <w:p w14:paraId="0EEB2A51"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(0.18)</w:t>
            </w:r>
          </w:p>
        </w:tc>
        <w:tc>
          <w:tcPr>
            <w:tcW w:w="0" w:type="auto"/>
            <w:vAlign w:val="center"/>
            <w:hideMark/>
          </w:tcPr>
          <w:p w14:paraId="6EC31A9F"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vAlign w:val="center"/>
            <w:hideMark/>
          </w:tcPr>
          <w:p w14:paraId="4DE1449D"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(0.17)</w:t>
            </w:r>
          </w:p>
        </w:tc>
        <w:tc>
          <w:tcPr>
            <w:tcW w:w="0" w:type="auto"/>
            <w:vAlign w:val="center"/>
            <w:hideMark/>
          </w:tcPr>
          <w:p w14:paraId="561228CE"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r>
      <w:tr w:rsidR="00613B33" w:rsidRPr="001E1E45" w14:paraId="096E647F" w14:textId="77777777" w:rsidTr="00C3360E">
        <w:trPr>
          <w:trHeight w:val="255"/>
          <w:tblCellSpacing w:w="0" w:type="dxa"/>
          <w:jc w:val="center"/>
        </w:trPr>
        <w:tc>
          <w:tcPr>
            <w:tcW w:w="0" w:type="auto"/>
            <w:vAlign w:val="center"/>
            <w:hideMark/>
          </w:tcPr>
          <w:p w14:paraId="4BBA57AA" w14:textId="77777777" w:rsidR="00613B33" w:rsidRPr="00A242F8" w:rsidRDefault="00613B33" w:rsidP="00C3360E">
            <w:pPr>
              <w:spacing w:after="0" w:line="240" w:lineRule="auto"/>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Election proximity, years</w:t>
            </w:r>
          </w:p>
        </w:tc>
        <w:tc>
          <w:tcPr>
            <w:tcW w:w="0" w:type="auto"/>
            <w:vAlign w:val="center"/>
            <w:hideMark/>
          </w:tcPr>
          <w:p w14:paraId="46C1F9E9"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514" w:type="dxa"/>
            <w:vAlign w:val="center"/>
            <w:hideMark/>
          </w:tcPr>
          <w:p w14:paraId="1A9D41B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0.04</w:t>
            </w:r>
          </w:p>
        </w:tc>
        <w:tc>
          <w:tcPr>
            <w:tcW w:w="0" w:type="auto"/>
            <w:vAlign w:val="center"/>
            <w:hideMark/>
          </w:tcPr>
          <w:p w14:paraId="1DEF4D7F"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vAlign w:val="center"/>
            <w:hideMark/>
          </w:tcPr>
          <w:p w14:paraId="007CBB3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-0.05</w:t>
            </w:r>
          </w:p>
        </w:tc>
        <w:tc>
          <w:tcPr>
            <w:tcW w:w="0" w:type="auto"/>
            <w:vAlign w:val="center"/>
            <w:hideMark/>
          </w:tcPr>
          <w:p w14:paraId="4C26B153"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vAlign w:val="center"/>
            <w:hideMark/>
          </w:tcPr>
          <w:p w14:paraId="036DAB87"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0.01</w:t>
            </w:r>
          </w:p>
        </w:tc>
        <w:tc>
          <w:tcPr>
            <w:tcW w:w="0" w:type="auto"/>
            <w:vAlign w:val="center"/>
            <w:hideMark/>
          </w:tcPr>
          <w:p w14:paraId="215A07F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vAlign w:val="center"/>
            <w:hideMark/>
          </w:tcPr>
          <w:p w14:paraId="15F0C290"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0.04</w:t>
            </w:r>
          </w:p>
        </w:tc>
        <w:tc>
          <w:tcPr>
            <w:tcW w:w="0" w:type="auto"/>
            <w:vAlign w:val="center"/>
            <w:hideMark/>
          </w:tcPr>
          <w:p w14:paraId="5064BF64"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vAlign w:val="center"/>
            <w:hideMark/>
          </w:tcPr>
          <w:p w14:paraId="440F3831"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0.01</w:t>
            </w:r>
          </w:p>
        </w:tc>
        <w:tc>
          <w:tcPr>
            <w:tcW w:w="0" w:type="auto"/>
            <w:vAlign w:val="center"/>
            <w:hideMark/>
          </w:tcPr>
          <w:p w14:paraId="16EB99F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vAlign w:val="center"/>
            <w:hideMark/>
          </w:tcPr>
          <w:p w14:paraId="677ECE0E"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-0.02</w:t>
            </w:r>
          </w:p>
        </w:tc>
        <w:tc>
          <w:tcPr>
            <w:tcW w:w="0" w:type="auto"/>
            <w:vAlign w:val="center"/>
            <w:hideMark/>
          </w:tcPr>
          <w:p w14:paraId="06B3DECF"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vAlign w:val="center"/>
            <w:hideMark/>
          </w:tcPr>
          <w:p w14:paraId="3D775802"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-0.03</w:t>
            </w:r>
          </w:p>
        </w:tc>
        <w:tc>
          <w:tcPr>
            <w:tcW w:w="0" w:type="auto"/>
            <w:vAlign w:val="center"/>
            <w:hideMark/>
          </w:tcPr>
          <w:p w14:paraId="26781008"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vAlign w:val="center"/>
            <w:hideMark/>
          </w:tcPr>
          <w:p w14:paraId="670BCB6F"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0" w:type="auto"/>
            <w:vAlign w:val="center"/>
            <w:hideMark/>
          </w:tcPr>
          <w:p w14:paraId="4A885AEF"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vAlign w:val="center"/>
            <w:hideMark/>
          </w:tcPr>
          <w:p w14:paraId="6C155518"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-0.04</w:t>
            </w:r>
          </w:p>
        </w:tc>
      </w:tr>
      <w:tr w:rsidR="00613B33" w:rsidRPr="001E1E45" w14:paraId="76B94772" w14:textId="77777777" w:rsidTr="00C3360E">
        <w:trPr>
          <w:trHeight w:val="255"/>
          <w:tblCellSpacing w:w="0" w:type="dxa"/>
          <w:jc w:val="center"/>
        </w:trPr>
        <w:tc>
          <w:tcPr>
            <w:tcW w:w="0" w:type="auto"/>
            <w:tcBorders>
              <w:bottom w:val="single" w:sz="6" w:space="0" w:color="000000"/>
            </w:tcBorders>
            <w:vAlign w:val="center"/>
            <w:hideMark/>
          </w:tcPr>
          <w:p w14:paraId="6B120977" w14:textId="77777777" w:rsidR="00613B33" w:rsidRPr="00A242F8" w:rsidRDefault="00613B33" w:rsidP="00C3360E">
            <w:pPr>
              <w:spacing w:after="0" w:line="240" w:lineRule="auto"/>
              <w:rPr>
                <w:rFonts w:ascii="Latin Modern Roman" w:eastAsia="Times New Roman" w:hAnsi="Latin Modern Roman" w:cs="Times New Roman"/>
                <w:sz w:val="18"/>
                <w:szCs w:val="18"/>
                <w:lang w:eastAsia="de-DE"/>
              </w:rPr>
            </w:pPr>
          </w:p>
        </w:tc>
        <w:tc>
          <w:tcPr>
            <w:tcW w:w="0" w:type="auto"/>
            <w:tcBorders>
              <w:bottom w:val="single" w:sz="6" w:space="0" w:color="000000"/>
            </w:tcBorders>
            <w:vAlign w:val="center"/>
            <w:hideMark/>
          </w:tcPr>
          <w:p w14:paraId="2E021650"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514" w:type="dxa"/>
            <w:tcBorders>
              <w:bottom w:val="single" w:sz="6" w:space="0" w:color="000000"/>
            </w:tcBorders>
            <w:vAlign w:val="center"/>
            <w:hideMark/>
          </w:tcPr>
          <w:p w14:paraId="211ECD1C"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(0.07)</w:t>
            </w:r>
          </w:p>
        </w:tc>
        <w:tc>
          <w:tcPr>
            <w:tcW w:w="0" w:type="auto"/>
            <w:tcBorders>
              <w:bottom w:val="single" w:sz="6" w:space="0" w:color="000000"/>
            </w:tcBorders>
            <w:vAlign w:val="center"/>
            <w:hideMark/>
          </w:tcPr>
          <w:p w14:paraId="35AF810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tcBorders>
              <w:bottom w:val="single" w:sz="6" w:space="0" w:color="000000"/>
            </w:tcBorders>
            <w:vAlign w:val="center"/>
            <w:hideMark/>
          </w:tcPr>
          <w:p w14:paraId="28F63C9E"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(0.07)</w:t>
            </w:r>
          </w:p>
        </w:tc>
        <w:tc>
          <w:tcPr>
            <w:tcW w:w="0" w:type="auto"/>
            <w:tcBorders>
              <w:bottom w:val="single" w:sz="6" w:space="0" w:color="000000"/>
            </w:tcBorders>
            <w:vAlign w:val="center"/>
            <w:hideMark/>
          </w:tcPr>
          <w:p w14:paraId="09804707"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tcBorders>
              <w:bottom w:val="single" w:sz="6" w:space="0" w:color="000000"/>
            </w:tcBorders>
            <w:vAlign w:val="center"/>
            <w:hideMark/>
          </w:tcPr>
          <w:p w14:paraId="193191E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(0.05)</w:t>
            </w:r>
          </w:p>
        </w:tc>
        <w:tc>
          <w:tcPr>
            <w:tcW w:w="0" w:type="auto"/>
            <w:tcBorders>
              <w:bottom w:val="single" w:sz="6" w:space="0" w:color="000000"/>
            </w:tcBorders>
            <w:vAlign w:val="center"/>
            <w:hideMark/>
          </w:tcPr>
          <w:p w14:paraId="1DB78498"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tcBorders>
              <w:bottom w:val="single" w:sz="6" w:space="0" w:color="000000"/>
            </w:tcBorders>
            <w:vAlign w:val="center"/>
            <w:hideMark/>
          </w:tcPr>
          <w:p w14:paraId="246672BE"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(0.06)</w:t>
            </w:r>
          </w:p>
        </w:tc>
        <w:tc>
          <w:tcPr>
            <w:tcW w:w="0" w:type="auto"/>
            <w:tcBorders>
              <w:bottom w:val="single" w:sz="6" w:space="0" w:color="000000"/>
            </w:tcBorders>
            <w:vAlign w:val="center"/>
            <w:hideMark/>
          </w:tcPr>
          <w:p w14:paraId="094CAD5B"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tcBorders>
              <w:bottom w:val="single" w:sz="6" w:space="0" w:color="000000"/>
            </w:tcBorders>
            <w:vAlign w:val="center"/>
            <w:hideMark/>
          </w:tcPr>
          <w:p w14:paraId="5DA336B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(0.05)</w:t>
            </w:r>
          </w:p>
        </w:tc>
        <w:tc>
          <w:tcPr>
            <w:tcW w:w="0" w:type="auto"/>
            <w:tcBorders>
              <w:bottom w:val="single" w:sz="6" w:space="0" w:color="000000"/>
            </w:tcBorders>
            <w:vAlign w:val="center"/>
            <w:hideMark/>
          </w:tcPr>
          <w:p w14:paraId="5977600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tcBorders>
              <w:bottom w:val="single" w:sz="6" w:space="0" w:color="000000"/>
            </w:tcBorders>
            <w:vAlign w:val="center"/>
            <w:hideMark/>
          </w:tcPr>
          <w:p w14:paraId="53ABB9F1"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(0.05)</w:t>
            </w:r>
          </w:p>
        </w:tc>
        <w:tc>
          <w:tcPr>
            <w:tcW w:w="0" w:type="auto"/>
            <w:tcBorders>
              <w:bottom w:val="single" w:sz="6" w:space="0" w:color="000000"/>
            </w:tcBorders>
            <w:vAlign w:val="center"/>
            <w:hideMark/>
          </w:tcPr>
          <w:p w14:paraId="7E0944BD"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tcBorders>
              <w:bottom w:val="single" w:sz="6" w:space="0" w:color="000000"/>
            </w:tcBorders>
            <w:vAlign w:val="center"/>
            <w:hideMark/>
          </w:tcPr>
          <w:p w14:paraId="449EFFF8"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(0.06)</w:t>
            </w:r>
          </w:p>
        </w:tc>
        <w:tc>
          <w:tcPr>
            <w:tcW w:w="0" w:type="auto"/>
            <w:tcBorders>
              <w:bottom w:val="single" w:sz="6" w:space="0" w:color="000000"/>
            </w:tcBorders>
            <w:vAlign w:val="center"/>
            <w:hideMark/>
          </w:tcPr>
          <w:p w14:paraId="22CEA9EF"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tcBorders>
              <w:bottom w:val="single" w:sz="6" w:space="0" w:color="000000"/>
            </w:tcBorders>
            <w:vAlign w:val="center"/>
            <w:hideMark/>
          </w:tcPr>
          <w:p w14:paraId="6D59EB52"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(0.06)</w:t>
            </w:r>
          </w:p>
        </w:tc>
        <w:tc>
          <w:tcPr>
            <w:tcW w:w="0" w:type="auto"/>
            <w:tcBorders>
              <w:bottom w:val="single" w:sz="6" w:space="0" w:color="000000"/>
            </w:tcBorders>
            <w:vAlign w:val="center"/>
            <w:hideMark/>
          </w:tcPr>
          <w:p w14:paraId="2DA59D27"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p>
        </w:tc>
        <w:tc>
          <w:tcPr>
            <w:tcW w:w="0" w:type="auto"/>
            <w:tcBorders>
              <w:bottom w:val="single" w:sz="6" w:space="0" w:color="000000"/>
            </w:tcBorders>
            <w:vAlign w:val="center"/>
            <w:hideMark/>
          </w:tcPr>
          <w:p w14:paraId="458ABE74"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(0.06)</w:t>
            </w:r>
          </w:p>
        </w:tc>
      </w:tr>
      <w:tr w:rsidR="00613B33" w:rsidRPr="001E1E45" w14:paraId="37A03267" w14:textId="77777777" w:rsidTr="00C3360E">
        <w:trPr>
          <w:trHeight w:val="255"/>
          <w:tblCellSpacing w:w="0" w:type="dxa"/>
          <w:jc w:val="center"/>
        </w:trPr>
        <w:tc>
          <w:tcPr>
            <w:tcW w:w="0" w:type="auto"/>
            <w:tcBorders>
              <w:top w:val="single" w:sz="6" w:space="0" w:color="000000"/>
            </w:tcBorders>
            <w:vAlign w:val="center"/>
            <w:hideMark/>
          </w:tcPr>
          <w:p w14:paraId="3CF6E26A" w14:textId="77777777" w:rsidR="00613B33" w:rsidRPr="00A242F8" w:rsidRDefault="00613B33" w:rsidP="00C3360E">
            <w:pPr>
              <w:spacing w:after="0" w:line="240" w:lineRule="auto"/>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Observations</w:t>
            </w:r>
          </w:p>
        </w:tc>
        <w:tc>
          <w:tcPr>
            <w:tcW w:w="0" w:type="auto"/>
            <w:tcBorders>
              <w:top w:val="single" w:sz="6" w:space="0" w:color="000000"/>
            </w:tcBorders>
            <w:vAlign w:val="center"/>
            <w:hideMark/>
          </w:tcPr>
          <w:p w14:paraId="6658DC0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c>
          <w:tcPr>
            <w:tcW w:w="514" w:type="dxa"/>
            <w:tcBorders>
              <w:top w:val="single" w:sz="6" w:space="0" w:color="000000"/>
            </w:tcBorders>
            <w:vAlign w:val="center"/>
            <w:hideMark/>
          </w:tcPr>
          <w:p w14:paraId="79FE5C2C"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c>
          <w:tcPr>
            <w:tcW w:w="0" w:type="auto"/>
            <w:tcBorders>
              <w:top w:val="single" w:sz="6" w:space="0" w:color="000000"/>
            </w:tcBorders>
            <w:vAlign w:val="center"/>
            <w:hideMark/>
          </w:tcPr>
          <w:p w14:paraId="2E22FD72"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c>
          <w:tcPr>
            <w:tcW w:w="0" w:type="auto"/>
            <w:tcBorders>
              <w:top w:val="single" w:sz="6" w:space="0" w:color="000000"/>
            </w:tcBorders>
            <w:vAlign w:val="center"/>
            <w:hideMark/>
          </w:tcPr>
          <w:p w14:paraId="0F61C2D4"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c>
          <w:tcPr>
            <w:tcW w:w="0" w:type="auto"/>
            <w:tcBorders>
              <w:top w:val="single" w:sz="6" w:space="0" w:color="000000"/>
            </w:tcBorders>
            <w:vAlign w:val="center"/>
            <w:hideMark/>
          </w:tcPr>
          <w:p w14:paraId="347BEC4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c>
          <w:tcPr>
            <w:tcW w:w="0" w:type="auto"/>
            <w:tcBorders>
              <w:top w:val="single" w:sz="6" w:space="0" w:color="000000"/>
            </w:tcBorders>
            <w:vAlign w:val="center"/>
            <w:hideMark/>
          </w:tcPr>
          <w:p w14:paraId="1124082F"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c>
          <w:tcPr>
            <w:tcW w:w="0" w:type="auto"/>
            <w:tcBorders>
              <w:top w:val="single" w:sz="6" w:space="0" w:color="000000"/>
            </w:tcBorders>
            <w:vAlign w:val="center"/>
            <w:hideMark/>
          </w:tcPr>
          <w:p w14:paraId="2E5AA2E1"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c>
          <w:tcPr>
            <w:tcW w:w="0" w:type="auto"/>
            <w:tcBorders>
              <w:top w:val="single" w:sz="6" w:space="0" w:color="000000"/>
            </w:tcBorders>
            <w:vAlign w:val="center"/>
            <w:hideMark/>
          </w:tcPr>
          <w:p w14:paraId="6627673B"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c>
          <w:tcPr>
            <w:tcW w:w="0" w:type="auto"/>
            <w:tcBorders>
              <w:top w:val="single" w:sz="6" w:space="0" w:color="000000"/>
            </w:tcBorders>
            <w:vAlign w:val="center"/>
            <w:hideMark/>
          </w:tcPr>
          <w:p w14:paraId="10B025F1"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c>
          <w:tcPr>
            <w:tcW w:w="0" w:type="auto"/>
            <w:tcBorders>
              <w:top w:val="single" w:sz="6" w:space="0" w:color="000000"/>
            </w:tcBorders>
            <w:vAlign w:val="center"/>
            <w:hideMark/>
          </w:tcPr>
          <w:p w14:paraId="50AC4A6B"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c>
          <w:tcPr>
            <w:tcW w:w="0" w:type="auto"/>
            <w:tcBorders>
              <w:top w:val="single" w:sz="6" w:space="0" w:color="000000"/>
            </w:tcBorders>
            <w:vAlign w:val="center"/>
            <w:hideMark/>
          </w:tcPr>
          <w:p w14:paraId="7CAFC9B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c>
          <w:tcPr>
            <w:tcW w:w="0" w:type="auto"/>
            <w:tcBorders>
              <w:top w:val="single" w:sz="6" w:space="0" w:color="000000"/>
            </w:tcBorders>
            <w:vAlign w:val="center"/>
            <w:hideMark/>
          </w:tcPr>
          <w:p w14:paraId="7EDAE31F"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c>
          <w:tcPr>
            <w:tcW w:w="0" w:type="auto"/>
            <w:tcBorders>
              <w:top w:val="single" w:sz="6" w:space="0" w:color="000000"/>
            </w:tcBorders>
            <w:vAlign w:val="center"/>
            <w:hideMark/>
          </w:tcPr>
          <w:p w14:paraId="2E481486"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c>
          <w:tcPr>
            <w:tcW w:w="0" w:type="auto"/>
            <w:tcBorders>
              <w:top w:val="single" w:sz="6" w:space="0" w:color="000000"/>
            </w:tcBorders>
            <w:vAlign w:val="center"/>
            <w:hideMark/>
          </w:tcPr>
          <w:p w14:paraId="1E4820B0"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c>
          <w:tcPr>
            <w:tcW w:w="0" w:type="auto"/>
            <w:tcBorders>
              <w:top w:val="single" w:sz="6" w:space="0" w:color="000000"/>
            </w:tcBorders>
            <w:vAlign w:val="center"/>
            <w:hideMark/>
          </w:tcPr>
          <w:p w14:paraId="501AC8C4"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c>
          <w:tcPr>
            <w:tcW w:w="0" w:type="auto"/>
            <w:tcBorders>
              <w:top w:val="single" w:sz="6" w:space="0" w:color="000000"/>
            </w:tcBorders>
            <w:vAlign w:val="center"/>
            <w:hideMark/>
          </w:tcPr>
          <w:p w14:paraId="2E94F653"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c>
          <w:tcPr>
            <w:tcW w:w="0" w:type="auto"/>
            <w:tcBorders>
              <w:top w:val="single" w:sz="6" w:space="0" w:color="000000"/>
            </w:tcBorders>
            <w:vAlign w:val="center"/>
            <w:hideMark/>
          </w:tcPr>
          <w:p w14:paraId="23BA8FF1"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c>
          <w:tcPr>
            <w:tcW w:w="0" w:type="auto"/>
            <w:tcBorders>
              <w:top w:val="single" w:sz="6" w:space="0" w:color="000000"/>
            </w:tcBorders>
            <w:vAlign w:val="center"/>
            <w:hideMark/>
          </w:tcPr>
          <w:p w14:paraId="4730D675"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83</w:t>
            </w:r>
          </w:p>
        </w:tc>
      </w:tr>
      <w:tr w:rsidR="00613B33" w:rsidRPr="001E1E45" w14:paraId="1CF92C4E" w14:textId="77777777" w:rsidTr="00C3360E">
        <w:trPr>
          <w:trHeight w:val="255"/>
          <w:tblCellSpacing w:w="0" w:type="dxa"/>
          <w:jc w:val="center"/>
        </w:trPr>
        <w:tc>
          <w:tcPr>
            <w:tcW w:w="0" w:type="auto"/>
            <w:tcBorders>
              <w:bottom w:val="single" w:sz="6" w:space="0" w:color="000000"/>
            </w:tcBorders>
            <w:vAlign w:val="center"/>
            <w:hideMark/>
          </w:tcPr>
          <w:p w14:paraId="17BA627A" w14:textId="77777777" w:rsidR="00613B33" w:rsidRPr="00A242F8" w:rsidRDefault="00613B33" w:rsidP="00C3360E">
            <w:pPr>
              <w:spacing w:after="0" w:line="240" w:lineRule="auto"/>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R2</w:t>
            </w:r>
          </w:p>
        </w:tc>
        <w:tc>
          <w:tcPr>
            <w:tcW w:w="0" w:type="auto"/>
            <w:tcBorders>
              <w:bottom w:val="single" w:sz="6" w:space="0" w:color="000000"/>
            </w:tcBorders>
            <w:vAlign w:val="center"/>
            <w:hideMark/>
          </w:tcPr>
          <w:p w14:paraId="6460999E"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514" w:type="dxa"/>
            <w:tcBorders>
              <w:bottom w:val="single" w:sz="6" w:space="0" w:color="000000"/>
            </w:tcBorders>
            <w:vAlign w:val="center"/>
            <w:hideMark/>
          </w:tcPr>
          <w:p w14:paraId="68F21E2F"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0" w:type="auto"/>
            <w:tcBorders>
              <w:bottom w:val="single" w:sz="6" w:space="0" w:color="000000"/>
            </w:tcBorders>
            <w:vAlign w:val="center"/>
            <w:hideMark/>
          </w:tcPr>
          <w:p w14:paraId="2B7CDE79"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0.01</w:t>
            </w:r>
          </w:p>
        </w:tc>
        <w:tc>
          <w:tcPr>
            <w:tcW w:w="0" w:type="auto"/>
            <w:tcBorders>
              <w:bottom w:val="single" w:sz="6" w:space="0" w:color="000000"/>
            </w:tcBorders>
            <w:vAlign w:val="center"/>
            <w:hideMark/>
          </w:tcPr>
          <w:p w14:paraId="706F82EC"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0.01</w:t>
            </w:r>
          </w:p>
        </w:tc>
        <w:tc>
          <w:tcPr>
            <w:tcW w:w="0" w:type="auto"/>
            <w:tcBorders>
              <w:bottom w:val="single" w:sz="6" w:space="0" w:color="000000"/>
            </w:tcBorders>
            <w:vAlign w:val="center"/>
            <w:hideMark/>
          </w:tcPr>
          <w:p w14:paraId="00FE9611"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0" w:type="auto"/>
            <w:tcBorders>
              <w:bottom w:val="single" w:sz="6" w:space="0" w:color="000000"/>
            </w:tcBorders>
            <w:vAlign w:val="center"/>
            <w:hideMark/>
          </w:tcPr>
          <w:p w14:paraId="41CFC73E"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0" w:type="auto"/>
            <w:tcBorders>
              <w:bottom w:val="single" w:sz="6" w:space="0" w:color="000000"/>
            </w:tcBorders>
            <w:vAlign w:val="center"/>
            <w:hideMark/>
          </w:tcPr>
          <w:p w14:paraId="5B1B70C9"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0.01</w:t>
            </w:r>
          </w:p>
        </w:tc>
        <w:tc>
          <w:tcPr>
            <w:tcW w:w="0" w:type="auto"/>
            <w:tcBorders>
              <w:bottom w:val="single" w:sz="6" w:space="0" w:color="000000"/>
            </w:tcBorders>
            <w:vAlign w:val="center"/>
            <w:hideMark/>
          </w:tcPr>
          <w:p w14:paraId="46C2BD77"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0.01</w:t>
            </w:r>
          </w:p>
        </w:tc>
        <w:tc>
          <w:tcPr>
            <w:tcW w:w="0" w:type="auto"/>
            <w:tcBorders>
              <w:bottom w:val="single" w:sz="6" w:space="0" w:color="000000"/>
            </w:tcBorders>
            <w:vAlign w:val="center"/>
            <w:hideMark/>
          </w:tcPr>
          <w:p w14:paraId="37EB4E08"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0.01</w:t>
            </w:r>
          </w:p>
        </w:tc>
        <w:tc>
          <w:tcPr>
            <w:tcW w:w="0" w:type="auto"/>
            <w:tcBorders>
              <w:bottom w:val="single" w:sz="6" w:space="0" w:color="000000"/>
            </w:tcBorders>
            <w:vAlign w:val="center"/>
            <w:hideMark/>
          </w:tcPr>
          <w:p w14:paraId="591D4D8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0" w:type="auto"/>
            <w:tcBorders>
              <w:bottom w:val="single" w:sz="6" w:space="0" w:color="000000"/>
            </w:tcBorders>
            <w:vAlign w:val="center"/>
            <w:hideMark/>
          </w:tcPr>
          <w:p w14:paraId="54348FA8"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0" w:type="auto"/>
            <w:tcBorders>
              <w:bottom w:val="single" w:sz="6" w:space="0" w:color="000000"/>
            </w:tcBorders>
            <w:vAlign w:val="center"/>
            <w:hideMark/>
          </w:tcPr>
          <w:p w14:paraId="7F7808C7"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0" w:type="auto"/>
            <w:tcBorders>
              <w:bottom w:val="single" w:sz="6" w:space="0" w:color="000000"/>
            </w:tcBorders>
            <w:vAlign w:val="center"/>
            <w:hideMark/>
          </w:tcPr>
          <w:p w14:paraId="3AF5B7F3"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0" w:type="auto"/>
            <w:tcBorders>
              <w:bottom w:val="single" w:sz="6" w:space="0" w:color="000000"/>
            </w:tcBorders>
            <w:vAlign w:val="center"/>
            <w:hideMark/>
          </w:tcPr>
          <w:p w14:paraId="7F9EB047"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0" w:type="auto"/>
            <w:tcBorders>
              <w:bottom w:val="single" w:sz="6" w:space="0" w:color="000000"/>
            </w:tcBorders>
            <w:vAlign w:val="center"/>
            <w:hideMark/>
          </w:tcPr>
          <w:p w14:paraId="05DD8D2E"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0" w:type="auto"/>
            <w:tcBorders>
              <w:bottom w:val="single" w:sz="6" w:space="0" w:color="000000"/>
            </w:tcBorders>
            <w:vAlign w:val="center"/>
            <w:hideMark/>
          </w:tcPr>
          <w:p w14:paraId="1F7DDB14"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0" w:type="auto"/>
            <w:tcBorders>
              <w:bottom w:val="single" w:sz="6" w:space="0" w:color="000000"/>
            </w:tcBorders>
            <w:vAlign w:val="center"/>
            <w:hideMark/>
          </w:tcPr>
          <w:p w14:paraId="3A4A5F0A"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c>
          <w:tcPr>
            <w:tcW w:w="0" w:type="auto"/>
            <w:tcBorders>
              <w:bottom w:val="single" w:sz="6" w:space="0" w:color="000000"/>
            </w:tcBorders>
            <w:vAlign w:val="center"/>
            <w:hideMark/>
          </w:tcPr>
          <w:p w14:paraId="522CD521" w14:textId="77777777" w:rsidR="00613B33" w:rsidRPr="00A242F8" w:rsidRDefault="00613B33" w:rsidP="00C3360E">
            <w:pPr>
              <w:spacing w:after="0" w:line="240" w:lineRule="auto"/>
              <w:jc w:val="center"/>
              <w:rPr>
                <w:rFonts w:ascii="Latin Modern Roman" w:eastAsia="Times New Roman" w:hAnsi="Latin Modern Roman" w:cs="Times New Roman"/>
                <w:sz w:val="18"/>
                <w:szCs w:val="18"/>
                <w:lang w:eastAsia="de-DE"/>
              </w:rPr>
            </w:pPr>
            <w:r w:rsidRPr="00A242F8">
              <w:rPr>
                <w:rFonts w:ascii="Latin Modern Roman" w:eastAsia="Times New Roman" w:hAnsi="Latin Modern Roman" w:cs="Times New Roman"/>
                <w:sz w:val="18"/>
                <w:szCs w:val="18"/>
                <w:lang w:eastAsia="de-DE"/>
              </w:rPr>
              <w:t>0.00</w:t>
            </w:r>
          </w:p>
        </w:tc>
      </w:tr>
      <w:tr w:rsidR="00613B33" w:rsidRPr="00A242F8" w14:paraId="1DD05E18" w14:textId="77777777" w:rsidTr="00C3360E">
        <w:trPr>
          <w:trHeight w:val="255"/>
          <w:tblCellSpacing w:w="0" w:type="dxa"/>
          <w:jc w:val="center"/>
        </w:trPr>
        <w:tc>
          <w:tcPr>
            <w:tcW w:w="10396" w:type="dxa"/>
            <w:gridSpan w:val="19"/>
            <w:vAlign w:val="center"/>
            <w:hideMark/>
          </w:tcPr>
          <w:p w14:paraId="1E257398" w14:textId="77777777" w:rsidR="00613B33" w:rsidRPr="00A242F8" w:rsidRDefault="00613B33" w:rsidP="00C3360E">
            <w:pPr>
              <w:spacing w:after="0" w:line="240" w:lineRule="auto"/>
              <w:rPr>
                <w:rFonts w:ascii="Latin Modern Roman" w:eastAsia="Times New Roman" w:hAnsi="Latin Modern Roman" w:cs="Times New Roman"/>
                <w:sz w:val="18"/>
                <w:szCs w:val="18"/>
                <w:lang w:val="en-US" w:eastAsia="de-DE"/>
              </w:rPr>
            </w:pPr>
            <w:r w:rsidRPr="00A242F8">
              <w:rPr>
                <w:rFonts w:ascii="Latin Modern Roman" w:eastAsia="Times New Roman" w:hAnsi="Latin Modern Roman" w:cs="Times New Roman"/>
                <w:sz w:val="18"/>
                <w:szCs w:val="18"/>
                <w:lang w:val="en-US" w:eastAsia="de-DE"/>
              </w:rPr>
              <w:t>Notes: Standard errors in parentheses, * p &lt; 0.1, ** p &lt; 0.05, *** p &lt; 0.01. Robust SE. The regions with missing observations compared to Table C1 are Crimea and Sevastopol.</w:t>
            </w:r>
          </w:p>
        </w:tc>
      </w:tr>
      <w:tr w:rsidR="00613B33" w:rsidRPr="00A242F8" w14:paraId="3EE55032" w14:textId="77777777" w:rsidTr="00C3360E">
        <w:trPr>
          <w:trHeight w:val="255"/>
          <w:tblCellSpacing w:w="0" w:type="dxa"/>
          <w:jc w:val="center"/>
        </w:trPr>
        <w:tc>
          <w:tcPr>
            <w:tcW w:w="10396" w:type="dxa"/>
            <w:gridSpan w:val="19"/>
            <w:vAlign w:val="center"/>
          </w:tcPr>
          <w:p w14:paraId="5DB68A52" w14:textId="77777777" w:rsidR="00613B33" w:rsidRPr="00A242F8" w:rsidRDefault="00613B33" w:rsidP="00C3360E">
            <w:pPr>
              <w:pStyle w:val="Listenabsatz"/>
              <w:jc w:val="both"/>
              <w:rPr>
                <w:rFonts w:ascii="Latin Modern Roman" w:hAnsi="Latin Modern Roman"/>
                <w:sz w:val="18"/>
                <w:szCs w:val="18"/>
                <w:lang w:val="en-US"/>
              </w:rPr>
            </w:pPr>
          </w:p>
        </w:tc>
      </w:tr>
    </w:tbl>
    <w:p w14:paraId="7E4250EC" w14:textId="77777777" w:rsidR="00613B33" w:rsidRPr="00637B5F" w:rsidRDefault="00613B33" w:rsidP="00613B33">
      <w:pPr>
        <w:jc w:val="both"/>
        <w:rPr>
          <w:rFonts w:ascii="Latin Modern Roman" w:hAnsi="Latin Modern Roman"/>
          <w:sz w:val="20"/>
          <w:szCs w:val="20"/>
          <w:lang w:val="en-US"/>
        </w:rPr>
      </w:pPr>
      <w:r w:rsidRPr="00637B5F">
        <w:rPr>
          <w:rFonts w:ascii="Latin Modern Roman" w:hAnsi="Latin Modern Roman"/>
          <w:sz w:val="20"/>
          <w:szCs w:val="20"/>
          <w:lang w:val="en-US"/>
        </w:rPr>
        <w:t>The analysis confirms our interpretation of the proximity to elections as a natural experiment and reassures us of the causal interpretation of our findings.</w:t>
      </w:r>
    </w:p>
    <w:p w14:paraId="512767DE" w14:textId="77777777" w:rsidR="00613B33" w:rsidRPr="003F30C1" w:rsidRDefault="00613B33" w:rsidP="00613B33">
      <w:pPr>
        <w:jc w:val="both"/>
        <w:rPr>
          <w:rFonts w:ascii="Latin Modern Roman" w:hAnsi="Latin Modern Roman"/>
          <w:b/>
          <w:sz w:val="20"/>
          <w:szCs w:val="20"/>
          <w:lang w:val="en-US"/>
        </w:rPr>
      </w:pPr>
      <w:r w:rsidRPr="003F30C1">
        <w:rPr>
          <w:rFonts w:ascii="Latin Modern Roman" w:hAnsi="Latin Modern Roman"/>
          <w:b/>
          <w:sz w:val="20"/>
          <w:szCs w:val="20"/>
          <w:lang w:val="en-US"/>
        </w:rPr>
        <w:t>Note: Components of the Petrov/Titkov index</w:t>
      </w:r>
    </w:p>
    <w:p w14:paraId="6FC88C7B" w14:textId="77777777" w:rsidR="00613B33" w:rsidRPr="003F30C1" w:rsidRDefault="00613B33" w:rsidP="00613B33">
      <w:pPr>
        <w:pStyle w:val="Listenabsatz"/>
        <w:numPr>
          <w:ilvl w:val="0"/>
          <w:numId w:val="6"/>
        </w:numPr>
        <w:jc w:val="both"/>
        <w:rPr>
          <w:rFonts w:ascii="Latin Modern Roman" w:hAnsi="Latin Modern Roman"/>
          <w:sz w:val="20"/>
          <w:szCs w:val="20"/>
          <w:lang w:val="en-US"/>
        </w:rPr>
      </w:pPr>
      <w:r w:rsidRPr="003F30C1">
        <w:rPr>
          <w:rFonts w:ascii="Latin Modern Roman" w:hAnsi="Latin Modern Roman"/>
          <w:sz w:val="20"/>
          <w:szCs w:val="20"/>
          <w:lang w:val="en-US"/>
        </w:rPr>
        <w:t>Free press: independence of the media</w:t>
      </w:r>
    </w:p>
    <w:p w14:paraId="7BC24CE8" w14:textId="77777777" w:rsidR="00613B33" w:rsidRPr="003F30C1" w:rsidRDefault="00613B33" w:rsidP="00613B33">
      <w:pPr>
        <w:pStyle w:val="Listenabsatz"/>
        <w:numPr>
          <w:ilvl w:val="0"/>
          <w:numId w:val="6"/>
        </w:numPr>
        <w:jc w:val="both"/>
        <w:rPr>
          <w:rFonts w:ascii="Latin Modern Roman" w:hAnsi="Latin Modern Roman"/>
          <w:sz w:val="20"/>
          <w:szCs w:val="20"/>
          <w:lang w:val="en-US"/>
        </w:rPr>
      </w:pPr>
      <w:r w:rsidRPr="003F30C1">
        <w:rPr>
          <w:rFonts w:ascii="Latin Modern Roman" w:hAnsi="Latin Modern Roman"/>
          <w:sz w:val="20"/>
          <w:szCs w:val="20"/>
          <w:lang w:val="en-US"/>
        </w:rPr>
        <w:t xml:space="preserve">Election quality: </w:t>
      </w:r>
      <w:r>
        <w:rPr>
          <w:rFonts w:ascii="Latin Modern Roman" w:hAnsi="Latin Modern Roman"/>
          <w:sz w:val="20"/>
          <w:szCs w:val="20"/>
          <w:lang w:val="en-US"/>
        </w:rPr>
        <w:t xml:space="preserve">the </w:t>
      </w:r>
      <w:r w:rsidRPr="003F30C1">
        <w:rPr>
          <w:rFonts w:ascii="Latin Modern Roman" w:hAnsi="Latin Modern Roman"/>
          <w:sz w:val="20"/>
          <w:szCs w:val="20"/>
          <w:lang w:val="en-US"/>
        </w:rPr>
        <w:t>extent to which elections in the region can be characterized as free and fair;</w:t>
      </w:r>
    </w:p>
    <w:p w14:paraId="680D54CB" w14:textId="77777777" w:rsidR="00613B33" w:rsidRPr="003F30C1" w:rsidRDefault="00613B33" w:rsidP="00613B33">
      <w:pPr>
        <w:pStyle w:val="Listenabsatz"/>
        <w:numPr>
          <w:ilvl w:val="0"/>
          <w:numId w:val="6"/>
        </w:numPr>
        <w:jc w:val="both"/>
        <w:rPr>
          <w:rFonts w:ascii="Latin Modern Roman" w:hAnsi="Latin Modern Roman"/>
          <w:sz w:val="20"/>
          <w:szCs w:val="20"/>
          <w:lang w:val="en-US"/>
        </w:rPr>
      </w:pPr>
      <w:r w:rsidRPr="003F30C1">
        <w:rPr>
          <w:rFonts w:ascii="Latin Modern Roman" w:hAnsi="Latin Modern Roman"/>
          <w:sz w:val="20"/>
          <w:szCs w:val="20"/>
          <w:lang w:val="en-US"/>
        </w:rPr>
        <w:t>Political system: checks and balances, independence of the judiciary;</w:t>
      </w:r>
    </w:p>
    <w:p w14:paraId="627ADAF7" w14:textId="77777777" w:rsidR="00613B33" w:rsidRPr="003F30C1" w:rsidRDefault="00613B33" w:rsidP="00613B33">
      <w:pPr>
        <w:pStyle w:val="Listenabsatz"/>
        <w:numPr>
          <w:ilvl w:val="0"/>
          <w:numId w:val="6"/>
        </w:numPr>
        <w:jc w:val="both"/>
        <w:rPr>
          <w:rFonts w:ascii="Latin Modern Roman" w:hAnsi="Latin Modern Roman"/>
          <w:sz w:val="20"/>
          <w:szCs w:val="20"/>
          <w:lang w:val="en-US"/>
        </w:rPr>
      </w:pPr>
      <w:r w:rsidRPr="003F30C1">
        <w:rPr>
          <w:rFonts w:ascii="Latin Modern Roman" w:hAnsi="Latin Modern Roman"/>
          <w:sz w:val="20"/>
          <w:szCs w:val="20"/>
          <w:lang w:val="en-US"/>
        </w:rPr>
        <w:t>Pluralism: stable party system, the multiplicity of political parties in the regional parliament;</w:t>
      </w:r>
    </w:p>
    <w:p w14:paraId="1E2F332A" w14:textId="77777777" w:rsidR="00613B33" w:rsidRPr="003F30C1" w:rsidRDefault="00613B33" w:rsidP="00613B33">
      <w:pPr>
        <w:pStyle w:val="Listenabsatz"/>
        <w:numPr>
          <w:ilvl w:val="0"/>
          <w:numId w:val="6"/>
        </w:numPr>
        <w:jc w:val="both"/>
        <w:rPr>
          <w:rFonts w:ascii="Latin Modern Roman" w:hAnsi="Latin Modern Roman"/>
          <w:sz w:val="20"/>
          <w:szCs w:val="20"/>
          <w:lang w:val="en-US"/>
        </w:rPr>
      </w:pPr>
      <w:r w:rsidRPr="003F30C1">
        <w:rPr>
          <w:rFonts w:ascii="Latin Modern Roman" w:hAnsi="Latin Modern Roman"/>
          <w:sz w:val="20"/>
          <w:szCs w:val="20"/>
          <w:lang w:val="en-US"/>
        </w:rPr>
        <w:t>Local elites: multiplicity of elites, rotation of elite groups at power;</w:t>
      </w:r>
    </w:p>
    <w:p w14:paraId="13CA8849" w14:textId="77777777" w:rsidR="00613B33" w:rsidRPr="003F30C1" w:rsidRDefault="00613B33" w:rsidP="00613B33">
      <w:pPr>
        <w:pStyle w:val="Listenabsatz"/>
        <w:numPr>
          <w:ilvl w:val="0"/>
          <w:numId w:val="6"/>
        </w:numPr>
        <w:jc w:val="both"/>
        <w:rPr>
          <w:rFonts w:ascii="Latin Modern Roman" w:hAnsi="Latin Modern Roman"/>
          <w:sz w:val="20"/>
          <w:szCs w:val="20"/>
          <w:lang w:val="en-US"/>
        </w:rPr>
      </w:pPr>
      <w:r w:rsidRPr="003F30C1">
        <w:rPr>
          <w:rFonts w:ascii="Latin Modern Roman" w:hAnsi="Latin Modern Roman"/>
          <w:sz w:val="20"/>
          <w:szCs w:val="20"/>
          <w:lang w:val="en-US"/>
        </w:rPr>
        <w:t>Control of corruption: the spread of bribery, informal connections between economic and political actors;</w:t>
      </w:r>
    </w:p>
    <w:p w14:paraId="5BDB0A92" w14:textId="77777777" w:rsidR="00613B33" w:rsidRPr="003F30C1" w:rsidRDefault="00613B33" w:rsidP="00613B33">
      <w:pPr>
        <w:pStyle w:val="Listenabsatz"/>
        <w:numPr>
          <w:ilvl w:val="0"/>
          <w:numId w:val="6"/>
        </w:numPr>
        <w:jc w:val="both"/>
        <w:rPr>
          <w:rFonts w:ascii="Latin Modern Roman" w:hAnsi="Latin Modern Roman"/>
          <w:sz w:val="20"/>
          <w:szCs w:val="20"/>
          <w:lang w:val="en-US"/>
        </w:rPr>
      </w:pPr>
      <w:r w:rsidRPr="003F30C1">
        <w:rPr>
          <w:rFonts w:ascii="Latin Modern Roman" w:hAnsi="Latin Modern Roman"/>
          <w:sz w:val="20"/>
          <w:szCs w:val="20"/>
          <w:lang w:val="en-US"/>
        </w:rPr>
        <w:t>Civil society: the strength of the civil society in the region;</w:t>
      </w:r>
    </w:p>
    <w:p w14:paraId="7D3169C3" w14:textId="77777777" w:rsidR="00613B33" w:rsidRPr="003F30C1" w:rsidRDefault="00613B33" w:rsidP="00613B33">
      <w:pPr>
        <w:pStyle w:val="Listenabsatz"/>
        <w:numPr>
          <w:ilvl w:val="0"/>
          <w:numId w:val="6"/>
        </w:numPr>
        <w:jc w:val="both"/>
        <w:rPr>
          <w:rFonts w:ascii="Latin Modern Roman" w:hAnsi="Latin Modern Roman"/>
          <w:sz w:val="20"/>
          <w:szCs w:val="20"/>
          <w:lang w:val="en-US"/>
        </w:rPr>
      </w:pPr>
      <w:r w:rsidRPr="003F30C1">
        <w:rPr>
          <w:rFonts w:ascii="Latin Modern Roman" w:hAnsi="Latin Modern Roman"/>
          <w:sz w:val="20"/>
          <w:szCs w:val="20"/>
          <w:lang w:val="en-US"/>
        </w:rPr>
        <w:t>Openness: transparency of the regional politics, isolation of the region from the national politics;</w:t>
      </w:r>
    </w:p>
    <w:p w14:paraId="6BB35F2A" w14:textId="77777777" w:rsidR="00613B33" w:rsidRPr="003F30C1" w:rsidRDefault="00613B33" w:rsidP="00613B33">
      <w:pPr>
        <w:pStyle w:val="Listenabsatz"/>
        <w:numPr>
          <w:ilvl w:val="0"/>
          <w:numId w:val="6"/>
        </w:numPr>
        <w:jc w:val="both"/>
        <w:rPr>
          <w:rFonts w:ascii="Latin Modern Roman" w:hAnsi="Latin Modern Roman"/>
          <w:sz w:val="20"/>
          <w:szCs w:val="20"/>
          <w:lang w:val="en-US"/>
        </w:rPr>
      </w:pPr>
      <w:r w:rsidRPr="003F30C1">
        <w:rPr>
          <w:rFonts w:ascii="Latin Modern Roman" w:hAnsi="Latin Modern Roman"/>
          <w:sz w:val="20"/>
          <w:szCs w:val="20"/>
          <w:lang w:val="en-US"/>
        </w:rPr>
        <w:t>Economic liberalization: protection of property rights in the region.</w:t>
      </w:r>
    </w:p>
    <w:p w14:paraId="5B56BBE0" w14:textId="77777777" w:rsidR="00613B33" w:rsidRPr="003F30C1" w:rsidRDefault="00613B33" w:rsidP="00613B33">
      <w:pPr>
        <w:ind w:left="360"/>
        <w:jc w:val="both"/>
        <w:rPr>
          <w:rFonts w:ascii="Latin Modern Roman" w:hAnsi="Latin Modern Roman"/>
          <w:sz w:val="20"/>
          <w:szCs w:val="20"/>
          <w:lang w:val="en-US"/>
        </w:rPr>
      </w:pPr>
      <w:r w:rsidRPr="003F30C1">
        <w:rPr>
          <w:rFonts w:ascii="Latin Modern Roman" w:hAnsi="Latin Modern Roman"/>
          <w:sz w:val="20"/>
          <w:szCs w:val="20"/>
          <w:lang w:val="en-US"/>
        </w:rPr>
        <w:t>The earlier Petrov/Titkov index contained one additional sub-component: local self-governance, but it was no longer available for later years that we use in our ana</w:t>
      </w:r>
      <w:r>
        <w:rPr>
          <w:rFonts w:ascii="Latin Modern Roman" w:hAnsi="Latin Modern Roman"/>
          <w:sz w:val="20"/>
          <w:szCs w:val="20"/>
          <w:lang w:val="en-US"/>
        </w:rPr>
        <w:t>ly</w:t>
      </w:r>
      <w:r w:rsidRPr="003F30C1">
        <w:rPr>
          <w:rFonts w:ascii="Latin Modern Roman" w:hAnsi="Latin Modern Roman"/>
          <w:sz w:val="20"/>
          <w:szCs w:val="20"/>
          <w:lang w:val="en-US"/>
        </w:rPr>
        <w:t xml:space="preserve">sis (5-year average for 2010-2014, data has been provided to us by the authors of the original index). </w:t>
      </w:r>
    </w:p>
    <w:p w14:paraId="297276B0" w14:textId="77777777" w:rsidR="00613B33" w:rsidRPr="003F30C1" w:rsidRDefault="00613B33" w:rsidP="00613B33">
      <w:pPr>
        <w:spacing w:after="0" w:line="240" w:lineRule="auto"/>
        <w:jc w:val="both"/>
        <w:rPr>
          <w:rFonts w:ascii="Latin Modern Roman" w:hAnsi="Latin Modern Roman" w:cs="Times New Roman"/>
          <w:sz w:val="20"/>
          <w:szCs w:val="20"/>
          <w:lang w:val="en-US"/>
        </w:rPr>
      </w:pPr>
    </w:p>
    <w:p w14:paraId="27401083" w14:textId="77777777" w:rsidR="00613B33" w:rsidRPr="003F30C1" w:rsidRDefault="00613B33" w:rsidP="00613B33">
      <w:pPr>
        <w:spacing w:after="0" w:line="240" w:lineRule="auto"/>
        <w:jc w:val="both"/>
        <w:rPr>
          <w:rFonts w:ascii="Latin Modern Roman" w:hAnsi="Latin Modern Roman" w:cs="Times New Roman"/>
          <w:sz w:val="20"/>
          <w:szCs w:val="20"/>
          <w:lang w:val="en-US"/>
        </w:rPr>
      </w:pPr>
    </w:p>
    <w:p w14:paraId="5FC62B82" w14:textId="77777777" w:rsidR="00613B33" w:rsidRPr="00637B5F" w:rsidRDefault="00613B33" w:rsidP="00613B33">
      <w:pPr>
        <w:rPr>
          <w:rFonts w:ascii="Latin Modern Roman" w:hAnsi="Latin Modern Roman"/>
          <w:sz w:val="20"/>
          <w:szCs w:val="20"/>
          <w:lang w:val="en-US"/>
        </w:rPr>
      </w:pPr>
      <w:r w:rsidRPr="00637B5F">
        <w:rPr>
          <w:rFonts w:ascii="Latin Modern Roman" w:hAnsi="Latin Modern Roman"/>
          <w:sz w:val="20"/>
          <w:szCs w:val="20"/>
          <w:lang w:val="en-US"/>
        </w:rPr>
        <w:br w:type="page"/>
      </w:r>
    </w:p>
    <w:p w14:paraId="508003BA" w14:textId="77777777" w:rsidR="00613B33" w:rsidRPr="005052D9" w:rsidRDefault="00613B33" w:rsidP="00613B33">
      <w:pPr>
        <w:pStyle w:val="berschrift2"/>
        <w:rPr>
          <w:b/>
          <w:sz w:val="20"/>
          <w:szCs w:val="20"/>
          <w:lang w:val="en-US"/>
        </w:rPr>
      </w:pPr>
      <w:r w:rsidRPr="005052D9">
        <w:rPr>
          <w:b/>
          <w:sz w:val="20"/>
          <w:szCs w:val="20"/>
          <w:lang w:val="en-US"/>
        </w:rPr>
        <w:lastRenderedPageBreak/>
        <w:t>D: Regional response to an independent media request</w:t>
      </w:r>
    </w:p>
    <w:p w14:paraId="5A1BC6D1" w14:textId="624D25A7" w:rsidR="00613B33" w:rsidRPr="005052D9" w:rsidRDefault="00613B33" w:rsidP="00613B33">
      <w:pPr>
        <w:jc w:val="both"/>
        <w:rPr>
          <w:rFonts w:ascii="Latin Modern Roman" w:hAnsi="Latin Modern Roman"/>
          <w:sz w:val="20"/>
          <w:szCs w:val="20"/>
          <w:lang w:val="en-US"/>
        </w:rPr>
      </w:pPr>
      <w:r w:rsidRPr="005052D9">
        <w:rPr>
          <w:rFonts w:ascii="Latin Modern Roman" w:hAnsi="Latin Modern Roman"/>
          <w:sz w:val="20"/>
          <w:szCs w:val="20"/>
          <w:lang w:val="en-US"/>
        </w:rPr>
        <w:t xml:space="preserve">We augment our baseline analysis by a further test reflecting a specific episode of the COVID-19 pandemic in Russia when the regional authorities were given one additional opportunity to misinform the public about the real COVID-19 mortality. In June, Mediazona, one of very few Russian independent media, submitted a request to all regional administrations to report the all-cause mortality for the month of May. The reason for the request was the growing concerns about data manipulation and the safety of the referendum discussed among the more regime-critical parts of Russian society. Some regions responded to the request; others refused to provide any additional data or ignored the request. On the 30th of June, a day before the referendum’s end, Mediazona published the results of the data inquiry. We use its information to construct two additional dependent variables: the ‘responsiveness’ dummy (whether a region responded to the request or not) and the under-reporting indicator (the </w:t>
      </w:r>
      <w:r w:rsidR="00711066">
        <w:rPr>
          <w:rFonts w:ascii="Latin Modern Roman" w:hAnsi="Latin Modern Roman"/>
          <w:sz w:val="20"/>
          <w:szCs w:val="20"/>
          <w:lang w:val="en-US"/>
        </w:rPr>
        <w:t xml:space="preserve">percentage </w:t>
      </w:r>
      <w:r w:rsidRPr="005052D9">
        <w:rPr>
          <w:rFonts w:ascii="Latin Modern Roman" w:hAnsi="Latin Modern Roman"/>
          <w:sz w:val="20"/>
          <w:szCs w:val="20"/>
          <w:lang w:val="en-US"/>
        </w:rPr>
        <w:t>differences between</w:t>
      </w:r>
      <w:r w:rsidR="005C4525" w:rsidRPr="003173DE">
        <w:rPr>
          <w:rFonts w:ascii="Cambria" w:hAnsi="Cambria"/>
          <w:sz w:val="20"/>
          <w:szCs w:val="20"/>
          <w:lang w:val="en-US"/>
        </w:rPr>
        <w:t xml:space="preserve"> </w:t>
      </w:r>
      <w:r w:rsidRPr="005052D9">
        <w:rPr>
          <w:rFonts w:ascii="Latin Modern Roman" w:hAnsi="Latin Modern Roman"/>
          <w:sz w:val="20"/>
          <w:szCs w:val="20"/>
          <w:lang w:val="en-US"/>
        </w:rPr>
        <w:t xml:space="preserve">preliminary estimates of </w:t>
      </w:r>
      <w:r w:rsidR="005C4525">
        <w:rPr>
          <w:rFonts w:ascii="Latin Modern Roman" w:hAnsi="Latin Modern Roman"/>
          <w:sz w:val="20"/>
          <w:szCs w:val="20"/>
          <w:lang w:val="en-US"/>
        </w:rPr>
        <w:t>excess</w:t>
      </w:r>
      <w:r w:rsidRPr="005052D9">
        <w:rPr>
          <w:rFonts w:ascii="Latin Modern Roman" w:hAnsi="Latin Modern Roman"/>
          <w:sz w:val="20"/>
          <w:szCs w:val="20"/>
          <w:lang w:val="en-US"/>
        </w:rPr>
        <w:t xml:space="preserve"> mortality</w:t>
      </w:r>
      <w:r w:rsidR="005C4525">
        <w:rPr>
          <w:rFonts w:ascii="Latin Modern Roman" w:hAnsi="Latin Modern Roman"/>
          <w:sz w:val="20"/>
          <w:szCs w:val="20"/>
          <w:lang w:val="en-US"/>
        </w:rPr>
        <w:t xml:space="preserve"> in May</w:t>
      </w:r>
      <w:r w:rsidRPr="005052D9">
        <w:rPr>
          <w:rFonts w:ascii="Latin Modern Roman" w:hAnsi="Latin Modern Roman"/>
          <w:sz w:val="20"/>
          <w:szCs w:val="20"/>
          <w:lang w:val="en-US"/>
        </w:rPr>
        <w:t xml:space="preserve"> </w:t>
      </w:r>
      <w:r w:rsidR="005C4525">
        <w:rPr>
          <w:rFonts w:ascii="Latin Modern Roman" w:hAnsi="Latin Modern Roman"/>
          <w:sz w:val="20"/>
          <w:szCs w:val="20"/>
          <w:lang w:val="en-US"/>
        </w:rPr>
        <w:t xml:space="preserve">reported </w:t>
      </w:r>
      <w:r w:rsidRPr="005052D9">
        <w:rPr>
          <w:rFonts w:ascii="Latin Modern Roman" w:hAnsi="Latin Modern Roman"/>
          <w:sz w:val="20"/>
          <w:szCs w:val="20"/>
          <w:lang w:val="en-US"/>
        </w:rPr>
        <w:t>in the Mediazona article and the</w:t>
      </w:r>
      <w:r w:rsidR="005C4525">
        <w:rPr>
          <w:rFonts w:ascii="Latin Modern Roman" w:hAnsi="Latin Modern Roman"/>
          <w:sz w:val="20"/>
          <w:szCs w:val="20"/>
          <w:lang w:val="en-US"/>
        </w:rPr>
        <w:t xml:space="preserve"> excess mortality in May </w:t>
      </w:r>
      <w:r w:rsidR="00492AE8">
        <w:rPr>
          <w:rFonts w:ascii="Latin Modern Roman" w:hAnsi="Latin Modern Roman"/>
          <w:sz w:val="20"/>
          <w:szCs w:val="20"/>
          <w:lang w:val="en-US"/>
        </w:rPr>
        <w:t xml:space="preserve">that we </w:t>
      </w:r>
      <w:r w:rsidR="005C4525">
        <w:rPr>
          <w:rFonts w:ascii="Latin Modern Roman" w:hAnsi="Latin Modern Roman"/>
          <w:sz w:val="20"/>
          <w:szCs w:val="20"/>
          <w:lang w:val="en-US"/>
        </w:rPr>
        <w:t>assembled using</w:t>
      </w:r>
      <w:r w:rsidRPr="005052D9">
        <w:rPr>
          <w:rFonts w:ascii="Latin Modern Roman" w:hAnsi="Latin Modern Roman"/>
          <w:sz w:val="20"/>
          <w:szCs w:val="20"/>
          <w:lang w:val="en-US"/>
        </w:rPr>
        <w:t xml:space="preserve"> final </w:t>
      </w:r>
      <w:r w:rsidR="005C4525">
        <w:rPr>
          <w:rFonts w:ascii="Latin Modern Roman" w:hAnsi="Latin Modern Roman"/>
          <w:sz w:val="20"/>
          <w:szCs w:val="20"/>
          <w:lang w:val="en-US"/>
        </w:rPr>
        <w:t xml:space="preserve">official </w:t>
      </w:r>
      <w:r w:rsidRPr="005052D9">
        <w:rPr>
          <w:rFonts w:ascii="Latin Modern Roman" w:hAnsi="Latin Modern Roman"/>
          <w:sz w:val="20"/>
          <w:szCs w:val="20"/>
          <w:lang w:val="en-US"/>
        </w:rPr>
        <w:t>mortality data published by Rosstat</w:t>
      </w:r>
      <w:r w:rsidR="005C4525">
        <w:rPr>
          <w:rFonts w:ascii="Latin Modern Roman" w:hAnsi="Latin Modern Roman"/>
          <w:sz w:val="20"/>
          <w:szCs w:val="20"/>
          <w:lang w:val="en-US"/>
        </w:rPr>
        <w:t xml:space="preserve"> after the referendum</w:t>
      </w:r>
      <w:r w:rsidRPr="005052D9">
        <w:rPr>
          <w:rFonts w:ascii="Latin Modern Roman" w:hAnsi="Latin Modern Roman"/>
          <w:sz w:val="20"/>
          <w:szCs w:val="20"/>
          <w:lang w:val="en-US"/>
        </w:rPr>
        <w:t>), which shows the extent to which Russian regional governors hid excess mortality in their responses prior to the referendum.</w:t>
      </w:r>
      <w:r w:rsidR="005C4525">
        <w:rPr>
          <w:rStyle w:val="Funotenzeichen"/>
          <w:rFonts w:ascii="Latin Modern Roman" w:hAnsi="Latin Modern Roman"/>
          <w:sz w:val="20"/>
          <w:szCs w:val="20"/>
          <w:lang w:val="en-US"/>
        </w:rPr>
        <w:footnoteReference w:id="3"/>
      </w:r>
    </w:p>
    <w:p w14:paraId="76A72E5E" w14:textId="77777777" w:rsidR="00613B33" w:rsidRPr="005052D9" w:rsidRDefault="00613B33" w:rsidP="00613B33">
      <w:pPr>
        <w:jc w:val="both"/>
        <w:rPr>
          <w:rFonts w:ascii="Latin Modern Roman" w:hAnsi="Latin Modern Roman"/>
          <w:sz w:val="20"/>
          <w:szCs w:val="20"/>
          <w:lang w:val="en-US"/>
        </w:rPr>
      </w:pPr>
      <w:r w:rsidRPr="005052D9">
        <w:rPr>
          <w:rFonts w:ascii="Latin Modern Roman" w:hAnsi="Latin Modern Roman"/>
          <w:sz w:val="20"/>
          <w:szCs w:val="20"/>
          <w:lang w:val="en-US"/>
        </w:rPr>
        <w:t>In the case of this media request, regions had a much larger ability to falsify data than in the case of official publications of Rosstat we referred to in the previous section. This is because the information provided to the media from the point of view of the bureaucracy is, essentially, cheap talk, while Rosstat information is derived from aggregating data from death certificates, and issuing a death certificate is a legal act with important bureaucratic consequences. The report of Mediazona ultimately attracted little public attention, probably because regions indeed managed to successfully manipulate the information they provided to the independent media outlet.</w:t>
      </w:r>
    </w:p>
    <w:p w14:paraId="06AAC250" w14:textId="77777777" w:rsidR="00613B33" w:rsidRPr="0020028D" w:rsidRDefault="00613B33" w:rsidP="00613B33">
      <w:pPr>
        <w:jc w:val="both"/>
        <w:rPr>
          <w:rFonts w:ascii="Latin Modern Roman" w:hAnsi="Latin Modern Roman"/>
          <w:sz w:val="20"/>
          <w:szCs w:val="20"/>
          <w:lang w:val="en-US"/>
        </w:rPr>
      </w:pPr>
      <w:r w:rsidRPr="005052D9">
        <w:rPr>
          <w:rFonts w:ascii="Latin Modern Roman" w:hAnsi="Latin Modern Roman"/>
          <w:sz w:val="20"/>
          <w:szCs w:val="20"/>
          <w:lang w:val="en-US"/>
        </w:rPr>
        <w:t>We estimate a simple linear regression in a cross-section of regions with the proximity to elections as the main explanatory variable, and we use the log of the population as the control for the capacity and experience in dealing with journalists’ requests since they are common in larger regions. We observe two results (Table D1). First, regions with more proximate elections were more likely to respond to the Mediazona requests. The results are even stronger if we exclude regions with zero excess mortality in May 2020, according to the ex-post Rosstat data. These regions could have been under higher suspicion of under-reporting and, hence, were motivated to dispel this suspicion even more in case of approaching elections. Second, regions, which reported data to Mediazona, hid the actual extent of the crisis by under-reporting the excess mortality as opposed to the later reports of Rosstat. While under-reporting of the preliminary data can be driven by</w:t>
      </w:r>
      <w:r w:rsidRPr="0020028D">
        <w:rPr>
          <w:rFonts w:ascii="Latin Modern Roman" w:hAnsi="Latin Modern Roman"/>
          <w:sz w:val="20"/>
          <w:szCs w:val="20"/>
          <w:lang w:val="en-US"/>
        </w:rPr>
        <w:t xml:space="preserve"> the inaccuracies in technical difficulties of the process (rather than manipulations), it is hardly reasonable to expect these inaccuracies to cluster in regions with more proximate elections. The population control predicts a higher rate of responsiveness in larger regions as we expected but does not explain the under-reporting, therefore, rejecting an argument that under-reporting mig</w:t>
      </w:r>
      <w:r>
        <w:rPr>
          <w:rFonts w:ascii="Latin Modern Roman" w:hAnsi="Latin Modern Roman"/>
          <w:sz w:val="20"/>
          <w:szCs w:val="20"/>
          <w:lang w:val="en-US"/>
        </w:rPr>
        <w:t>ht</w:t>
      </w:r>
      <w:r w:rsidRPr="0020028D">
        <w:rPr>
          <w:rFonts w:ascii="Latin Modern Roman" w:hAnsi="Latin Modern Roman"/>
          <w:sz w:val="20"/>
          <w:szCs w:val="20"/>
          <w:lang w:val="en-US"/>
        </w:rPr>
        <w:t xml:space="preserve"> be driven by the regional capacity.</w:t>
      </w:r>
    </w:p>
    <w:p w14:paraId="5FED3BC5" w14:textId="44AA6CEF" w:rsidR="00613B33" w:rsidRPr="0020028D" w:rsidRDefault="00613B33" w:rsidP="00613B33">
      <w:pPr>
        <w:jc w:val="both"/>
        <w:rPr>
          <w:rFonts w:ascii="Latin Modern Roman" w:hAnsi="Latin Modern Roman"/>
          <w:sz w:val="20"/>
          <w:szCs w:val="20"/>
          <w:lang w:val="en-US"/>
        </w:rPr>
      </w:pPr>
      <w:r w:rsidRPr="0020028D">
        <w:rPr>
          <w:rFonts w:ascii="Latin Modern Roman" w:hAnsi="Latin Modern Roman"/>
          <w:sz w:val="20"/>
          <w:szCs w:val="20"/>
          <w:lang w:val="en-US"/>
        </w:rPr>
        <w:t xml:space="preserve">The results indicate a complex game of information manipulation Russian governors had to play prior to the referendum. Because non-responding to the journalist inquiry could have undermined the trust in the official COVID-19 statistics, the regions with approaching elections should have been more likely to respond. Otherwise, full opaqueness and rejection to provide any information would most likely result in </w:t>
      </w:r>
      <w:r>
        <w:rPr>
          <w:rFonts w:ascii="Latin Modern Roman" w:hAnsi="Latin Modern Roman"/>
          <w:sz w:val="20"/>
          <w:szCs w:val="20"/>
          <w:lang w:val="en-US"/>
        </w:rPr>
        <w:t xml:space="preserve">a </w:t>
      </w:r>
      <w:r w:rsidRPr="0020028D">
        <w:rPr>
          <w:rFonts w:ascii="Latin Modern Roman" w:hAnsi="Latin Modern Roman"/>
          <w:sz w:val="20"/>
          <w:szCs w:val="20"/>
          <w:lang w:val="en-US"/>
        </w:rPr>
        <w:t xml:space="preserve">complete loss of public trust (especially given </w:t>
      </w:r>
      <w:r>
        <w:rPr>
          <w:rFonts w:ascii="Latin Modern Roman" w:hAnsi="Latin Modern Roman"/>
          <w:sz w:val="20"/>
          <w:szCs w:val="20"/>
          <w:lang w:val="en-US"/>
        </w:rPr>
        <w:t xml:space="preserve">the </w:t>
      </w:r>
      <w:r w:rsidRPr="0020028D">
        <w:rPr>
          <w:rFonts w:ascii="Latin Modern Roman" w:hAnsi="Latin Modern Roman"/>
          <w:sz w:val="20"/>
          <w:szCs w:val="20"/>
          <w:lang w:val="en-US"/>
        </w:rPr>
        <w:t>Russian history of hiding information on major natural and technological disasters in the last century, see, for example, Shlyakhter and Wilson 1992; Barany 2004). Mediazona could have publicized the fact that many regions refused to provide information, and it would</w:t>
      </w:r>
      <w:r w:rsidR="00174695">
        <w:rPr>
          <w:rFonts w:ascii="Latin Modern Roman" w:hAnsi="Latin Modern Roman"/>
          <w:sz w:val="20"/>
          <w:szCs w:val="20"/>
          <w:lang w:val="en-US"/>
        </w:rPr>
        <w:t xml:space="preserve"> have</w:t>
      </w:r>
      <w:r w:rsidRPr="0020028D">
        <w:rPr>
          <w:rFonts w:ascii="Latin Modern Roman" w:hAnsi="Latin Modern Roman"/>
          <w:sz w:val="20"/>
          <w:szCs w:val="20"/>
          <w:lang w:val="en-US"/>
        </w:rPr>
        <w:t xml:space="preserve"> </w:t>
      </w:r>
      <w:r w:rsidR="00174695" w:rsidRPr="0020028D">
        <w:rPr>
          <w:rFonts w:ascii="Latin Modern Roman" w:hAnsi="Latin Modern Roman"/>
          <w:sz w:val="20"/>
          <w:szCs w:val="20"/>
          <w:lang w:val="en-US"/>
        </w:rPr>
        <w:t>ma</w:t>
      </w:r>
      <w:r w:rsidR="00174695">
        <w:rPr>
          <w:rFonts w:ascii="Latin Modern Roman" w:hAnsi="Latin Modern Roman"/>
          <w:sz w:val="20"/>
          <w:szCs w:val="20"/>
          <w:lang w:val="en-US"/>
        </w:rPr>
        <w:t>d</w:t>
      </w:r>
      <w:r w:rsidR="00174695" w:rsidRPr="0020028D">
        <w:rPr>
          <w:rFonts w:ascii="Latin Modern Roman" w:hAnsi="Latin Modern Roman"/>
          <w:sz w:val="20"/>
          <w:szCs w:val="20"/>
          <w:lang w:val="en-US"/>
        </w:rPr>
        <w:t xml:space="preserve">e </w:t>
      </w:r>
      <w:r w:rsidRPr="0020028D">
        <w:rPr>
          <w:rFonts w:ascii="Latin Modern Roman" w:hAnsi="Latin Modern Roman"/>
          <w:sz w:val="20"/>
          <w:szCs w:val="20"/>
          <w:lang w:val="en-US"/>
        </w:rPr>
        <w:t>the Russian population more suspicious and reduce</w:t>
      </w:r>
      <w:r w:rsidR="00174695">
        <w:rPr>
          <w:rFonts w:ascii="Latin Modern Roman" w:hAnsi="Latin Modern Roman"/>
          <w:sz w:val="20"/>
          <w:szCs w:val="20"/>
          <w:lang w:val="en-US"/>
        </w:rPr>
        <w:t>d</w:t>
      </w:r>
      <w:r w:rsidRPr="0020028D">
        <w:rPr>
          <w:rFonts w:ascii="Latin Modern Roman" w:hAnsi="Latin Modern Roman"/>
          <w:sz w:val="20"/>
          <w:szCs w:val="20"/>
          <w:lang w:val="en-US"/>
        </w:rPr>
        <w:t xml:space="preserve"> its willingness to participate in the referendum, thus causing harm to the informal objectives of the central government. At the same time, providing false information to the media in Russia imposed no additional costs on local officials, and this enabled under-reporting of the preliminary all-cause mortality for the media request, more so in regions with proximate elections.  </w:t>
      </w:r>
    </w:p>
    <w:p w14:paraId="2B1AE410" w14:textId="77777777" w:rsidR="00613B33" w:rsidRPr="003F30C1" w:rsidRDefault="00613B33" w:rsidP="00613B33">
      <w:pPr>
        <w:spacing w:after="0" w:line="240" w:lineRule="auto"/>
        <w:jc w:val="both"/>
        <w:rPr>
          <w:rFonts w:ascii="Latin Modern Roman" w:hAnsi="Latin Modern Roman" w:cs="Times New Roman"/>
          <w:sz w:val="20"/>
          <w:szCs w:val="20"/>
          <w:lang w:val="en-US"/>
        </w:rPr>
      </w:pPr>
    </w:p>
    <w:p w14:paraId="41ABF814" w14:textId="77777777" w:rsidR="00613B33" w:rsidRPr="003F30C1" w:rsidRDefault="00613B33" w:rsidP="00613B33">
      <w:pPr>
        <w:spacing w:after="0" w:line="240" w:lineRule="auto"/>
        <w:jc w:val="both"/>
        <w:rPr>
          <w:rFonts w:ascii="Latin Modern Roman" w:hAnsi="Latin Modern Roman" w:cs="Times New Roman"/>
          <w:sz w:val="20"/>
          <w:szCs w:val="20"/>
          <w:lang w:val="en-US"/>
        </w:rPr>
      </w:pPr>
    </w:p>
    <w:p w14:paraId="7D58EEEE" w14:textId="77777777" w:rsidR="00613B33" w:rsidRPr="003F30C1" w:rsidRDefault="00613B33" w:rsidP="00613B33">
      <w:pPr>
        <w:spacing w:after="0" w:line="240" w:lineRule="auto"/>
        <w:jc w:val="both"/>
        <w:rPr>
          <w:rFonts w:ascii="Latin Modern Roman" w:hAnsi="Latin Modern Roman" w:cs="Times New Roman"/>
          <w:sz w:val="20"/>
          <w:szCs w:val="20"/>
          <w:lang w:val="en-US"/>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472"/>
        <w:gridCol w:w="1107"/>
        <w:gridCol w:w="1107"/>
        <w:gridCol w:w="1107"/>
        <w:gridCol w:w="1165"/>
        <w:gridCol w:w="1107"/>
        <w:gridCol w:w="1005"/>
      </w:tblGrid>
      <w:tr w:rsidR="00613B33" w:rsidRPr="00A242F8" w14:paraId="44D3BAEB" w14:textId="77777777" w:rsidTr="00C3360E">
        <w:trPr>
          <w:trHeight w:val="360"/>
          <w:tblCellSpacing w:w="0" w:type="dxa"/>
        </w:trPr>
        <w:tc>
          <w:tcPr>
            <w:tcW w:w="9615" w:type="dxa"/>
            <w:gridSpan w:val="7"/>
            <w:vAlign w:val="center"/>
            <w:hideMark/>
          </w:tcPr>
          <w:p w14:paraId="57D30E3B" w14:textId="77777777" w:rsidR="00613B33" w:rsidRPr="003F30C1" w:rsidRDefault="00613B33" w:rsidP="00C3360E">
            <w:pPr>
              <w:spacing w:after="0" w:line="240" w:lineRule="auto"/>
              <w:rPr>
                <w:rFonts w:ascii="Latin Modern Roman" w:eastAsia="Times New Roman" w:hAnsi="Latin Modern Roman" w:cs="Arial"/>
                <w:color w:val="000000"/>
                <w:sz w:val="20"/>
                <w:szCs w:val="20"/>
                <w:lang w:val="en-US" w:eastAsia="de-DE"/>
              </w:rPr>
            </w:pPr>
            <w:bookmarkStart w:id="2" w:name="_Hlk102661780"/>
          </w:p>
          <w:p w14:paraId="56D5CB51" w14:textId="77777777" w:rsidR="00613B33" w:rsidRPr="003F30C1" w:rsidRDefault="00613B33" w:rsidP="00C3360E">
            <w:pPr>
              <w:spacing w:after="0" w:line="240" w:lineRule="auto"/>
              <w:rPr>
                <w:rFonts w:ascii="Latin Modern Roman" w:eastAsia="Times New Roman" w:hAnsi="Latin Modern Roman" w:cs="Arial"/>
                <w:color w:val="000000"/>
                <w:sz w:val="20"/>
                <w:szCs w:val="20"/>
                <w:lang w:val="en-US" w:eastAsia="de-DE"/>
              </w:rPr>
            </w:pPr>
          </w:p>
          <w:p w14:paraId="62E5D31E" w14:textId="77777777" w:rsidR="00613B33" w:rsidRPr="003F30C1" w:rsidRDefault="00613B33" w:rsidP="00C3360E">
            <w:pPr>
              <w:spacing w:after="0" w:line="240" w:lineRule="auto"/>
              <w:rPr>
                <w:rFonts w:ascii="Latin Modern Roman" w:eastAsia="Times New Roman" w:hAnsi="Latin Modern Roman" w:cs="Arial"/>
                <w:color w:val="000000"/>
                <w:sz w:val="20"/>
                <w:szCs w:val="20"/>
                <w:lang w:val="en-US" w:eastAsia="de-DE"/>
              </w:rPr>
            </w:pPr>
          </w:p>
          <w:p w14:paraId="25E106EF" w14:textId="77777777" w:rsidR="00613B33" w:rsidRPr="003F30C1" w:rsidRDefault="00613B33" w:rsidP="00C3360E">
            <w:pPr>
              <w:spacing w:after="0" w:line="240" w:lineRule="auto"/>
              <w:rPr>
                <w:rFonts w:ascii="Latin Modern Roman" w:eastAsia="Times New Roman" w:hAnsi="Latin Modern Roman" w:cs="Arial"/>
                <w:color w:val="000000"/>
                <w:sz w:val="20"/>
                <w:szCs w:val="20"/>
                <w:lang w:val="en-US" w:eastAsia="de-DE"/>
              </w:rPr>
            </w:pPr>
            <w:r w:rsidRPr="003F30C1">
              <w:rPr>
                <w:rFonts w:ascii="Latin Modern Roman" w:eastAsia="Times New Roman" w:hAnsi="Latin Modern Roman" w:cs="Arial"/>
                <w:color w:val="000000"/>
                <w:sz w:val="20"/>
                <w:szCs w:val="20"/>
                <w:lang w:val="en-US" w:eastAsia="de-DE"/>
              </w:rPr>
              <w:t>Table D1: Disclosing preliminary all-cause mortality to an independent media outlet</w:t>
            </w:r>
          </w:p>
        </w:tc>
      </w:tr>
      <w:tr w:rsidR="00613B33" w:rsidRPr="003F30C1" w14:paraId="171F199A" w14:textId="77777777" w:rsidTr="00C3360E">
        <w:trPr>
          <w:trHeight w:val="300"/>
          <w:tblCellSpacing w:w="0" w:type="dxa"/>
        </w:trPr>
        <w:tc>
          <w:tcPr>
            <w:tcW w:w="0" w:type="auto"/>
            <w:tcBorders>
              <w:top w:val="single" w:sz="6" w:space="0" w:color="000000"/>
            </w:tcBorders>
            <w:vAlign w:val="center"/>
            <w:hideMark/>
          </w:tcPr>
          <w:p w14:paraId="09B696C7" w14:textId="77777777" w:rsidR="00613B33" w:rsidRPr="003F30C1" w:rsidRDefault="00613B33" w:rsidP="00C3360E">
            <w:pPr>
              <w:spacing w:after="0" w:line="240" w:lineRule="auto"/>
              <w:rPr>
                <w:rFonts w:ascii="Latin Modern Roman" w:eastAsia="Times New Roman" w:hAnsi="Latin Modern Roman" w:cs="Arial"/>
                <w:color w:val="000000"/>
                <w:sz w:val="20"/>
                <w:szCs w:val="20"/>
                <w:lang w:val="en-US" w:eastAsia="de-DE"/>
              </w:rPr>
            </w:pPr>
          </w:p>
        </w:tc>
        <w:tc>
          <w:tcPr>
            <w:tcW w:w="0" w:type="auto"/>
            <w:tcBorders>
              <w:top w:val="single" w:sz="6" w:space="0" w:color="000000"/>
            </w:tcBorders>
            <w:vAlign w:val="center"/>
            <w:hideMark/>
          </w:tcPr>
          <w:p w14:paraId="3CC2F5C2"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(1)</w:t>
            </w:r>
          </w:p>
        </w:tc>
        <w:tc>
          <w:tcPr>
            <w:tcW w:w="0" w:type="auto"/>
            <w:tcBorders>
              <w:top w:val="single" w:sz="6" w:space="0" w:color="000000"/>
            </w:tcBorders>
            <w:vAlign w:val="center"/>
            <w:hideMark/>
          </w:tcPr>
          <w:p w14:paraId="1E5AE66D"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(2)</w:t>
            </w:r>
          </w:p>
        </w:tc>
        <w:tc>
          <w:tcPr>
            <w:tcW w:w="0" w:type="auto"/>
            <w:tcBorders>
              <w:top w:val="single" w:sz="6" w:space="0" w:color="000000"/>
            </w:tcBorders>
            <w:vAlign w:val="center"/>
            <w:hideMark/>
          </w:tcPr>
          <w:p w14:paraId="204699FF"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(3)</w:t>
            </w:r>
          </w:p>
        </w:tc>
        <w:tc>
          <w:tcPr>
            <w:tcW w:w="0" w:type="auto"/>
            <w:tcBorders>
              <w:top w:val="single" w:sz="6" w:space="0" w:color="000000"/>
            </w:tcBorders>
            <w:vAlign w:val="center"/>
            <w:hideMark/>
          </w:tcPr>
          <w:p w14:paraId="4F8EA088"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(4)</w:t>
            </w:r>
          </w:p>
        </w:tc>
        <w:tc>
          <w:tcPr>
            <w:tcW w:w="0" w:type="auto"/>
            <w:tcBorders>
              <w:top w:val="single" w:sz="6" w:space="0" w:color="000000"/>
            </w:tcBorders>
            <w:vAlign w:val="center"/>
            <w:hideMark/>
          </w:tcPr>
          <w:p w14:paraId="2DB15387"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(5)</w:t>
            </w:r>
          </w:p>
        </w:tc>
        <w:tc>
          <w:tcPr>
            <w:tcW w:w="0" w:type="auto"/>
            <w:tcBorders>
              <w:top w:val="single" w:sz="6" w:space="0" w:color="000000"/>
            </w:tcBorders>
            <w:vAlign w:val="center"/>
            <w:hideMark/>
          </w:tcPr>
          <w:p w14:paraId="06DE3EE2"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(6)</w:t>
            </w:r>
          </w:p>
        </w:tc>
      </w:tr>
      <w:tr w:rsidR="00613B33" w:rsidRPr="003F30C1" w14:paraId="57D6877E" w14:textId="77777777" w:rsidTr="00C3360E">
        <w:trPr>
          <w:trHeight w:val="300"/>
          <w:tblCellSpacing w:w="0" w:type="dxa"/>
        </w:trPr>
        <w:tc>
          <w:tcPr>
            <w:tcW w:w="0" w:type="auto"/>
            <w:vAlign w:val="center"/>
            <w:hideMark/>
          </w:tcPr>
          <w:p w14:paraId="1F25F6F3" w14:textId="77777777" w:rsidR="00613B33" w:rsidRPr="003F30C1" w:rsidRDefault="00613B33" w:rsidP="00C3360E">
            <w:pPr>
              <w:spacing w:after="0" w:line="240" w:lineRule="auto"/>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Dependent variable:</w:t>
            </w:r>
          </w:p>
        </w:tc>
        <w:tc>
          <w:tcPr>
            <w:tcW w:w="0" w:type="auto"/>
            <w:gridSpan w:val="2"/>
            <w:vAlign w:val="center"/>
            <w:hideMark/>
          </w:tcPr>
          <w:p w14:paraId="0E7F7F21"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Responsiveness</w:t>
            </w:r>
          </w:p>
        </w:tc>
        <w:tc>
          <w:tcPr>
            <w:tcW w:w="0" w:type="auto"/>
            <w:gridSpan w:val="2"/>
            <w:vAlign w:val="center"/>
            <w:hideMark/>
          </w:tcPr>
          <w:p w14:paraId="4C3CC6F7"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Responsiveness</w:t>
            </w:r>
          </w:p>
        </w:tc>
        <w:tc>
          <w:tcPr>
            <w:tcW w:w="0" w:type="auto"/>
            <w:gridSpan w:val="2"/>
            <w:vAlign w:val="center"/>
            <w:hideMark/>
          </w:tcPr>
          <w:p w14:paraId="52A9D17D"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Under-reporting</w:t>
            </w:r>
          </w:p>
        </w:tc>
      </w:tr>
      <w:tr w:rsidR="00613B33" w:rsidRPr="003F30C1" w14:paraId="4A0FD5B5" w14:textId="77777777" w:rsidTr="00C3360E">
        <w:trPr>
          <w:trHeight w:val="540"/>
          <w:tblCellSpacing w:w="0" w:type="dxa"/>
        </w:trPr>
        <w:tc>
          <w:tcPr>
            <w:tcW w:w="0" w:type="auto"/>
            <w:hideMark/>
          </w:tcPr>
          <w:p w14:paraId="5C18D9DE" w14:textId="77777777" w:rsidR="00613B33" w:rsidRPr="003F30C1" w:rsidRDefault="00613B33" w:rsidP="00C3360E">
            <w:pPr>
              <w:spacing w:after="0" w:line="240" w:lineRule="auto"/>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Sample:</w:t>
            </w:r>
          </w:p>
        </w:tc>
        <w:tc>
          <w:tcPr>
            <w:tcW w:w="0" w:type="auto"/>
            <w:gridSpan w:val="2"/>
            <w:hideMark/>
          </w:tcPr>
          <w:p w14:paraId="406B0578"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All regions</w:t>
            </w:r>
          </w:p>
        </w:tc>
        <w:tc>
          <w:tcPr>
            <w:tcW w:w="0" w:type="auto"/>
            <w:gridSpan w:val="2"/>
            <w:hideMark/>
          </w:tcPr>
          <w:p w14:paraId="64BDB50B"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val="en-US" w:eastAsia="de-DE"/>
              </w:rPr>
            </w:pPr>
            <w:r w:rsidRPr="003F30C1">
              <w:rPr>
                <w:rFonts w:ascii="Latin Modern Roman" w:eastAsia="Times New Roman" w:hAnsi="Latin Modern Roman" w:cs="Arial"/>
                <w:color w:val="000000"/>
                <w:sz w:val="20"/>
                <w:szCs w:val="20"/>
                <w:lang w:val="en-US" w:eastAsia="de-DE"/>
              </w:rPr>
              <w:t xml:space="preserve">Region with non-zero </w:t>
            </w:r>
            <w:r w:rsidRPr="003F30C1">
              <w:rPr>
                <w:rFonts w:ascii="Latin Modern Roman" w:eastAsia="Times New Roman" w:hAnsi="Latin Modern Roman" w:cs="Arial"/>
                <w:color w:val="000000"/>
                <w:sz w:val="20"/>
                <w:szCs w:val="20"/>
                <w:lang w:val="en-US" w:eastAsia="de-DE"/>
              </w:rPr>
              <w:br/>
              <w:t>excess mortality in May</w:t>
            </w:r>
          </w:p>
        </w:tc>
        <w:tc>
          <w:tcPr>
            <w:tcW w:w="0" w:type="auto"/>
            <w:gridSpan w:val="2"/>
            <w:hideMark/>
          </w:tcPr>
          <w:p w14:paraId="5CD748C7"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All regions</w:t>
            </w:r>
          </w:p>
        </w:tc>
      </w:tr>
      <w:tr w:rsidR="00613B33" w:rsidRPr="003F30C1" w14:paraId="3A6CB790" w14:textId="77777777" w:rsidTr="00C3360E">
        <w:trPr>
          <w:trHeight w:val="300"/>
          <w:tblCellSpacing w:w="0" w:type="dxa"/>
        </w:trPr>
        <w:tc>
          <w:tcPr>
            <w:tcW w:w="0" w:type="auto"/>
            <w:tcBorders>
              <w:top w:val="single" w:sz="6" w:space="0" w:color="000000"/>
            </w:tcBorders>
            <w:vAlign w:val="center"/>
            <w:hideMark/>
          </w:tcPr>
          <w:p w14:paraId="5C864B4E" w14:textId="77777777" w:rsidR="00613B33" w:rsidRPr="003F30C1" w:rsidRDefault="00613B33" w:rsidP="00C3360E">
            <w:pPr>
              <w:spacing w:after="0" w:line="240" w:lineRule="auto"/>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Elections approaching</w:t>
            </w:r>
          </w:p>
        </w:tc>
        <w:tc>
          <w:tcPr>
            <w:tcW w:w="0" w:type="auto"/>
            <w:tcBorders>
              <w:top w:val="single" w:sz="6" w:space="0" w:color="000000"/>
            </w:tcBorders>
            <w:vAlign w:val="center"/>
            <w:hideMark/>
          </w:tcPr>
          <w:p w14:paraId="2703E546"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0.21**</w:t>
            </w:r>
          </w:p>
        </w:tc>
        <w:tc>
          <w:tcPr>
            <w:tcW w:w="0" w:type="auto"/>
            <w:tcBorders>
              <w:top w:val="single" w:sz="6" w:space="0" w:color="000000"/>
            </w:tcBorders>
            <w:vAlign w:val="center"/>
            <w:hideMark/>
          </w:tcPr>
          <w:p w14:paraId="5B7F8485"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p>
        </w:tc>
        <w:tc>
          <w:tcPr>
            <w:tcW w:w="0" w:type="auto"/>
            <w:tcBorders>
              <w:top w:val="single" w:sz="6" w:space="0" w:color="000000"/>
            </w:tcBorders>
            <w:vAlign w:val="center"/>
            <w:hideMark/>
          </w:tcPr>
          <w:p w14:paraId="460BD734"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0.50***</w:t>
            </w:r>
          </w:p>
        </w:tc>
        <w:tc>
          <w:tcPr>
            <w:tcW w:w="0" w:type="auto"/>
            <w:tcBorders>
              <w:top w:val="single" w:sz="6" w:space="0" w:color="000000"/>
            </w:tcBorders>
            <w:vAlign w:val="center"/>
            <w:hideMark/>
          </w:tcPr>
          <w:p w14:paraId="4F4BCD84"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p>
        </w:tc>
        <w:tc>
          <w:tcPr>
            <w:tcW w:w="0" w:type="auto"/>
            <w:tcBorders>
              <w:top w:val="single" w:sz="6" w:space="0" w:color="000000"/>
            </w:tcBorders>
            <w:vAlign w:val="center"/>
            <w:hideMark/>
          </w:tcPr>
          <w:p w14:paraId="2A1822D0"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5.70***</w:t>
            </w:r>
          </w:p>
        </w:tc>
        <w:tc>
          <w:tcPr>
            <w:tcW w:w="0" w:type="auto"/>
            <w:tcBorders>
              <w:top w:val="single" w:sz="6" w:space="0" w:color="000000"/>
            </w:tcBorders>
            <w:vAlign w:val="center"/>
            <w:hideMark/>
          </w:tcPr>
          <w:p w14:paraId="7AFC4194"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p>
        </w:tc>
      </w:tr>
      <w:tr w:rsidR="00613B33" w:rsidRPr="003F30C1" w14:paraId="69061C75" w14:textId="77777777" w:rsidTr="00C3360E">
        <w:trPr>
          <w:trHeight w:val="300"/>
          <w:tblCellSpacing w:w="0" w:type="dxa"/>
        </w:trPr>
        <w:tc>
          <w:tcPr>
            <w:tcW w:w="0" w:type="auto"/>
            <w:vAlign w:val="center"/>
            <w:hideMark/>
          </w:tcPr>
          <w:p w14:paraId="77CADF42" w14:textId="77777777" w:rsidR="00613B33" w:rsidRPr="003F30C1" w:rsidRDefault="00613B33" w:rsidP="00C3360E">
            <w:pPr>
              <w:spacing w:after="0" w:line="240" w:lineRule="auto"/>
              <w:rPr>
                <w:rFonts w:ascii="Latin Modern Roman" w:eastAsia="Times New Roman" w:hAnsi="Latin Modern Roman" w:cs="Arial"/>
                <w:color w:val="000000"/>
                <w:sz w:val="20"/>
                <w:szCs w:val="20"/>
                <w:lang w:eastAsia="de-DE"/>
              </w:rPr>
            </w:pPr>
          </w:p>
        </w:tc>
        <w:tc>
          <w:tcPr>
            <w:tcW w:w="0" w:type="auto"/>
            <w:vAlign w:val="center"/>
            <w:hideMark/>
          </w:tcPr>
          <w:p w14:paraId="3CE3DFE9"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(0.10)</w:t>
            </w:r>
          </w:p>
        </w:tc>
        <w:tc>
          <w:tcPr>
            <w:tcW w:w="0" w:type="auto"/>
            <w:vAlign w:val="center"/>
            <w:hideMark/>
          </w:tcPr>
          <w:p w14:paraId="0D11CE15"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p>
        </w:tc>
        <w:tc>
          <w:tcPr>
            <w:tcW w:w="0" w:type="auto"/>
            <w:vAlign w:val="center"/>
            <w:hideMark/>
          </w:tcPr>
          <w:p w14:paraId="7F1BA656"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(0.13)</w:t>
            </w:r>
          </w:p>
        </w:tc>
        <w:tc>
          <w:tcPr>
            <w:tcW w:w="0" w:type="auto"/>
            <w:vAlign w:val="center"/>
            <w:hideMark/>
          </w:tcPr>
          <w:p w14:paraId="62C91F9C"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p>
        </w:tc>
        <w:tc>
          <w:tcPr>
            <w:tcW w:w="0" w:type="auto"/>
            <w:vAlign w:val="center"/>
            <w:hideMark/>
          </w:tcPr>
          <w:p w14:paraId="58CE92F0"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(1.89)</w:t>
            </w:r>
          </w:p>
        </w:tc>
        <w:tc>
          <w:tcPr>
            <w:tcW w:w="0" w:type="auto"/>
            <w:vAlign w:val="center"/>
            <w:hideMark/>
          </w:tcPr>
          <w:p w14:paraId="07E7F747"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p>
        </w:tc>
      </w:tr>
      <w:tr w:rsidR="00613B33" w:rsidRPr="003F30C1" w14:paraId="40A06E32" w14:textId="77777777" w:rsidTr="00C3360E">
        <w:trPr>
          <w:trHeight w:val="300"/>
          <w:tblCellSpacing w:w="0" w:type="dxa"/>
        </w:trPr>
        <w:tc>
          <w:tcPr>
            <w:tcW w:w="0" w:type="auto"/>
            <w:vAlign w:val="center"/>
            <w:hideMark/>
          </w:tcPr>
          <w:p w14:paraId="2A7EA127" w14:textId="77777777" w:rsidR="00613B33" w:rsidRPr="003F30C1" w:rsidRDefault="00613B33" w:rsidP="00C3360E">
            <w:pPr>
              <w:spacing w:after="0" w:line="240" w:lineRule="auto"/>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Election proximity</w:t>
            </w:r>
          </w:p>
        </w:tc>
        <w:tc>
          <w:tcPr>
            <w:tcW w:w="0" w:type="auto"/>
            <w:vAlign w:val="center"/>
            <w:hideMark/>
          </w:tcPr>
          <w:p w14:paraId="56F9172E"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p>
        </w:tc>
        <w:tc>
          <w:tcPr>
            <w:tcW w:w="0" w:type="auto"/>
            <w:vAlign w:val="center"/>
            <w:hideMark/>
          </w:tcPr>
          <w:p w14:paraId="2CFB1A87"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-0.06*</w:t>
            </w:r>
          </w:p>
        </w:tc>
        <w:tc>
          <w:tcPr>
            <w:tcW w:w="0" w:type="auto"/>
            <w:vAlign w:val="center"/>
            <w:hideMark/>
          </w:tcPr>
          <w:p w14:paraId="38356637"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p>
        </w:tc>
        <w:tc>
          <w:tcPr>
            <w:tcW w:w="0" w:type="auto"/>
            <w:vAlign w:val="center"/>
            <w:hideMark/>
          </w:tcPr>
          <w:p w14:paraId="739F1628"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-0.17***</w:t>
            </w:r>
          </w:p>
        </w:tc>
        <w:tc>
          <w:tcPr>
            <w:tcW w:w="0" w:type="auto"/>
            <w:vAlign w:val="center"/>
            <w:hideMark/>
          </w:tcPr>
          <w:p w14:paraId="3921F5FE"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p>
        </w:tc>
        <w:tc>
          <w:tcPr>
            <w:tcW w:w="0" w:type="auto"/>
            <w:vAlign w:val="center"/>
            <w:hideMark/>
          </w:tcPr>
          <w:p w14:paraId="66E6D5AE"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-1.46**</w:t>
            </w:r>
          </w:p>
        </w:tc>
      </w:tr>
      <w:tr w:rsidR="00613B33" w:rsidRPr="003F30C1" w14:paraId="4C2F53C2" w14:textId="77777777" w:rsidTr="00C3360E">
        <w:trPr>
          <w:trHeight w:val="300"/>
          <w:tblCellSpacing w:w="0" w:type="dxa"/>
        </w:trPr>
        <w:tc>
          <w:tcPr>
            <w:tcW w:w="0" w:type="auto"/>
            <w:vAlign w:val="center"/>
            <w:hideMark/>
          </w:tcPr>
          <w:p w14:paraId="65B042E9" w14:textId="77777777" w:rsidR="00613B33" w:rsidRPr="003F30C1" w:rsidRDefault="00613B33" w:rsidP="00C3360E">
            <w:pPr>
              <w:spacing w:after="0" w:line="240" w:lineRule="auto"/>
              <w:rPr>
                <w:rFonts w:ascii="Latin Modern Roman" w:eastAsia="Times New Roman" w:hAnsi="Latin Modern Roman" w:cs="Arial"/>
                <w:color w:val="000000"/>
                <w:sz w:val="20"/>
                <w:szCs w:val="20"/>
                <w:lang w:eastAsia="de-DE"/>
              </w:rPr>
            </w:pPr>
          </w:p>
        </w:tc>
        <w:tc>
          <w:tcPr>
            <w:tcW w:w="0" w:type="auto"/>
            <w:vAlign w:val="center"/>
            <w:hideMark/>
          </w:tcPr>
          <w:p w14:paraId="3603E12D"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p>
        </w:tc>
        <w:tc>
          <w:tcPr>
            <w:tcW w:w="0" w:type="auto"/>
            <w:vAlign w:val="center"/>
            <w:hideMark/>
          </w:tcPr>
          <w:p w14:paraId="4DE250D7"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(0.03)</w:t>
            </w:r>
          </w:p>
        </w:tc>
        <w:tc>
          <w:tcPr>
            <w:tcW w:w="0" w:type="auto"/>
            <w:vAlign w:val="center"/>
            <w:hideMark/>
          </w:tcPr>
          <w:p w14:paraId="7E442B9B"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p>
        </w:tc>
        <w:tc>
          <w:tcPr>
            <w:tcW w:w="0" w:type="auto"/>
            <w:vAlign w:val="center"/>
            <w:hideMark/>
          </w:tcPr>
          <w:p w14:paraId="1849E1E8"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(0.04)</w:t>
            </w:r>
          </w:p>
        </w:tc>
        <w:tc>
          <w:tcPr>
            <w:tcW w:w="0" w:type="auto"/>
            <w:vAlign w:val="center"/>
            <w:hideMark/>
          </w:tcPr>
          <w:p w14:paraId="656C39DA"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p>
        </w:tc>
        <w:tc>
          <w:tcPr>
            <w:tcW w:w="0" w:type="auto"/>
            <w:vAlign w:val="center"/>
            <w:hideMark/>
          </w:tcPr>
          <w:p w14:paraId="03F43F5C"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(0.59)</w:t>
            </w:r>
          </w:p>
        </w:tc>
      </w:tr>
      <w:tr w:rsidR="00613B33" w:rsidRPr="003F30C1" w14:paraId="16EF98B3" w14:textId="77777777" w:rsidTr="00C3360E">
        <w:trPr>
          <w:trHeight w:val="300"/>
          <w:tblCellSpacing w:w="0" w:type="dxa"/>
        </w:trPr>
        <w:tc>
          <w:tcPr>
            <w:tcW w:w="0" w:type="auto"/>
            <w:vAlign w:val="center"/>
            <w:hideMark/>
          </w:tcPr>
          <w:p w14:paraId="4EAD212D" w14:textId="77777777" w:rsidR="00613B33" w:rsidRPr="003F30C1" w:rsidRDefault="00613B33" w:rsidP="00C3360E">
            <w:pPr>
              <w:spacing w:after="0" w:line="240" w:lineRule="auto"/>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Population, log</w:t>
            </w:r>
          </w:p>
        </w:tc>
        <w:tc>
          <w:tcPr>
            <w:tcW w:w="0" w:type="auto"/>
            <w:vAlign w:val="center"/>
            <w:hideMark/>
          </w:tcPr>
          <w:p w14:paraId="62DEA42C"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0.18***</w:t>
            </w:r>
          </w:p>
        </w:tc>
        <w:tc>
          <w:tcPr>
            <w:tcW w:w="0" w:type="auto"/>
            <w:vAlign w:val="center"/>
            <w:hideMark/>
          </w:tcPr>
          <w:p w14:paraId="124D0A3F"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0.17***</w:t>
            </w:r>
          </w:p>
        </w:tc>
        <w:tc>
          <w:tcPr>
            <w:tcW w:w="0" w:type="auto"/>
            <w:vAlign w:val="center"/>
            <w:hideMark/>
          </w:tcPr>
          <w:p w14:paraId="308ED9B2"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0.15**</w:t>
            </w:r>
          </w:p>
        </w:tc>
        <w:tc>
          <w:tcPr>
            <w:tcW w:w="0" w:type="auto"/>
            <w:vAlign w:val="center"/>
            <w:hideMark/>
          </w:tcPr>
          <w:p w14:paraId="73424E17"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0.13**</w:t>
            </w:r>
          </w:p>
        </w:tc>
        <w:tc>
          <w:tcPr>
            <w:tcW w:w="0" w:type="auto"/>
            <w:vAlign w:val="center"/>
            <w:hideMark/>
          </w:tcPr>
          <w:p w14:paraId="51BAACAF"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-1.77</w:t>
            </w:r>
          </w:p>
        </w:tc>
        <w:tc>
          <w:tcPr>
            <w:tcW w:w="0" w:type="auto"/>
            <w:vAlign w:val="center"/>
            <w:hideMark/>
          </w:tcPr>
          <w:p w14:paraId="017F97CF"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-2.45</w:t>
            </w:r>
          </w:p>
        </w:tc>
      </w:tr>
      <w:tr w:rsidR="00613B33" w:rsidRPr="003F30C1" w14:paraId="70281BAD" w14:textId="77777777" w:rsidTr="00C3360E">
        <w:trPr>
          <w:trHeight w:val="255"/>
          <w:tblCellSpacing w:w="0" w:type="dxa"/>
        </w:trPr>
        <w:tc>
          <w:tcPr>
            <w:tcW w:w="0" w:type="auto"/>
            <w:vAlign w:val="center"/>
            <w:hideMark/>
          </w:tcPr>
          <w:p w14:paraId="00C1BCDC" w14:textId="77777777" w:rsidR="00613B33" w:rsidRPr="003F30C1" w:rsidRDefault="00613B33" w:rsidP="00C3360E">
            <w:pPr>
              <w:spacing w:after="0" w:line="240" w:lineRule="auto"/>
              <w:rPr>
                <w:rFonts w:ascii="Latin Modern Roman" w:eastAsia="Times New Roman" w:hAnsi="Latin Modern Roman" w:cs="Arial"/>
                <w:color w:val="000000"/>
                <w:sz w:val="20"/>
                <w:szCs w:val="20"/>
                <w:lang w:eastAsia="de-DE"/>
              </w:rPr>
            </w:pPr>
          </w:p>
        </w:tc>
        <w:tc>
          <w:tcPr>
            <w:tcW w:w="0" w:type="auto"/>
            <w:vAlign w:val="center"/>
            <w:hideMark/>
          </w:tcPr>
          <w:p w14:paraId="2376FAE2"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(0.04)</w:t>
            </w:r>
          </w:p>
        </w:tc>
        <w:tc>
          <w:tcPr>
            <w:tcW w:w="0" w:type="auto"/>
            <w:vAlign w:val="center"/>
            <w:hideMark/>
          </w:tcPr>
          <w:p w14:paraId="26837FB7"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(0.05)</w:t>
            </w:r>
          </w:p>
        </w:tc>
        <w:tc>
          <w:tcPr>
            <w:tcW w:w="0" w:type="auto"/>
            <w:vAlign w:val="center"/>
            <w:hideMark/>
          </w:tcPr>
          <w:p w14:paraId="1DC76161"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(0.06)</w:t>
            </w:r>
          </w:p>
        </w:tc>
        <w:tc>
          <w:tcPr>
            <w:tcW w:w="0" w:type="auto"/>
            <w:vAlign w:val="center"/>
            <w:hideMark/>
          </w:tcPr>
          <w:p w14:paraId="04EF8E2C"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(0.06)</w:t>
            </w:r>
          </w:p>
        </w:tc>
        <w:tc>
          <w:tcPr>
            <w:tcW w:w="0" w:type="auto"/>
            <w:vAlign w:val="center"/>
            <w:hideMark/>
          </w:tcPr>
          <w:p w14:paraId="752DEFD8"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(1.46)</w:t>
            </w:r>
          </w:p>
        </w:tc>
        <w:tc>
          <w:tcPr>
            <w:tcW w:w="0" w:type="auto"/>
            <w:vAlign w:val="center"/>
            <w:hideMark/>
          </w:tcPr>
          <w:p w14:paraId="7E5724B4"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(1.61)</w:t>
            </w:r>
          </w:p>
        </w:tc>
      </w:tr>
      <w:tr w:rsidR="00613B33" w:rsidRPr="003F30C1" w14:paraId="43B82B18" w14:textId="77777777" w:rsidTr="00C3360E">
        <w:trPr>
          <w:trHeight w:val="255"/>
          <w:tblCellSpacing w:w="0" w:type="dxa"/>
        </w:trPr>
        <w:tc>
          <w:tcPr>
            <w:tcW w:w="0" w:type="auto"/>
            <w:tcBorders>
              <w:top w:val="single" w:sz="6" w:space="0" w:color="000000"/>
            </w:tcBorders>
            <w:vAlign w:val="center"/>
            <w:hideMark/>
          </w:tcPr>
          <w:p w14:paraId="4DBAB9A7" w14:textId="77777777" w:rsidR="00613B33" w:rsidRPr="003F30C1" w:rsidRDefault="00613B33" w:rsidP="00C3360E">
            <w:pPr>
              <w:spacing w:after="0" w:line="240" w:lineRule="auto"/>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Observations</w:t>
            </w:r>
          </w:p>
        </w:tc>
        <w:tc>
          <w:tcPr>
            <w:tcW w:w="0" w:type="auto"/>
            <w:tcBorders>
              <w:top w:val="single" w:sz="6" w:space="0" w:color="000000"/>
            </w:tcBorders>
            <w:vAlign w:val="center"/>
            <w:hideMark/>
          </w:tcPr>
          <w:p w14:paraId="0F71149C"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85</w:t>
            </w:r>
          </w:p>
        </w:tc>
        <w:tc>
          <w:tcPr>
            <w:tcW w:w="0" w:type="auto"/>
            <w:tcBorders>
              <w:top w:val="single" w:sz="6" w:space="0" w:color="000000"/>
            </w:tcBorders>
            <w:vAlign w:val="center"/>
            <w:hideMark/>
          </w:tcPr>
          <w:p w14:paraId="00306F74"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85</w:t>
            </w:r>
          </w:p>
        </w:tc>
        <w:tc>
          <w:tcPr>
            <w:tcW w:w="0" w:type="auto"/>
            <w:tcBorders>
              <w:top w:val="single" w:sz="6" w:space="0" w:color="000000"/>
            </w:tcBorders>
            <w:vAlign w:val="center"/>
            <w:hideMark/>
          </w:tcPr>
          <w:p w14:paraId="5D307341"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45</w:t>
            </w:r>
          </w:p>
        </w:tc>
        <w:tc>
          <w:tcPr>
            <w:tcW w:w="0" w:type="auto"/>
            <w:tcBorders>
              <w:top w:val="single" w:sz="6" w:space="0" w:color="000000"/>
            </w:tcBorders>
            <w:vAlign w:val="center"/>
            <w:hideMark/>
          </w:tcPr>
          <w:p w14:paraId="26C274B6"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45</w:t>
            </w:r>
          </w:p>
        </w:tc>
        <w:tc>
          <w:tcPr>
            <w:tcW w:w="0" w:type="auto"/>
            <w:tcBorders>
              <w:top w:val="single" w:sz="6" w:space="0" w:color="000000"/>
            </w:tcBorders>
            <w:vAlign w:val="center"/>
            <w:hideMark/>
          </w:tcPr>
          <w:p w14:paraId="0D0421CB"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52</w:t>
            </w:r>
          </w:p>
        </w:tc>
        <w:tc>
          <w:tcPr>
            <w:tcW w:w="0" w:type="auto"/>
            <w:tcBorders>
              <w:top w:val="single" w:sz="6" w:space="0" w:color="000000"/>
            </w:tcBorders>
            <w:vAlign w:val="center"/>
            <w:hideMark/>
          </w:tcPr>
          <w:p w14:paraId="72911AA5"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52</w:t>
            </w:r>
          </w:p>
        </w:tc>
      </w:tr>
      <w:tr w:rsidR="00613B33" w:rsidRPr="003F30C1" w14:paraId="33F5DB73" w14:textId="77777777" w:rsidTr="00C3360E">
        <w:trPr>
          <w:trHeight w:val="255"/>
          <w:tblCellSpacing w:w="0" w:type="dxa"/>
        </w:trPr>
        <w:tc>
          <w:tcPr>
            <w:tcW w:w="0" w:type="auto"/>
            <w:tcBorders>
              <w:bottom w:val="single" w:sz="6" w:space="0" w:color="000000"/>
            </w:tcBorders>
            <w:vAlign w:val="center"/>
            <w:hideMark/>
          </w:tcPr>
          <w:p w14:paraId="0B5A1B01" w14:textId="77777777" w:rsidR="00613B33" w:rsidRPr="003F30C1" w:rsidRDefault="00613B33" w:rsidP="00C3360E">
            <w:pPr>
              <w:spacing w:after="0" w:line="240" w:lineRule="auto"/>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R2</w:t>
            </w:r>
          </w:p>
        </w:tc>
        <w:tc>
          <w:tcPr>
            <w:tcW w:w="0" w:type="auto"/>
            <w:tcBorders>
              <w:bottom w:val="single" w:sz="6" w:space="0" w:color="000000"/>
            </w:tcBorders>
            <w:vAlign w:val="center"/>
            <w:hideMark/>
          </w:tcPr>
          <w:p w14:paraId="1ACA9C54"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0.15</w:t>
            </w:r>
          </w:p>
        </w:tc>
        <w:tc>
          <w:tcPr>
            <w:tcW w:w="0" w:type="auto"/>
            <w:tcBorders>
              <w:bottom w:val="single" w:sz="6" w:space="0" w:color="000000"/>
            </w:tcBorders>
            <w:vAlign w:val="center"/>
            <w:hideMark/>
          </w:tcPr>
          <w:p w14:paraId="69DC075F"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0.14</w:t>
            </w:r>
          </w:p>
        </w:tc>
        <w:tc>
          <w:tcPr>
            <w:tcW w:w="0" w:type="auto"/>
            <w:tcBorders>
              <w:bottom w:val="single" w:sz="6" w:space="0" w:color="000000"/>
            </w:tcBorders>
            <w:vAlign w:val="center"/>
            <w:hideMark/>
          </w:tcPr>
          <w:p w14:paraId="3913C4F1"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0.29</w:t>
            </w:r>
          </w:p>
        </w:tc>
        <w:tc>
          <w:tcPr>
            <w:tcW w:w="0" w:type="auto"/>
            <w:tcBorders>
              <w:bottom w:val="single" w:sz="6" w:space="0" w:color="000000"/>
            </w:tcBorders>
            <w:vAlign w:val="center"/>
            <w:hideMark/>
          </w:tcPr>
          <w:p w14:paraId="46772DF0"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0.29</w:t>
            </w:r>
          </w:p>
        </w:tc>
        <w:tc>
          <w:tcPr>
            <w:tcW w:w="0" w:type="auto"/>
            <w:tcBorders>
              <w:bottom w:val="single" w:sz="6" w:space="0" w:color="000000"/>
            </w:tcBorders>
            <w:vAlign w:val="center"/>
            <w:hideMark/>
          </w:tcPr>
          <w:p w14:paraId="652A289A"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0.15</w:t>
            </w:r>
          </w:p>
        </w:tc>
        <w:tc>
          <w:tcPr>
            <w:tcW w:w="0" w:type="auto"/>
            <w:tcBorders>
              <w:bottom w:val="single" w:sz="6" w:space="0" w:color="000000"/>
            </w:tcBorders>
            <w:vAlign w:val="center"/>
            <w:hideMark/>
          </w:tcPr>
          <w:p w14:paraId="1D6482AD" w14:textId="77777777" w:rsidR="00613B33" w:rsidRPr="003F30C1" w:rsidRDefault="00613B33" w:rsidP="00C3360E">
            <w:pPr>
              <w:spacing w:after="0" w:line="240" w:lineRule="auto"/>
              <w:jc w:val="center"/>
              <w:rPr>
                <w:rFonts w:ascii="Latin Modern Roman" w:eastAsia="Times New Roman" w:hAnsi="Latin Modern Roman" w:cs="Arial"/>
                <w:color w:val="000000"/>
                <w:sz w:val="20"/>
                <w:szCs w:val="20"/>
                <w:lang w:eastAsia="de-DE"/>
              </w:rPr>
            </w:pPr>
            <w:r w:rsidRPr="003F30C1">
              <w:rPr>
                <w:rFonts w:ascii="Latin Modern Roman" w:eastAsia="Times New Roman" w:hAnsi="Latin Modern Roman" w:cs="Arial"/>
                <w:color w:val="000000"/>
                <w:sz w:val="20"/>
                <w:szCs w:val="20"/>
                <w:lang w:eastAsia="de-DE"/>
              </w:rPr>
              <w:t>0.11</w:t>
            </w:r>
          </w:p>
        </w:tc>
      </w:tr>
      <w:tr w:rsidR="00613B33" w:rsidRPr="00A242F8" w14:paraId="1D197367" w14:textId="77777777" w:rsidTr="00C3360E">
        <w:trPr>
          <w:trHeight w:val="540"/>
          <w:tblCellSpacing w:w="0" w:type="dxa"/>
        </w:trPr>
        <w:tc>
          <w:tcPr>
            <w:tcW w:w="0" w:type="auto"/>
            <w:gridSpan w:val="7"/>
            <w:vAlign w:val="center"/>
            <w:hideMark/>
          </w:tcPr>
          <w:p w14:paraId="79F091E2" w14:textId="5921E191" w:rsidR="00613B33" w:rsidRPr="003F30C1" w:rsidRDefault="00613B33" w:rsidP="00C3360E">
            <w:pPr>
              <w:spacing w:after="0" w:line="240" w:lineRule="auto"/>
              <w:rPr>
                <w:rFonts w:ascii="Latin Modern Roman" w:eastAsia="Times New Roman" w:hAnsi="Latin Modern Roman" w:cs="Arial"/>
                <w:color w:val="000000"/>
                <w:sz w:val="20"/>
                <w:szCs w:val="20"/>
                <w:lang w:val="en-US" w:eastAsia="de-DE"/>
              </w:rPr>
            </w:pPr>
            <w:r w:rsidRPr="003F30C1">
              <w:rPr>
                <w:rFonts w:ascii="Latin Modern Roman" w:eastAsia="Times New Roman" w:hAnsi="Latin Modern Roman" w:cs="Arial"/>
                <w:color w:val="000000"/>
                <w:sz w:val="20"/>
                <w:szCs w:val="20"/>
                <w:lang w:val="en-US" w:eastAsia="de-DE"/>
              </w:rPr>
              <w:t xml:space="preserve">Note: Robust standard errors in parentheses, * p &lt; 0.1, ** p &lt; 0.05, *** p &lt; 0.01. Excess mortality estimates are for the month of May. All regressions are </w:t>
            </w:r>
            <w:r w:rsidR="00812C3B">
              <w:rPr>
                <w:rFonts w:ascii="Latin Modern Roman" w:eastAsia="Times New Roman" w:hAnsi="Latin Modern Roman" w:cs="Arial"/>
                <w:color w:val="000000"/>
                <w:sz w:val="20"/>
                <w:szCs w:val="20"/>
                <w:lang w:val="en-US" w:eastAsia="de-DE"/>
              </w:rPr>
              <w:t xml:space="preserve">performed using </w:t>
            </w:r>
            <w:r w:rsidRPr="003F30C1">
              <w:rPr>
                <w:rFonts w:ascii="Latin Modern Roman" w:eastAsia="Times New Roman" w:hAnsi="Latin Modern Roman" w:cs="Arial"/>
                <w:color w:val="000000"/>
                <w:sz w:val="20"/>
                <w:szCs w:val="20"/>
                <w:lang w:val="en-US" w:eastAsia="de-DE"/>
              </w:rPr>
              <w:t xml:space="preserve">linear </w:t>
            </w:r>
            <w:r w:rsidR="00812C3B" w:rsidRPr="003F30C1">
              <w:rPr>
                <w:rFonts w:ascii="Latin Modern Roman" w:eastAsia="Times New Roman" w:hAnsi="Latin Modern Roman" w:cs="Arial"/>
                <w:color w:val="000000"/>
                <w:sz w:val="20"/>
                <w:szCs w:val="20"/>
                <w:lang w:val="en-US" w:eastAsia="de-DE"/>
              </w:rPr>
              <w:t>probability</w:t>
            </w:r>
            <w:r w:rsidRPr="003F30C1">
              <w:rPr>
                <w:rFonts w:ascii="Latin Modern Roman" w:eastAsia="Times New Roman" w:hAnsi="Latin Modern Roman" w:cs="Arial"/>
                <w:color w:val="000000"/>
                <w:sz w:val="20"/>
                <w:szCs w:val="20"/>
                <w:lang w:val="en-US" w:eastAsia="de-DE"/>
              </w:rPr>
              <w:t xml:space="preserve"> models</w:t>
            </w:r>
            <w:r w:rsidR="00812C3B">
              <w:rPr>
                <w:rFonts w:ascii="Latin Modern Roman" w:eastAsia="Times New Roman" w:hAnsi="Latin Modern Roman" w:cs="Arial"/>
                <w:color w:val="000000"/>
                <w:sz w:val="20"/>
                <w:szCs w:val="20"/>
                <w:lang w:val="en-US" w:eastAsia="de-DE"/>
              </w:rPr>
              <w:t xml:space="preserve"> and OLS</w:t>
            </w:r>
            <w:r w:rsidRPr="003F30C1">
              <w:rPr>
                <w:rFonts w:ascii="Latin Modern Roman" w:eastAsia="Times New Roman" w:hAnsi="Latin Modern Roman" w:cs="Arial"/>
                <w:color w:val="000000"/>
                <w:sz w:val="20"/>
                <w:szCs w:val="20"/>
                <w:lang w:val="en-US" w:eastAsia="de-DE"/>
              </w:rPr>
              <w:t>.</w:t>
            </w:r>
          </w:p>
        </w:tc>
      </w:tr>
    </w:tbl>
    <w:p w14:paraId="746D0A43" w14:textId="77777777" w:rsidR="00613B33" w:rsidRPr="003F30C1" w:rsidRDefault="00613B33" w:rsidP="00613B33">
      <w:pPr>
        <w:spacing w:after="0" w:line="240" w:lineRule="auto"/>
        <w:jc w:val="both"/>
        <w:rPr>
          <w:rFonts w:ascii="Latin Modern Roman" w:hAnsi="Latin Modern Roman" w:cs="Times New Roman"/>
          <w:sz w:val="20"/>
          <w:szCs w:val="20"/>
          <w:lang w:val="en-US"/>
        </w:rPr>
      </w:pPr>
    </w:p>
    <w:bookmarkEnd w:id="2"/>
    <w:p w14:paraId="162F8FFF" w14:textId="77777777" w:rsidR="00613B33" w:rsidRPr="003F30C1" w:rsidRDefault="00613B33" w:rsidP="00613B33">
      <w:pPr>
        <w:spacing w:after="0" w:line="240" w:lineRule="auto"/>
        <w:jc w:val="both"/>
        <w:rPr>
          <w:rFonts w:ascii="Latin Modern Roman" w:hAnsi="Latin Modern Roman" w:cs="Times New Roman"/>
          <w:sz w:val="20"/>
          <w:szCs w:val="20"/>
          <w:lang w:val="en-US"/>
        </w:rPr>
      </w:pPr>
    </w:p>
    <w:p w14:paraId="39B3F397" w14:textId="77777777" w:rsidR="00613B33" w:rsidRPr="0020028D" w:rsidRDefault="00613B33" w:rsidP="00613B33">
      <w:pPr>
        <w:rPr>
          <w:rFonts w:ascii="Latin Modern Roman" w:hAnsi="Latin Modern Roman"/>
          <w:sz w:val="20"/>
          <w:szCs w:val="20"/>
          <w:lang w:val="en-US"/>
        </w:rPr>
      </w:pPr>
    </w:p>
    <w:p w14:paraId="4794CC69" w14:textId="77777777" w:rsidR="00613B33" w:rsidRPr="0020028D" w:rsidRDefault="00613B33" w:rsidP="00613B33">
      <w:pPr>
        <w:rPr>
          <w:rFonts w:ascii="Latin Modern Roman" w:hAnsi="Latin Modern Roman"/>
          <w:sz w:val="20"/>
          <w:szCs w:val="20"/>
          <w:lang w:val="en-US"/>
        </w:rPr>
      </w:pPr>
    </w:p>
    <w:p w14:paraId="3272A8D8" w14:textId="77777777" w:rsidR="00613B33" w:rsidRPr="003F30C1" w:rsidRDefault="00613B33" w:rsidP="00613B33">
      <w:pPr>
        <w:rPr>
          <w:rFonts w:ascii="Latin Modern Roman" w:eastAsiaTheme="majorEastAsia" w:hAnsi="Latin Modern Roman" w:cstheme="majorBidi"/>
          <w:b/>
          <w:sz w:val="20"/>
          <w:szCs w:val="20"/>
          <w:lang w:val="en-US"/>
        </w:rPr>
      </w:pPr>
      <w:r w:rsidRPr="003F30C1">
        <w:rPr>
          <w:rFonts w:ascii="Latin Modern Roman" w:hAnsi="Latin Modern Roman"/>
          <w:b/>
          <w:sz w:val="20"/>
          <w:szCs w:val="20"/>
          <w:lang w:val="en-US"/>
        </w:rPr>
        <w:br w:type="page"/>
      </w:r>
    </w:p>
    <w:p w14:paraId="73C431FE" w14:textId="77777777" w:rsidR="00613B33" w:rsidRPr="0020028D" w:rsidRDefault="00613B33" w:rsidP="00613B33">
      <w:pPr>
        <w:pStyle w:val="berschrift2"/>
        <w:rPr>
          <w:b/>
          <w:sz w:val="20"/>
          <w:szCs w:val="20"/>
          <w:lang w:val="en-US"/>
        </w:rPr>
      </w:pPr>
      <w:r w:rsidRPr="0020028D">
        <w:rPr>
          <w:b/>
          <w:sz w:val="20"/>
          <w:szCs w:val="20"/>
          <w:lang w:val="en-US"/>
        </w:rPr>
        <w:lastRenderedPageBreak/>
        <w:t>E: Social costs of data manipulation</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292"/>
        <w:gridCol w:w="1667"/>
        <w:gridCol w:w="1907"/>
        <w:gridCol w:w="1221"/>
        <w:gridCol w:w="686"/>
        <w:gridCol w:w="16"/>
        <w:gridCol w:w="281"/>
      </w:tblGrid>
      <w:tr w:rsidR="00613B33" w:rsidRPr="00A242F8" w14:paraId="5DCD5CDC" w14:textId="77777777" w:rsidTr="00C3360E">
        <w:trPr>
          <w:gridAfter w:val="1"/>
          <w:wAfter w:w="155" w:type="pct"/>
          <w:trHeight w:val="630"/>
          <w:tblCellSpacing w:w="0" w:type="dxa"/>
        </w:trPr>
        <w:tc>
          <w:tcPr>
            <w:tcW w:w="4845" w:type="pct"/>
            <w:gridSpan w:val="6"/>
            <w:vAlign w:val="center"/>
            <w:hideMark/>
          </w:tcPr>
          <w:p w14:paraId="48BEE112" w14:textId="77777777" w:rsidR="00613B33" w:rsidRPr="003F30C1" w:rsidRDefault="00613B33" w:rsidP="00C3360E">
            <w:pPr>
              <w:spacing w:after="0" w:line="240" w:lineRule="auto"/>
              <w:rPr>
                <w:rFonts w:ascii="Latin Modern Roman" w:eastAsia="Times New Roman" w:hAnsi="Latin Modern Roman" w:cs="Arial"/>
                <w:sz w:val="20"/>
                <w:szCs w:val="20"/>
                <w:lang w:val="en-US" w:eastAsia="de-DE"/>
              </w:rPr>
            </w:pPr>
            <w:r w:rsidRPr="003F30C1">
              <w:rPr>
                <w:rFonts w:ascii="Latin Modern Roman" w:eastAsia="Times New Roman" w:hAnsi="Latin Modern Roman" w:cs="Arial"/>
                <w:sz w:val="20"/>
                <w:szCs w:val="20"/>
                <w:lang w:val="en-US" w:eastAsia="de-DE"/>
              </w:rPr>
              <w:t>Table E1: Exposed under-reporting for May and trust in COVID-19 statistics, linear probability model</w:t>
            </w:r>
          </w:p>
        </w:tc>
      </w:tr>
      <w:tr w:rsidR="00613B33" w:rsidRPr="003F30C1" w14:paraId="7F16138D" w14:textId="77777777" w:rsidTr="00C3360E">
        <w:trPr>
          <w:gridAfter w:val="2"/>
          <w:wAfter w:w="164" w:type="pct"/>
          <w:trHeight w:val="255"/>
          <w:tblCellSpacing w:w="0" w:type="dxa"/>
        </w:trPr>
        <w:tc>
          <w:tcPr>
            <w:tcW w:w="1815" w:type="pct"/>
            <w:tcBorders>
              <w:top w:val="single" w:sz="6" w:space="0" w:color="000000"/>
            </w:tcBorders>
            <w:vAlign w:val="center"/>
            <w:hideMark/>
          </w:tcPr>
          <w:p w14:paraId="2A703E49" w14:textId="77777777" w:rsidR="00613B33" w:rsidRPr="003F30C1" w:rsidRDefault="00613B33" w:rsidP="00C3360E">
            <w:pPr>
              <w:spacing w:after="0" w:line="240" w:lineRule="auto"/>
              <w:rPr>
                <w:rFonts w:ascii="Latin Modern Roman" w:eastAsia="Times New Roman" w:hAnsi="Latin Modern Roman" w:cs="Arial"/>
                <w:sz w:val="20"/>
                <w:szCs w:val="20"/>
                <w:lang w:val="en-US" w:eastAsia="de-DE"/>
              </w:rPr>
            </w:pPr>
          </w:p>
        </w:tc>
        <w:tc>
          <w:tcPr>
            <w:tcW w:w="919" w:type="pct"/>
            <w:tcBorders>
              <w:top w:val="single" w:sz="6" w:space="0" w:color="000000"/>
            </w:tcBorders>
            <w:vAlign w:val="center"/>
            <w:hideMark/>
          </w:tcPr>
          <w:p w14:paraId="2F12529C"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(1)</w:t>
            </w:r>
          </w:p>
        </w:tc>
        <w:tc>
          <w:tcPr>
            <w:tcW w:w="1051" w:type="pct"/>
            <w:tcBorders>
              <w:top w:val="single" w:sz="6" w:space="0" w:color="000000"/>
            </w:tcBorders>
            <w:vAlign w:val="center"/>
            <w:hideMark/>
          </w:tcPr>
          <w:p w14:paraId="6CF7E736"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(2)</w:t>
            </w:r>
          </w:p>
        </w:tc>
        <w:tc>
          <w:tcPr>
            <w:tcW w:w="1051" w:type="pct"/>
            <w:gridSpan w:val="2"/>
            <w:tcBorders>
              <w:top w:val="single" w:sz="6" w:space="0" w:color="000000"/>
            </w:tcBorders>
            <w:vAlign w:val="center"/>
            <w:hideMark/>
          </w:tcPr>
          <w:p w14:paraId="7D6DF9D3"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(3)</w:t>
            </w:r>
          </w:p>
        </w:tc>
      </w:tr>
      <w:tr w:rsidR="00613B33" w:rsidRPr="00A242F8" w14:paraId="13B7BFD5" w14:textId="77777777" w:rsidTr="00C3360E">
        <w:trPr>
          <w:gridAfter w:val="3"/>
          <w:wAfter w:w="542" w:type="pct"/>
          <w:trHeight w:val="255"/>
          <w:tblCellSpacing w:w="0" w:type="dxa"/>
        </w:trPr>
        <w:tc>
          <w:tcPr>
            <w:tcW w:w="1815" w:type="pct"/>
            <w:vAlign w:val="center"/>
            <w:hideMark/>
          </w:tcPr>
          <w:p w14:paraId="0CF90AD3" w14:textId="77777777" w:rsidR="00613B33" w:rsidRPr="003F30C1" w:rsidRDefault="00613B33" w:rsidP="00C3360E">
            <w:pPr>
              <w:spacing w:after="0" w:line="240" w:lineRule="auto"/>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Dependent variable:</w:t>
            </w:r>
          </w:p>
        </w:tc>
        <w:tc>
          <w:tcPr>
            <w:tcW w:w="2643" w:type="pct"/>
            <w:gridSpan w:val="3"/>
            <w:vAlign w:val="center"/>
            <w:hideMark/>
          </w:tcPr>
          <w:p w14:paraId="4CCD17A5" w14:textId="6318D6D8" w:rsidR="00174695" w:rsidRDefault="00613B33" w:rsidP="00C3360E">
            <w:pPr>
              <w:spacing w:after="0" w:line="240" w:lineRule="auto"/>
              <w:jc w:val="center"/>
              <w:rPr>
                <w:rFonts w:ascii="Latin Modern Roman" w:eastAsia="Times New Roman" w:hAnsi="Latin Modern Roman" w:cs="Arial"/>
                <w:sz w:val="20"/>
                <w:szCs w:val="20"/>
                <w:lang w:val="en-US" w:eastAsia="de-DE"/>
              </w:rPr>
            </w:pPr>
            <w:r w:rsidRPr="003F30C1">
              <w:rPr>
                <w:rFonts w:ascii="Latin Modern Roman" w:eastAsia="Times New Roman" w:hAnsi="Latin Modern Roman" w:cs="Arial"/>
                <w:sz w:val="20"/>
                <w:szCs w:val="20"/>
                <w:lang w:val="en-US" w:eastAsia="de-DE"/>
              </w:rPr>
              <w:t>Trust in official COVID-19 statistics</w:t>
            </w:r>
            <w:r w:rsidR="00174695">
              <w:rPr>
                <w:rFonts w:ascii="Latin Modern Roman" w:eastAsia="Times New Roman" w:hAnsi="Latin Modern Roman" w:cs="Arial"/>
                <w:sz w:val="20"/>
                <w:szCs w:val="20"/>
                <w:lang w:val="en-US" w:eastAsia="de-DE"/>
              </w:rPr>
              <w:t>:</w:t>
            </w:r>
          </w:p>
          <w:p w14:paraId="49210B35" w14:textId="4AF6F88E" w:rsidR="00613B33" w:rsidRPr="003F30C1" w:rsidRDefault="00613B33" w:rsidP="00C3360E">
            <w:pPr>
              <w:spacing w:after="0" w:line="240" w:lineRule="auto"/>
              <w:jc w:val="center"/>
              <w:rPr>
                <w:rFonts w:ascii="Latin Modern Roman" w:eastAsia="Times New Roman" w:hAnsi="Latin Modern Roman" w:cs="Arial"/>
                <w:sz w:val="20"/>
                <w:szCs w:val="20"/>
                <w:lang w:val="en-US" w:eastAsia="de-DE"/>
              </w:rPr>
            </w:pPr>
            <w:r w:rsidRPr="003F30C1">
              <w:rPr>
                <w:rFonts w:ascii="Latin Modern Roman" w:eastAsia="Times New Roman" w:hAnsi="Latin Modern Roman" w:cs="Arial"/>
                <w:sz w:val="20"/>
                <w:szCs w:val="20"/>
                <w:lang w:val="en-US" w:eastAsia="de-DE"/>
              </w:rPr>
              <w:t xml:space="preserve">dummy that equals 1 if </w:t>
            </w:r>
            <w:r>
              <w:rPr>
                <w:rFonts w:ascii="Latin Modern Roman" w:eastAsia="Times New Roman" w:hAnsi="Latin Modern Roman" w:cs="Arial"/>
                <w:sz w:val="20"/>
                <w:szCs w:val="20"/>
                <w:lang w:val="en-US" w:eastAsia="de-DE"/>
              </w:rPr>
              <w:t xml:space="preserve">the </w:t>
            </w:r>
            <w:r w:rsidRPr="003F30C1">
              <w:rPr>
                <w:rFonts w:ascii="Latin Modern Roman" w:eastAsia="Times New Roman" w:hAnsi="Latin Modern Roman" w:cs="Arial"/>
                <w:sz w:val="20"/>
                <w:szCs w:val="20"/>
                <w:lang w:val="en-US" w:eastAsia="de-DE"/>
              </w:rPr>
              <w:t>answer is “fully yes” or “rather yes”</w:t>
            </w:r>
            <w:r w:rsidR="00174695">
              <w:rPr>
                <w:rFonts w:ascii="Latin Modern Roman" w:eastAsia="Times New Roman" w:hAnsi="Latin Modern Roman" w:cs="Arial"/>
                <w:sz w:val="20"/>
                <w:szCs w:val="20"/>
                <w:lang w:val="en-US" w:eastAsia="de-DE"/>
              </w:rPr>
              <w:t>, 0 otherwise</w:t>
            </w:r>
          </w:p>
        </w:tc>
      </w:tr>
      <w:tr w:rsidR="00613B33" w:rsidRPr="003F30C1" w14:paraId="3C98024A" w14:textId="77777777" w:rsidTr="00C3360E">
        <w:trPr>
          <w:gridAfter w:val="2"/>
          <w:wAfter w:w="164" w:type="pct"/>
          <w:trHeight w:val="330"/>
          <w:tblCellSpacing w:w="0" w:type="dxa"/>
        </w:trPr>
        <w:tc>
          <w:tcPr>
            <w:tcW w:w="1815" w:type="pct"/>
            <w:hideMark/>
          </w:tcPr>
          <w:p w14:paraId="0B46FE1D" w14:textId="77777777" w:rsidR="00613B33" w:rsidRPr="003F30C1" w:rsidRDefault="00613B33" w:rsidP="00C3360E">
            <w:pPr>
              <w:spacing w:after="0" w:line="240" w:lineRule="auto"/>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Sample</w:t>
            </w:r>
          </w:p>
        </w:tc>
        <w:tc>
          <w:tcPr>
            <w:tcW w:w="3021" w:type="pct"/>
            <w:gridSpan w:val="4"/>
            <w:hideMark/>
          </w:tcPr>
          <w:p w14:paraId="3D8F46B2"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Full sample</w:t>
            </w:r>
          </w:p>
        </w:tc>
      </w:tr>
      <w:tr w:rsidR="00613B33" w:rsidRPr="003F30C1" w14:paraId="07C62338" w14:textId="77777777" w:rsidTr="00C3360E">
        <w:trPr>
          <w:gridAfter w:val="2"/>
          <w:wAfter w:w="164" w:type="pct"/>
          <w:trHeight w:val="330"/>
          <w:tblCellSpacing w:w="0" w:type="dxa"/>
        </w:trPr>
        <w:tc>
          <w:tcPr>
            <w:tcW w:w="1815" w:type="pct"/>
            <w:tcBorders>
              <w:top w:val="single" w:sz="6" w:space="0" w:color="000000"/>
            </w:tcBorders>
            <w:hideMark/>
          </w:tcPr>
          <w:p w14:paraId="2E9CB2BE" w14:textId="77777777" w:rsidR="00613B33" w:rsidRPr="003F30C1" w:rsidRDefault="00613B33" w:rsidP="00C3360E">
            <w:pPr>
              <w:spacing w:after="0" w:line="240" w:lineRule="auto"/>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Under-reporting, ratio</w:t>
            </w:r>
          </w:p>
        </w:tc>
        <w:tc>
          <w:tcPr>
            <w:tcW w:w="919" w:type="pct"/>
            <w:tcBorders>
              <w:top w:val="single" w:sz="6" w:space="0" w:color="000000"/>
            </w:tcBorders>
            <w:hideMark/>
          </w:tcPr>
          <w:p w14:paraId="4C81DF0A"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-0.001**</w:t>
            </w:r>
          </w:p>
        </w:tc>
        <w:tc>
          <w:tcPr>
            <w:tcW w:w="1051" w:type="pct"/>
            <w:tcBorders>
              <w:top w:val="single" w:sz="6" w:space="0" w:color="000000"/>
            </w:tcBorders>
            <w:hideMark/>
          </w:tcPr>
          <w:p w14:paraId="2D566F6E"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0.000</w:t>
            </w:r>
          </w:p>
        </w:tc>
        <w:tc>
          <w:tcPr>
            <w:tcW w:w="1051" w:type="pct"/>
            <w:gridSpan w:val="2"/>
            <w:tcBorders>
              <w:top w:val="single" w:sz="6" w:space="0" w:color="000000"/>
            </w:tcBorders>
            <w:hideMark/>
          </w:tcPr>
          <w:p w14:paraId="67FD9EE8"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0.001</w:t>
            </w:r>
          </w:p>
        </w:tc>
      </w:tr>
      <w:tr w:rsidR="00613B33" w:rsidRPr="003F30C1" w14:paraId="048CFFE1" w14:textId="77777777" w:rsidTr="00C3360E">
        <w:trPr>
          <w:gridAfter w:val="2"/>
          <w:wAfter w:w="164" w:type="pct"/>
          <w:trHeight w:val="255"/>
          <w:tblCellSpacing w:w="0" w:type="dxa"/>
        </w:trPr>
        <w:tc>
          <w:tcPr>
            <w:tcW w:w="1815" w:type="pct"/>
            <w:vAlign w:val="center"/>
            <w:hideMark/>
          </w:tcPr>
          <w:p w14:paraId="5741D543" w14:textId="77777777" w:rsidR="00613B33" w:rsidRPr="003F30C1" w:rsidRDefault="00613B33" w:rsidP="00C3360E">
            <w:pPr>
              <w:spacing w:after="0" w:line="240" w:lineRule="auto"/>
              <w:rPr>
                <w:rFonts w:ascii="Latin Modern Roman" w:eastAsia="Times New Roman" w:hAnsi="Latin Modern Roman" w:cs="Arial"/>
                <w:sz w:val="20"/>
                <w:szCs w:val="20"/>
                <w:lang w:eastAsia="de-DE"/>
              </w:rPr>
            </w:pPr>
          </w:p>
        </w:tc>
        <w:tc>
          <w:tcPr>
            <w:tcW w:w="919" w:type="pct"/>
            <w:vAlign w:val="center"/>
            <w:hideMark/>
          </w:tcPr>
          <w:p w14:paraId="139F54D8"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(0.000)</w:t>
            </w:r>
          </w:p>
        </w:tc>
        <w:tc>
          <w:tcPr>
            <w:tcW w:w="1051" w:type="pct"/>
            <w:vAlign w:val="center"/>
            <w:hideMark/>
          </w:tcPr>
          <w:p w14:paraId="62868C5A"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(0.001)</w:t>
            </w:r>
          </w:p>
        </w:tc>
        <w:tc>
          <w:tcPr>
            <w:tcW w:w="1051" w:type="pct"/>
            <w:gridSpan w:val="2"/>
            <w:vAlign w:val="center"/>
            <w:hideMark/>
          </w:tcPr>
          <w:p w14:paraId="5EC34723"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(0.001)</w:t>
            </w:r>
          </w:p>
        </w:tc>
      </w:tr>
      <w:tr w:rsidR="00613B33" w:rsidRPr="003F30C1" w14:paraId="2A69B21A" w14:textId="77777777" w:rsidTr="00C3360E">
        <w:trPr>
          <w:gridAfter w:val="2"/>
          <w:wAfter w:w="164" w:type="pct"/>
          <w:trHeight w:val="308"/>
          <w:tblCellSpacing w:w="0" w:type="dxa"/>
        </w:trPr>
        <w:tc>
          <w:tcPr>
            <w:tcW w:w="1815" w:type="pct"/>
            <w:hideMark/>
          </w:tcPr>
          <w:p w14:paraId="30411F60" w14:textId="77777777" w:rsidR="00613B33" w:rsidRPr="003F30C1" w:rsidRDefault="00613B33" w:rsidP="00C3360E">
            <w:pPr>
              <w:spacing w:after="0" w:line="240" w:lineRule="auto"/>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Under-reporting * University degree</w:t>
            </w:r>
          </w:p>
        </w:tc>
        <w:tc>
          <w:tcPr>
            <w:tcW w:w="919" w:type="pct"/>
            <w:hideMark/>
          </w:tcPr>
          <w:p w14:paraId="4D5D6809"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p>
        </w:tc>
        <w:tc>
          <w:tcPr>
            <w:tcW w:w="1051" w:type="pct"/>
            <w:hideMark/>
          </w:tcPr>
          <w:p w14:paraId="136D0A06"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-0.003***</w:t>
            </w:r>
          </w:p>
        </w:tc>
        <w:tc>
          <w:tcPr>
            <w:tcW w:w="1051" w:type="pct"/>
            <w:gridSpan w:val="2"/>
            <w:hideMark/>
          </w:tcPr>
          <w:p w14:paraId="5926391B"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-0.003***</w:t>
            </w:r>
          </w:p>
        </w:tc>
      </w:tr>
      <w:tr w:rsidR="00613B33" w:rsidRPr="003F30C1" w14:paraId="768DD666" w14:textId="77777777" w:rsidTr="00C3360E">
        <w:trPr>
          <w:gridAfter w:val="2"/>
          <w:wAfter w:w="164" w:type="pct"/>
          <w:trHeight w:val="390"/>
          <w:tblCellSpacing w:w="0" w:type="dxa"/>
        </w:trPr>
        <w:tc>
          <w:tcPr>
            <w:tcW w:w="1815" w:type="pct"/>
            <w:hideMark/>
          </w:tcPr>
          <w:p w14:paraId="33E25B80" w14:textId="77777777" w:rsidR="00613B33" w:rsidRPr="003F30C1" w:rsidRDefault="00613B33" w:rsidP="00C3360E">
            <w:pPr>
              <w:spacing w:after="0" w:line="240" w:lineRule="auto"/>
              <w:rPr>
                <w:rFonts w:ascii="Latin Modern Roman" w:eastAsia="Times New Roman" w:hAnsi="Latin Modern Roman" w:cs="Arial"/>
                <w:sz w:val="20"/>
                <w:szCs w:val="20"/>
                <w:lang w:eastAsia="de-DE"/>
              </w:rPr>
            </w:pPr>
          </w:p>
        </w:tc>
        <w:tc>
          <w:tcPr>
            <w:tcW w:w="919" w:type="pct"/>
            <w:hideMark/>
          </w:tcPr>
          <w:p w14:paraId="0DDCFEFE"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p>
        </w:tc>
        <w:tc>
          <w:tcPr>
            <w:tcW w:w="1051" w:type="pct"/>
            <w:hideMark/>
          </w:tcPr>
          <w:p w14:paraId="722F004E"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(0.001)</w:t>
            </w:r>
          </w:p>
        </w:tc>
        <w:tc>
          <w:tcPr>
            <w:tcW w:w="1051" w:type="pct"/>
            <w:gridSpan w:val="2"/>
            <w:hideMark/>
          </w:tcPr>
          <w:p w14:paraId="102BACB8"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(0.001)</w:t>
            </w:r>
          </w:p>
        </w:tc>
      </w:tr>
      <w:tr w:rsidR="00613B33" w:rsidRPr="003F30C1" w14:paraId="70AFBE3F" w14:textId="77777777" w:rsidTr="00C3360E">
        <w:trPr>
          <w:gridAfter w:val="2"/>
          <w:wAfter w:w="164" w:type="pct"/>
          <w:trHeight w:val="255"/>
          <w:tblCellSpacing w:w="0" w:type="dxa"/>
        </w:trPr>
        <w:tc>
          <w:tcPr>
            <w:tcW w:w="1815" w:type="pct"/>
            <w:vAlign w:val="center"/>
            <w:hideMark/>
          </w:tcPr>
          <w:p w14:paraId="3A66F2CD" w14:textId="77777777" w:rsidR="00613B33" w:rsidRPr="003F30C1" w:rsidRDefault="00613B33" w:rsidP="00C3360E">
            <w:pPr>
              <w:spacing w:after="0" w:line="240" w:lineRule="auto"/>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University degree, dummy</w:t>
            </w:r>
          </w:p>
        </w:tc>
        <w:tc>
          <w:tcPr>
            <w:tcW w:w="919" w:type="pct"/>
            <w:vAlign w:val="center"/>
            <w:hideMark/>
          </w:tcPr>
          <w:p w14:paraId="1A7D841B"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p>
        </w:tc>
        <w:tc>
          <w:tcPr>
            <w:tcW w:w="1051" w:type="pct"/>
            <w:vAlign w:val="center"/>
            <w:hideMark/>
          </w:tcPr>
          <w:p w14:paraId="5C41CD48"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-0.023</w:t>
            </w:r>
          </w:p>
        </w:tc>
        <w:tc>
          <w:tcPr>
            <w:tcW w:w="1051" w:type="pct"/>
            <w:gridSpan w:val="2"/>
            <w:vAlign w:val="center"/>
            <w:hideMark/>
          </w:tcPr>
          <w:p w14:paraId="636D3C50"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-0.119</w:t>
            </w:r>
          </w:p>
        </w:tc>
      </w:tr>
      <w:tr w:rsidR="00613B33" w:rsidRPr="003F30C1" w14:paraId="48B31DEA" w14:textId="77777777" w:rsidTr="00C3360E">
        <w:trPr>
          <w:gridAfter w:val="2"/>
          <w:wAfter w:w="164" w:type="pct"/>
          <w:trHeight w:val="255"/>
          <w:tblCellSpacing w:w="0" w:type="dxa"/>
        </w:trPr>
        <w:tc>
          <w:tcPr>
            <w:tcW w:w="1815" w:type="pct"/>
            <w:vAlign w:val="center"/>
            <w:hideMark/>
          </w:tcPr>
          <w:p w14:paraId="21227A63" w14:textId="77777777" w:rsidR="00613B33" w:rsidRPr="003F30C1" w:rsidRDefault="00613B33" w:rsidP="00C3360E">
            <w:pPr>
              <w:spacing w:after="0" w:line="240" w:lineRule="auto"/>
              <w:rPr>
                <w:rFonts w:ascii="Latin Modern Roman" w:eastAsia="Times New Roman" w:hAnsi="Latin Modern Roman" w:cs="Arial"/>
                <w:sz w:val="20"/>
                <w:szCs w:val="20"/>
                <w:lang w:eastAsia="de-DE"/>
              </w:rPr>
            </w:pPr>
          </w:p>
        </w:tc>
        <w:tc>
          <w:tcPr>
            <w:tcW w:w="919" w:type="pct"/>
            <w:vAlign w:val="center"/>
            <w:hideMark/>
          </w:tcPr>
          <w:p w14:paraId="42BDF969"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p>
        </w:tc>
        <w:tc>
          <w:tcPr>
            <w:tcW w:w="1051" w:type="pct"/>
            <w:vAlign w:val="center"/>
            <w:hideMark/>
          </w:tcPr>
          <w:p w14:paraId="0D161BFF"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(0.028)</w:t>
            </w:r>
          </w:p>
        </w:tc>
        <w:tc>
          <w:tcPr>
            <w:tcW w:w="1051" w:type="pct"/>
            <w:gridSpan w:val="2"/>
            <w:vAlign w:val="center"/>
            <w:hideMark/>
          </w:tcPr>
          <w:p w14:paraId="243CB9DD"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(0.072)</w:t>
            </w:r>
          </w:p>
        </w:tc>
      </w:tr>
      <w:tr w:rsidR="00613B33" w:rsidRPr="003F30C1" w14:paraId="23092DA0" w14:textId="77777777" w:rsidTr="00C3360E">
        <w:trPr>
          <w:gridAfter w:val="2"/>
          <w:wAfter w:w="164" w:type="pct"/>
          <w:trHeight w:val="390"/>
          <w:tblCellSpacing w:w="0" w:type="dxa"/>
        </w:trPr>
        <w:tc>
          <w:tcPr>
            <w:tcW w:w="1815" w:type="pct"/>
            <w:vAlign w:val="center"/>
            <w:hideMark/>
          </w:tcPr>
          <w:p w14:paraId="1A8F708D" w14:textId="77777777" w:rsidR="00613B33" w:rsidRPr="003F30C1" w:rsidRDefault="00613B33" w:rsidP="00C3360E">
            <w:pPr>
              <w:spacing w:after="0" w:line="240" w:lineRule="auto"/>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Zero-excess mortality, dummy</w:t>
            </w:r>
          </w:p>
        </w:tc>
        <w:tc>
          <w:tcPr>
            <w:tcW w:w="919" w:type="pct"/>
            <w:vAlign w:val="center"/>
            <w:hideMark/>
          </w:tcPr>
          <w:p w14:paraId="0BDDA333"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0.069**</w:t>
            </w:r>
          </w:p>
        </w:tc>
        <w:tc>
          <w:tcPr>
            <w:tcW w:w="1051" w:type="pct"/>
            <w:vAlign w:val="center"/>
            <w:hideMark/>
          </w:tcPr>
          <w:p w14:paraId="50CA8410"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0.067**</w:t>
            </w:r>
          </w:p>
        </w:tc>
        <w:tc>
          <w:tcPr>
            <w:tcW w:w="1051" w:type="pct"/>
            <w:gridSpan w:val="2"/>
            <w:vAlign w:val="center"/>
            <w:hideMark/>
          </w:tcPr>
          <w:p w14:paraId="04393DEC"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0.088***</w:t>
            </w:r>
          </w:p>
        </w:tc>
      </w:tr>
      <w:tr w:rsidR="00613B33" w:rsidRPr="003F30C1" w14:paraId="573E98B7" w14:textId="77777777" w:rsidTr="00C3360E">
        <w:trPr>
          <w:gridAfter w:val="2"/>
          <w:wAfter w:w="164" w:type="pct"/>
          <w:trHeight w:val="255"/>
          <w:tblCellSpacing w:w="0" w:type="dxa"/>
        </w:trPr>
        <w:tc>
          <w:tcPr>
            <w:tcW w:w="1815" w:type="pct"/>
            <w:vAlign w:val="center"/>
            <w:hideMark/>
          </w:tcPr>
          <w:p w14:paraId="32281104" w14:textId="77777777" w:rsidR="00613B33" w:rsidRPr="003F30C1" w:rsidRDefault="00613B33" w:rsidP="00C3360E">
            <w:pPr>
              <w:spacing w:after="0" w:line="240" w:lineRule="auto"/>
              <w:rPr>
                <w:rFonts w:ascii="Latin Modern Roman" w:eastAsia="Times New Roman" w:hAnsi="Latin Modern Roman" w:cs="Arial"/>
                <w:sz w:val="20"/>
                <w:szCs w:val="20"/>
                <w:lang w:eastAsia="de-DE"/>
              </w:rPr>
            </w:pPr>
          </w:p>
        </w:tc>
        <w:tc>
          <w:tcPr>
            <w:tcW w:w="919" w:type="pct"/>
            <w:vAlign w:val="center"/>
            <w:hideMark/>
          </w:tcPr>
          <w:p w14:paraId="4621A1A4"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(0.027)</w:t>
            </w:r>
          </w:p>
        </w:tc>
        <w:tc>
          <w:tcPr>
            <w:tcW w:w="1051" w:type="pct"/>
            <w:vAlign w:val="center"/>
            <w:hideMark/>
          </w:tcPr>
          <w:p w14:paraId="1342EC98"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(0.028)</w:t>
            </w:r>
          </w:p>
        </w:tc>
        <w:tc>
          <w:tcPr>
            <w:tcW w:w="1051" w:type="pct"/>
            <w:gridSpan w:val="2"/>
            <w:vAlign w:val="center"/>
            <w:hideMark/>
          </w:tcPr>
          <w:p w14:paraId="097B38CC"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(0.026)</w:t>
            </w:r>
          </w:p>
        </w:tc>
      </w:tr>
      <w:tr w:rsidR="00613B33" w:rsidRPr="003F30C1" w14:paraId="6E0B03F3" w14:textId="77777777" w:rsidTr="00C3360E">
        <w:trPr>
          <w:gridAfter w:val="2"/>
          <w:wAfter w:w="164" w:type="pct"/>
          <w:trHeight w:val="255"/>
          <w:tblCellSpacing w:w="0" w:type="dxa"/>
        </w:trPr>
        <w:tc>
          <w:tcPr>
            <w:tcW w:w="1815" w:type="pct"/>
            <w:tcBorders>
              <w:bottom w:val="single" w:sz="6" w:space="0" w:color="000000"/>
            </w:tcBorders>
            <w:vAlign w:val="center"/>
            <w:hideMark/>
          </w:tcPr>
          <w:p w14:paraId="17757D93" w14:textId="77777777" w:rsidR="00613B33" w:rsidRPr="003F30C1" w:rsidRDefault="00613B33" w:rsidP="00C3360E">
            <w:pPr>
              <w:spacing w:after="0" w:line="240" w:lineRule="auto"/>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 xml:space="preserve">Controls </w:t>
            </w:r>
          </w:p>
        </w:tc>
        <w:tc>
          <w:tcPr>
            <w:tcW w:w="919" w:type="pct"/>
            <w:tcBorders>
              <w:bottom w:val="single" w:sz="6" w:space="0" w:color="000000"/>
            </w:tcBorders>
            <w:vAlign w:val="center"/>
            <w:hideMark/>
          </w:tcPr>
          <w:p w14:paraId="115F22C2"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No</w:t>
            </w:r>
          </w:p>
        </w:tc>
        <w:tc>
          <w:tcPr>
            <w:tcW w:w="1051" w:type="pct"/>
            <w:tcBorders>
              <w:bottom w:val="single" w:sz="6" w:space="0" w:color="000000"/>
            </w:tcBorders>
            <w:vAlign w:val="center"/>
            <w:hideMark/>
          </w:tcPr>
          <w:p w14:paraId="09C5225B"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No</w:t>
            </w:r>
          </w:p>
        </w:tc>
        <w:tc>
          <w:tcPr>
            <w:tcW w:w="1051" w:type="pct"/>
            <w:gridSpan w:val="2"/>
            <w:tcBorders>
              <w:bottom w:val="single" w:sz="6" w:space="0" w:color="000000"/>
            </w:tcBorders>
            <w:vAlign w:val="center"/>
            <w:hideMark/>
          </w:tcPr>
          <w:p w14:paraId="6AC3A12C"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Yes</w:t>
            </w:r>
          </w:p>
        </w:tc>
      </w:tr>
      <w:tr w:rsidR="00613B33" w:rsidRPr="003F30C1" w14:paraId="6BEDB5F5" w14:textId="77777777" w:rsidTr="00C3360E">
        <w:trPr>
          <w:gridAfter w:val="2"/>
          <w:wAfter w:w="164" w:type="pct"/>
          <w:trHeight w:val="315"/>
          <w:tblCellSpacing w:w="0" w:type="dxa"/>
        </w:trPr>
        <w:tc>
          <w:tcPr>
            <w:tcW w:w="1815" w:type="pct"/>
            <w:tcBorders>
              <w:top w:val="single" w:sz="6" w:space="0" w:color="000000"/>
            </w:tcBorders>
            <w:vAlign w:val="center"/>
            <w:hideMark/>
          </w:tcPr>
          <w:p w14:paraId="37A381DB" w14:textId="77777777" w:rsidR="00613B33" w:rsidRPr="003F30C1" w:rsidRDefault="00613B33" w:rsidP="00C3360E">
            <w:pPr>
              <w:spacing w:after="0" w:line="240" w:lineRule="auto"/>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Observations</w:t>
            </w:r>
          </w:p>
        </w:tc>
        <w:tc>
          <w:tcPr>
            <w:tcW w:w="919" w:type="pct"/>
            <w:tcBorders>
              <w:top w:val="single" w:sz="6" w:space="0" w:color="000000"/>
            </w:tcBorders>
            <w:vAlign w:val="center"/>
            <w:hideMark/>
          </w:tcPr>
          <w:p w14:paraId="16B97CB6"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1570</w:t>
            </w:r>
          </w:p>
        </w:tc>
        <w:tc>
          <w:tcPr>
            <w:tcW w:w="1051" w:type="pct"/>
            <w:tcBorders>
              <w:top w:val="single" w:sz="6" w:space="0" w:color="000000"/>
            </w:tcBorders>
            <w:vAlign w:val="center"/>
            <w:hideMark/>
          </w:tcPr>
          <w:p w14:paraId="64F216E6"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1570</w:t>
            </w:r>
          </w:p>
        </w:tc>
        <w:tc>
          <w:tcPr>
            <w:tcW w:w="1051" w:type="pct"/>
            <w:gridSpan w:val="2"/>
            <w:tcBorders>
              <w:top w:val="single" w:sz="6" w:space="0" w:color="000000"/>
            </w:tcBorders>
            <w:vAlign w:val="center"/>
            <w:hideMark/>
          </w:tcPr>
          <w:p w14:paraId="36656C04"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1570</w:t>
            </w:r>
          </w:p>
        </w:tc>
      </w:tr>
      <w:tr w:rsidR="00613B33" w:rsidRPr="003F30C1" w14:paraId="33F5E451" w14:textId="77777777" w:rsidTr="00C3360E">
        <w:trPr>
          <w:gridAfter w:val="2"/>
          <w:wAfter w:w="164" w:type="pct"/>
          <w:trHeight w:val="315"/>
          <w:tblCellSpacing w:w="0" w:type="dxa"/>
        </w:trPr>
        <w:tc>
          <w:tcPr>
            <w:tcW w:w="1815" w:type="pct"/>
            <w:tcBorders>
              <w:bottom w:val="single" w:sz="6" w:space="0" w:color="000000"/>
            </w:tcBorders>
            <w:vAlign w:val="center"/>
            <w:hideMark/>
          </w:tcPr>
          <w:p w14:paraId="196A7669" w14:textId="77777777" w:rsidR="00613B33" w:rsidRPr="003F30C1" w:rsidRDefault="00613B33" w:rsidP="00C3360E">
            <w:pPr>
              <w:spacing w:after="0" w:line="240" w:lineRule="auto"/>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R2</w:t>
            </w:r>
          </w:p>
        </w:tc>
        <w:tc>
          <w:tcPr>
            <w:tcW w:w="919" w:type="pct"/>
            <w:tcBorders>
              <w:bottom w:val="single" w:sz="6" w:space="0" w:color="000000"/>
            </w:tcBorders>
            <w:vAlign w:val="center"/>
            <w:hideMark/>
          </w:tcPr>
          <w:p w14:paraId="244D5E1B"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0.01</w:t>
            </w:r>
          </w:p>
        </w:tc>
        <w:tc>
          <w:tcPr>
            <w:tcW w:w="1051" w:type="pct"/>
            <w:tcBorders>
              <w:bottom w:val="single" w:sz="6" w:space="0" w:color="000000"/>
            </w:tcBorders>
            <w:vAlign w:val="center"/>
            <w:hideMark/>
          </w:tcPr>
          <w:p w14:paraId="472001FB"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0.01</w:t>
            </w:r>
          </w:p>
        </w:tc>
        <w:tc>
          <w:tcPr>
            <w:tcW w:w="1051" w:type="pct"/>
            <w:gridSpan w:val="2"/>
            <w:tcBorders>
              <w:bottom w:val="single" w:sz="6" w:space="0" w:color="000000"/>
            </w:tcBorders>
            <w:vAlign w:val="center"/>
            <w:hideMark/>
          </w:tcPr>
          <w:p w14:paraId="31F8E1A9" w14:textId="77777777" w:rsidR="00613B33" w:rsidRPr="003F30C1" w:rsidRDefault="00613B33" w:rsidP="00C3360E">
            <w:pPr>
              <w:spacing w:after="0" w:line="240" w:lineRule="auto"/>
              <w:jc w:val="center"/>
              <w:rPr>
                <w:rFonts w:ascii="Latin Modern Roman" w:eastAsia="Times New Roman" w:hAnsi="Latin Modern Roman" w:cs="Arial"/>
                <w:sz w:val="20"/>
                <w:szCs w:val="20"/>
                <w:lang w:eastAsia="de-DE"/>
              </w:rPr>
            </w:pPr>
            <w:r w:rsidRPr="003F30C1">
              <w:rPr>
                <w:rFonts w:ascii="Latin Modern Roman" w:eastAsia="Times New Roman" w:hAnsi="Latin Modern Roman" w:cs="Arial"/>
                <w:sz w:val="20"/>
                <w:szCs w:val="20"/>
                <w:lang w:eastAsia="de-DE"/>
              </w:rPr>
              <w:t>0.09</w:t>
            </w:r>
          </w:p>
        </w:tc>
      </w:tr>
      <w:tr w:rsidR="00613B33" w:rsidRPr="00A242F8" w14:paraId="16E114A0" w14:textId="77777777" w:rsidTr="00C3360E">
        <w:trPr>
          <w:trHeight w:val="690"/>
          <w:tblCellSpacing w:w="0" w:type="dxa"/>
        </w:trPr>
        <w:tc>
          <w:tcPr>
            <w:tcW w:w="5000" w:type="pct"/>
            <w:gridSpan w:val="7"/>
            <w:vAlign w:val="center"/>
            <w:hideMark/>
          </w:tcPr>
          <w:p w14:paraId="7B44BBAF" w14:textId="3313AF63" w:rsidR="00613B33" w:rsidRPr="003F30C1" w:rsidRDefault="00613B33" w:rsidP="00C3360E">
            <w:pPr>
              <w:spacing w:after="0" w:line="240" w:lineRule="auto"/>
              <w:rPr>
                <w:rFonts w:ascii="Latin Modern Roman" w:eastAsia="Times New Roman" w:hAnsi="Latin Modern Roman" w:cs="Arial"/>
                <w:sz w:val="20"/>
                <w:szCs w:val="20"/>
                <w:lang w:val="en-US" w:eastAsia="de-DE"/>
              </w:rPr>
            </w:pPr>
            <w:r w:rsidRPr="003F30C1">
              <w:rPr>
                <w:rFonts w:ascii="Latin Modern Roman" w:eastAsia="Times New Roman" w:hAnsi="Latin Modern Roman" w:cs="Arial"/>
                <w:sz w:val="20"/>
                <w:szCs w:val="20"/>
                <w:lang w:val="en-US" w:eastAsia="de-DE"/>
              </w:rPr>
              <w:t>Notes: SE values in parentheses, * p &lt; 0.1, ** p &lt; 0.05, *** p &lt; 0.01. SE are clustered at the region</w:t>
            </w:r>
            <w:r w:rsidR="00612784">
              <w:rPr>
                <w:rFonts w:ascii="Latin Modern Roman" w:eastAsia="Times New Roman" w:hAnsi="Latin Modern Roman" w:cs="Arial"/>
                <w:sz w:val="20"/>
                <w:szCs w:val="20"/>
                <w:lang w:val="en-US" w:eastAsia="de-DE"/>
              </w:rPr>
              <w:t>al</w:t>
            </w:r>
            <w:r w:rsidRPr="003F30C1">
              <w:rPr>
                <w:rFonts w:ascii="Latin Modern Roman" w:eastAsia="Times New Roman" w:hAnsi="Latin Modern Roman" w:cs="Arial"/>
                <w:sz w:val="20"/>
                <w:szCs w:val="20"/>
                <w:lang w:val="en-US" w:eastAsia="de-DE"/>
              </w:rPr>
              <w:t xml:space="preserve"> level. Controls include education levels, income groups, dummies for occupations, gender, and the size of the city. The Levada survey was carried out two weeks after the official regional all-cause mortality data was published online and over three weeks after the referendum.</w:t>
            </w:r>
          </w:p>
        </w:tc>
      </w:tr>
    </w:tbl>
    <w:p w14:paraId="53E0EEE7" w14:textId="77777777" w:rsidR="00613B33" w:rsidRPr="0020028D" w:rsidRDefault="00613B33" w:rsidP="00613B33">
      <w:pPr>
        <w:rPr>
          <w:rFonts w:ascii="Latin Modern Roman" w:hAnsi="Latin Modern Roman"/>
          <w:sz w:val="20"/>
          <w:szCs w:val="20"/>
          <w:lang w:val="en-US"/>
        </w:rPr>
      </w:pPr>
      <w:r w:rsidRPr="0020028D">
        <w:rPr>
          <w:rFonts w:ascii="Latin Modern Roman" w:hAnsi="Latin Modern Roman"/>
          <w:sz w:val="20"/>
          <w:szCs w:val="20"/>
          <w:lang w:val="en-US"/>
        </w:rPr>
        <w:t xml:space="preserve"> </w:t>
      </w:r>
    </w:p>
    <w:p w14:paraId="7739F745" w14:textId="77777777" w:rsidR="00613B33" w:rsidRPr="0020028D" w:rsidRDefault="00613B33" w:rsidP="00613B33">
      <w:pPr>
        <w:rPr>
          <w:rFonts w:ascii="Latin Modern Roman" w:hAnsi="Latin Modern Roman"/>
          <w:lang w:val="en-US"/>
        </w:rPr>
      </w:pPr>
      <w:r w:rsidRPr="0020028D">
        <w:rPr>
          <w:rFonts w:ascii="Latin Modern Roman" w:hAnsi="Latin Modern Roman"/>
          <w:lang w:val="en-US"/>
        </w:rPr>
        <w:br w:type="page"/>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329"/>
        <w:gridCol w:w="1817"/>
        <w:gridCol w:w="1924"/>
      </w:tblGrid>
      <w:tr w:rsidR="00613B33" w:rsidRPr="00A242F8" w14:paraId="1984FC63" w14:textId="77777777" w:rsidTr="00C3360E">
        <w:trPr>
          <w:trHeight w:val="720"/>
          <w:tblCellSpacing w:w="0" w:type="dxa"/>
        </w:trPr>
        <w:tc>
          <w:tcPr>
            <w:tcW w:w="9070" w:type="dxa"/>
            <w:gridSpan w:val="3"/>
            <w:vAlign w:val="center"/>
            <w:hideMark/>
          </w:tcPr>
          <w:p w14:paraId="05D00CBA" w14:textId="77777777" w:rsidR="00613B33" w:rsidRPr="003F30C1" w:rsidRDefault="00613B33" w:rsidP="00C3360E">
            <w:pPr>
              <w:spacing w:after="0" w:line="240" w:lineRule="auto"/>
              <w:rPr>
                <w:rFonts w:ascii="Latin Modern Roman" w:hAnsi="Latin Modern Roman" w:cs="Arial"/>
                <w:sz w:val="20"/>
                <w:szCs w:val="20"/>
                <w:lang w:val="en-US"/>
              </w:rPr>
            </w:pPr>
            <w:r w:rsidRPr="003F30C1">
              <w:rPr>
                <w:rFonts w:ascii="Latin Modern Roman" w:hAnsi="Latin Modern Roman" w:cs="Arial"/>
                <w:sz w:val="20"/>
                <w:szCs w:val="20"/>
                <w:lang w:val="en-US"/>
              </w:rPr>
              <w:lastRenderedPageBreak/>
              <w:t>Table E2: Elasticity between self-isolation and mortality by month and the effect of the exposed under-reporting in May</w:t>
            </w:r>
          </w:p>
        </w:tc>
      </w:tr>
      <w:tr w:rsidR="00613B33" w:rsidRPr="003F30C1" w14:paraId="155F0B2E" w14:textId="77777777" w:rsidTr="00C3360E">
        <w:trPr>
          <w:trHeight w:val="315"/>
          <w:tblCellSpacing w:w="0" w:type="dxa"/>
        </w:trPr>
        <w:tc>
          <w:tcPr>
            <w:tcW w:w="0" w:type="auto"/>
            <w:tcBorders>
              <w:top w:val="single" w:sz="6" w:space="0" w:color="000000"/>
            </w:tcBorders>
            <w:vAlign w:val="center"/>
            <w:hideMark/>
          </w:tcPr>
          <w:p w14:paraId="1DD31A03" w14:textId="77777777" w:rsidR="00613B33" w:rsidRPr="003F30C1" w:rsidRDefault="00613B33" w:rsidP="00C3360E">
            <w:pPr>
              <w:spacing w:after="0" w:line="240" w:lineRule="auto"/>
              <w:rPr>
                <w:rFonts w:ascii="Latin Modern Roman" w:hAnsi="Latin Modern Roman" w:cs="Arial"/>
                <w:sz w:val="20"/>
                <w:szCs w:val="20"/>
                <w:lang w:val="en-US"/>
              </w:rPr>
            </w:pPr>
          </w:p>
        </w:tc>
        <w:tc>
          <w:tcPr>
            <w:tcW w:w="0" w:type="auto"/>
            <w:tcBorders>
              <w:top w:val="single" w:sz="6" w:space="0" w:color="000000"/>
            </w:tcBorders>
            <w:vAlign w:val="center"/>
            <w:hideMark/>
          </w:tcPr>
          <w:p w14:paraId="4699B9D5"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(1)</w:t>
            </w:r>
          </w:p>
        </w:tc>
        <w:tc>
          <w:tcPr>
            <w:tcW w:w="0" w:type="auto"/>
            <w:tcBorders>
              <w:top w:val="single" w:sz="6" w:space="0" w:color="000000"/>
            </w:tcBorders>
            <w:vAlign w:val="center"/>
            <w:hideMark/>
          </w:tcPr>
          <w:p w14:paraId="127B0AEE"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(2)</w:t>
            </w:r>
          </w:p>
        </w:tc>
      </w:tr>
      <w:tr w:rsidR="00613B33" w:rsidRPr="003F30C1" w14:paraId="1A82B9C8" w14:textId="77777777" w:rsidTr="00C3360E">
        <w:trPr>
          <w:trHeight w:val="255"/>
          <w:tblCellSpacing w:w="0" w:type="dxa"/>
        </w:trPr>
        <w:tc>
          <w:tcPr>
            <w:tcW w:w="0" w:type="auto"/>
            <w:vAlign w:val="center"/>
            <w:hideMark/>
          </w:tcPr>
          <w:p w14:paraId="7A3C9875" w14:textId="77777777" w:rsidR="00613B33" w:rsidRPr="003F30C1" w:rsidRDefault="00613B33" w:rsidP="00C3360E">
            <w:pPr>
              <w:spacing w:after="0" w:line="240" w:lineRule="auto"/>
              <w:rPr>
                <w:rFonts w:ascii="Latin Modern Roman" w:hAnsi="Latin Modern Roman" w:cs="Arial"/>
                <w:sz w:val="20"/>
                <w:szCs w:val="20"/>
              </w:rPr>
            </w:pPr>
            <w:r w:rsidRPr="003F30C1">
              <w:rPr>
                <w:rFonts w:ascii="Latin Modern Roman" w:hAnsi="Latin Modern Roman" w:cs="Arial"/>
                <w:sz w:val="20"/>
                <w:szCs w:val="20"/>
              </w:rPr>
              <w:t>Dependent variable:</w:t>
            </w:r>
          </w:p>
        </w:tc>
        <w:tc>
          <w:tcPr>
            <w:tcW w:w="0" w:type="auto"/>
            <w:gridSpan w:val="2"/>
            <w:vAlign w:val="center"/>
            <w:hideMark/>
          </w:tcPr>
          <w:p w14:paraId="01B1BBEA"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Self-isolation index</w:t>
            </w:r>
          </w:p>
        </w:tc>
      </w:tr>
      <w:tr w:rsidR="00613B33" w:rsidRPr="003F30C1" w14:paraId="13F7625D" w14:textId="77777777" w:rsidTr="00C3360E">
        <w:trPr>
          <w:trHeight w:val="315"/>
          <w:tblCellSpacing w:w="0" w:type="dxa"/>
        </w:trPr>
        <w:tc>
          <w:tcPr>
            <w:tcW w:w="0" w:type="auto"/>
            <w:tcBorders>
              <w:top w:val="single" w:sz="6" w:space="0" w:color="000000"/>
            </w:tcBorders>
            <w:vAlign w:val="center"/>
            <w:hideMark/>
          </w:tcPr>
          <w:p w14:paraId="241DE2DC" w14:textId="77777777" w:rsidR="00613B33" w:rsidRPr="003F30C1" w:rsidRDefault="00613B33" w:rsidP="00C3360E">
            <w:pPr>
              <w:spacing w:after="0" w:line="240" w:lineRule="auto"/>
              <w:rPr>
                <w:rFonts w:ascii="Latin Modern Roman" w:hAnsi="Latin Modern Roman" w:cs="Arial"/>
                <w:sz w:val="20"/>
                <w:szCs w:val="20"/>
              </w:rPr>
            </w:pPr>
            <w:r w:rsidRPr="003F30C1">
              <w:rPr>
                <w:rFonts w:ascii="Latin Modern Roman" w:hAnsi="Latin Modern Roman" w:cs="Arial"/>
                <w:bCs/>
                <w:sz w:val="20"/>
                <w:szCs w:val="20"/>
              </w:rPr>
              <w:t>Apr * COVID-19</w:t>
            </w:r>
          </w:p>
        </w:tc>
        <w:tc>
          <w:tcPr>
            <w:tcW w:w="0" w:type="auto"/>
            <w:tcBorders>
              <w:top w:val="single" w:sz="6" w:space="0" w:color="000000"/>
            </w:tcBorders>
            <w:vAlign w:val="center"/>
            <w:hideMark/>
          </w:tcPr>
          <w:p w14:paraId="2994DB0E"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0.0600**</w:t>
            </w:r>
          </w:p>
        </w:tc>
        <w:tc>
          <w:tcPr>
            <w:tcW w:w="0" w:type="auto"/>
            <w:tcBorders>
              <w:top w:val="single" w:sz="6" w:space="0" w:color="000000"/>
            </w:tcBorders>
            <w:vAlign w:val="center"/>
            <w:hideMark/>
          </w:tcPr>
          <w:p w14:paraId="4EA4665A"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0.0612**</w:t>
            </w:r>
          </w:p>
        </w:tc>
      </w:tr>
      <w:tr w:rsidR="00613B33" w:rsidRPr="003F30C1" w14:paraId="64281BD8" w14:textId="77777777" w:rsidTr="00C3360E">
        <w:trPr>
          <w:trHeight w:val="315"/>
          <w:tblCellSpacing w:w="0" w:type="dxa"/>
        </w:trPr>
        <w:tc>
          <w:tcPr>
            <w:tcW w:w="0" w:type="auto"/>
            <w:vAlign w:val="center"/>
            <w:hideMark/>
          </w:tcPr>
          <w:p w14:paraId="14855132"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5988A29C"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(0.0253)</w:t>
            </w:r>
          </w:p>
        </w:tc>
        <w:tc>
          <w:tcPr>
            <w:tcW w:w="0" w:type="auto"/>
            <w:vAlign w:val="center"/>
            <w:hideMark/>
          </w:tcPr>
          <w:p w14:paraId="69D32465"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(0.0254)</w:t>
            </w:r>
          </w:p>
        </w:tc>
      </w:tr>
      <w:tr w:rsidR="00613B33" w:rsidRPr="003F30C1" w14:paraId="018F8E74" w14:textId="77777777" w:rsidTr="00C3360E">
        <w:trPr>
          <w:trHeight w:val="315"/>
          <w:tblCellSpacing w:w="0" w:type="dxa"/>
        </w:trPr>
        <w:tc>
          <w:tcPr>
            <w:tcW w:w="0" w:type="auto"/>
            <w:vAlign w:val="center"/>
            <w:hideMark/>
          </w:tcPr>
          <w:p w14:paraId="71C10F8C" w14:textId="77777777" w:rsidR="00613B33" w:rsidRPr="003F30C1" w:rsidRDefault="00613B33" w:rsidP="00C3360E">
            <w:pPr>
              <w:spacing w:after="0" w:line="240" w:lineRule="auto"/>
              <w:rPr>
                <w:rFonts w:ascii="Latin Modern Roman" w:hAnsi="Latin Modern Roman" w:cs="Arial"/>
                <w:sz w:val="20"/>
                <w:szCs w:val="20"/>
              </w:rPr>
            </w:pPr>
            <w:r w:rsidRPr="003F30C1">
              <w:rPr>
                <w:rFonts w:ascii="Latin Modern Roman" w:hAnsi="Latin Modern Roman" w:cs="Arial"/>
                <w:bCs/>
                <w:sz w:val="20"/>
                <w:szCs w:val="20"/>
              </w:rPr>
              <w:t>May * COVID-19</w:t>
            </w:r>
          </w:p>
        </w:tc>
        <w:tc>
          <w:tcPr>
            <w:tcW w:w="0" w:type="auto"/>
            <w:vAlign w:val="center"/>
            <w:hideMark/>
          </w:tcPr>
          <w:p w14:paraId="167E6526"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0.0534***</w:t>
            </w:r>
          </w:p>
        </w:tc>
        <w:tc>
          <w:tcPr>
            <w:tcW w:w="0" w:type="auto"/>
            <w:vAlign w:val="center"/>
            <w:hideMark/>
          </w:tcPr>
          <w:p w14:paraId="09FB1CE1"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0.0537***</w:t>
            </w:r>
          </w:p>
        </w:tc>
      </w:tr>
      <w:tr w:rsidR="00613B33" w:rsidRPr="003F30C1" w14:paraId="50FE2183" w14:textId="77777777" w:rsidTr="00C3360E">
        <w:trPr>
          <w:trHeight w:val="315"/>
          <w:tblCellSpacing w:w="0" w:type="dxa"/>
        </w:trPr>
        <w:tc>
          <w:tcPr>
            <w:tcW w:w="0" w:type="auto"/>
            <w:vAlign w:val="center"/>
            <w:hideMark/>
          </w:tcPr>
          <w:p w14:paraId="7B5899C8"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11107CDB"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(0.0079)</w:t>
            </w:r>
          </w:p>
        </w:tc>
        <w:tc>
          <w:tcPr>
            <w:tcW w:w="0" w:type="auto"/>
            <w:vAlign w:val="center"/>
            <w:hideMark/>
          </w:tcPr>
          <w:p w14:paraId="40928B7D"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(0.0077)</w:t>
            </w:r>
          </w:p>
        </w:tc>
      </w:tr>
      <w:tr w:rsidR="00613B33" w:rsidRPr="003F30C1" w14:paraId="371D7F43" w14:textId="77777777" w:rsidTr="00C3360E">
        <w:trPr>
          <w:trHeight w:val="315"/>
          <w:tblCellSpacing w:w="0" w:type="dxa"/>
        </w:trPr>
        <w:tc>
          <w:tcPr>
            <w:tcW w:w="0" w:type="auto"/>
            <w:vAlign w:val="center"/>
            <w:hideMark/>
          </w:tcPr>
          <w:p w14:paraId="40587608" w14:textId="77777777" w:rsidR="00613B33" w:rsidRPr="003F30C1" w:rsidRDefault="00613B33" w:rsidP="00C3360E">
            <w:pPr>
              <w:spacing w:after="0" w:line="240" w:lineRule="auto"/>
              <w:rPr>
                <w:rFonts w:ascii="Latin Modern Roman" w:hAnsi="Latin Modern Roman" w:cs="Arial"/>
                <w:sz w:val="20"/>
                <w:szCs w:val="20"/>
              </w:rPr>
            </w:pPr>
            <w:r w:rsidRPr="003F30C1">
              <w:rPr>
                <w:rFonts w:ascii="Latin Modern Roman" w:hAnsi="Latin Modern Roman" w:cs="Arial"/>
                <w:bCs/>
                <w:sz w:val="20"/>
                <w:szCs w:val="20"/>
              </w:rPr>
              <w:t>Jun * COVID-19</w:t>
            </w:r>
          </w:p>
        </w:tc>
        <w:tc>
          <w:tcPr>
            <w:tcW w:w="0" w:type="auto"/>
            <w:vAlign w:val="center"/>
            <w:hideMark/>
          </w:tcPr>
          <w:p w14:paraId="1CB4E9C6"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0.0183***</w:t>
            </w:r>
          </w:p>
        </w:tc>
        <w:tc>
          <w:tcPr>
            <w:tcW w:w="0" w:type="auto"/>
            <w:vAlign w:val="center"/>
            <w:hideMark/>
          </w:tcPr>
          <w:p w14:paraId="637914BD"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0.0151**</w:t>
            </w:r>
          </w:p>
        </w:tc>
      </w:tr>
      <w:tr w:rsidR="00613B33" w:rsidRPr="003F30C1" w14:paraId="61666E64" w14:textId="77777777" w:rsidTr="00C3360E">
        <w:trPr>
          <w:trHeight w:val="315"/>
          <w:tblCellSpacing w:w="0" w:type="dxa"/>
        </w:trPr>
        <w:tc>
          <w:tcPr>
            <w:tcW w:w="0" w:type="auto"/>
            <w:vAlign w:val="center"/>
            <w:hideMark/>
          </w:tcPr>
          <w:p w14:paraId="01A7F6B3" w14:textId="77777777" w:rsidR="00613B33" w:rsidRPr="003F30C1" w:rsidRDefault="00613B33" w:rsidP="00C3360E">
            <w:pPr>
              <w:spacing w:after="0" w:line="240" w:lineRule="auto"/>
              <w:rPr>
                <w:rFonts w:ascii="Latin Modern Roman" w:hAnsi="Latin Modern Roman" w:cs="Arial"/>
                <w:sz w:val="20"/>
                <w:szCs w:val="20"/>
              </w:rPr>
            </w:pPr>
          </w:p>
        </w:tc>
        <w:tc>
          <w:tcPr>
            <w:tcW w:w="0" w:type="auto"/>
            <w:vAlign w:val="center"/>
            <w:hideMark/>
          </w:tcPr>
          <w:p w14:paraId="23AFDDD6"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(0.0057)</w:t>
            </w:r>
          </w:p>
        </w:tc>
        <w:tc>
          <w:tcPr>
            <w:tcW w:w="0" w:type="auto"/>
            <w:vAlign w:val="center"/>
            <w:hideMark/>
          </w:tcPr>
          <w:p w14:paraId="2CDE260C"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(0.0069)</w:t>
            </w:r>
          </w:p>
        </w:tc>
      </w:tr>
      <w:tr w:rsidR="00613B33" w:rsidRPr="003F30C1" w14:paraId="7B0BB32E" w14:textId="77777777" w:rsidTr="00C3360E">
        <w:trPr>
          <w:trHeight w:val="315"/>
          <w:tblCellSpacing w:w="0" w:type="dxa"/>
        </w:trPr>
        <w:tc>
          <w:tcPr>
            <w:tcW w:w="0" w:type="auto"/>
            <w:vAlign w:val="center"/>
            <w:hideMark/>
          </w:tcPr>
          <w:p w14:paraId="31A5D439" w14:textId="77777777" w:rsidR="00613B33" w:rsidRPr="003F30C1" w:rsidRDefault="00613B33" w:rsidP="00C3360E">
            <w:pPr>
              <w:spacing w:after="0" w:line="240" w:lineRule="auto"/>
              <w:rPr>
                <w:rFonts w:ascii="Latin Modern Roman" w:hAnsi="Latin Modern Roman" w:cs="Arial"/>
                <w:sz w:val="20"/>
                <w:szCs w:val="20"/>
              </w:rPr>
            </w:pPr>
            <w:r w:rsidRPr="003F30C1">
              <w:rPr>
                <w:rFonts w:ascii="Latin Modern Roman" w:hAnsi="Latin Modern Roman" w:cs="Arial"/>
                <w:sz w:val="20"/>
                <w:szCs w:val="20"/>
              </w:rPr>
              <w:t>Jul * COVID-19</w:t>
            </w:r>
          </w:p>
        </w:tc>
        <w:tc>
          <w:tcPr>
            <w:tcW w:w="0" w:type="auto"/>
            <w:vAlign w:val="center"/>
            <w:hideMark/>
          </w:tcPr>
          <w:p w14:paraId="41CB616E"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0.0094*</w:t>
            </w:r>
          </w:p>
        </w:tc>
        <w:tc>
          <w:tcPr>
            <w:tcW w:w="0" w:type="auto"/>
            <w:vAlign w:val="center"/>
            <w:hideMark/>
          </w:tcPr>
          <w:p w14:paraId="326580D1"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0.0187***</w:t>
            </w:r>
          </w:p>
        </w:tc>
      </w:tr>
      <w:tr w:rsidR="00613B33" w:rsidRPr="003F30C1" w14:paraId="7FF11922" w14:textId="77777777" w:rsidTr="00C3360E">
        <w:trPr>
          <w:trHeight w:val="315"/>
          <w:tblCellSpacing w:w="0" w:type="dxa"/>
        </w:trPr>
        <w:tc>
          <w:tcPr>
            <w:tcW w:w="0" w:type="auto"/>
            <w:vAlign w:val="center"/>
            <w:hideMark/>
          </w:tcPr>
          <w:p w14:paraId="0AE5E313"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30451104"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(0.0049)</w:t>
            </w:r>
          </w:p>
        </w:tc>
        <w:tc>
          <w:tcPr>
            <w:tcW w:w="0" w:type="auto"/>
            <w:vAlign w:val="center"/>
            <w:hideMark/>
          </w:tcPr>
          <w:p w14:paraId="64AA9A5F"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(0.0048)</w:t>
            </w:r>
          </w:p>
        </w:tc>
      </w:tr>
      <w:tr w:rsidR="00613B33" w:rsidRPr="003F30C1" w14:paraId="60019C9C" w14:textId="77777777" w:rsidTr="00C3360E">
        <w:trPr>
          <w:trHeight w:val="315"/>
          <w:tblCellSpacing w:w="0" w:type="dxa"/>
        </w:trPr>
        <w:tc>
          <w:tcPr>
            <w:tcW w:w="0" w:type="auto"/>
            <w:vAlign w:val="center"/>
            <w:hideMark/>
          </w:tcPr>
          <w:p w14:paraId="5F5E1966" w14:textId="77777777" w:rsidR="00613B33" w:rsidRPr="003F30C1" w:rsidRDefault="00613B33" w:rsidP="00C3360E">
            <w:pPr>
              <w:spacing w:after="0" w:line="240" w:lineRule="auto"/>
              <w:rPr>
                <w:rFonts w:ascii="Latin Modern Roman" w:hAnsi="Latin Modern Roman" w:cs="Arial"/>
                <w:sz w:val="20"/>
                <w:szCs w:val="20"/>
              </w:rPr>
            </w:pPr>
            <w:r w:rsidRPr="003F30C1">
              <w:rPr>
                <w:rFonts w:ascii="Latin Modern Roman" w:hAnsi="Latin Modern Roman" w:cs="Arial"/>
                <w:sz w:val="20"/>
                <w:szCs w:val="20"/>
              </w:rPr>
              <w:t>Aug * COVID-19</w:t>
            </w:r>
          </w:p>
        </w:tc>
        <w:tc>
          <w:tcPr>
            <w:tcW w:w="0" w:type="auto"/>
            <w:vAlign w:val="center"/>
            <w:hideMark/>
          </w:tcPr>
          <w:p w14:paraId="38013532"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0.0063</w:t>
            </w:r>
          </w:p>
        </w:tc>
        <w:tc>
          <w:tcPr>
            <w:tcW w:w="0" w:type="auto"/>
            <w:vAlign w:val="center"/>
            <w:hideMark/>
          </w:tcPr>
          <w:p w14:paraId="2162A285"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0.0151**</w:t>
            </w:r>
          </w:p>
        </w:tc>
      </w:tr>
      <w:tr w:rsidR="00613B33" w:rsidRPr="003F30C1" w14:paraId="5869880C" w14:textId="77777777" w:rsidTr="00C3360E">
        <w:trPr>
          <w:trHeight w:val="315"/>
          <w:tblCellSpacing w:w="0" w:type="dxa"/>
        </w:trPr>
        <w:tc>
          <w:tcPr>
            <w:tcW w:w="0" w:type="auto"/>
            <w:vAlign w:val="center"/>
            <w:hideMark/>
          </w:tcPr>
          <w:p w14:paraId="38E1F3C6"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4F51CA5F"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(0.0079)</w:t>
            </w:r>
          </w:p>
        </w:tc>
        <w:tc>
          <w:tcPr>
            <w:tcW w:w="0" w:type="auto"/>
            <w:vAlign w:val="center"/>
            <w:hideMark/>
          </w:tcPr>
          <w:p w14:paraId="0FCD7761"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(0.0059)</w:t>
            </w:r>
          </w:p>
        </w:tc>
      </w:tr>
      <w:tr w:rsidR="00613B33" w:rsidRPr="003F30C1" w14:paraId="5CF1128A" w14:textId="77777777" w:rsidTr="00C3360E">
        <w:trPr>
          <w:trHeight w:val="315"/>
          <w:tblCellSpacing w:w="0" w:type="dxa"/>
        </w:trPr>
        <w:tc>
          <w:tcPr>
            <w:tcW w:w="0" w:type="auto"/>
            <w:vAlign w:val="center"/>
            <w:hideMark/>
          </w:tcPr>
          <w:p w14:paraId="63951CF5" w14:textId="77777777" w:rsidR="00613B33" w:rsidRPr="003F30C1" w:rsidRDefault="00613B33" w:rsidP="00C3360E">
            <w:pPr>
              <w:spacing w:after="0" w:line="240" w:lineRule="auto"/>
              <w:rPr>
                <w:rFonts w:ascii="Latin Modern Roman" w:hAnsi="Latin Modern Roman" w:cs="Arial"/>
                <w:sz w:val="20"/>
                <w:szCs w:val="20"/>
              </w:rPr>
            </w:pPr>
            <w:r w:rsidRPr="003F30C1">
              <w:rPr>
                <w:rFonts w:ascii="Latin Modern Roman" w:hAnsi="Latin Modern Roman" w:cs="Arial"/>
                <w:sz w:val="20"/>
                <w:szCs w:val="20"/>
              </w:rPr>
              <w:t>Sep * COVID-19</w:t>
            </w:r>
          </w:p>
        </w:tc>
        <w:tc>
          <w:tcPr>
            <w:tcW w:w="0" w:type="auto"/>
            <w:vAlign w:val="center"/>
            <w:hideMark/>
          </w:tcPr>
          <w:p w14:paraId="6A84D2B8"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0.0088</w:t>
            </w:r>
          </w:p>
        </w:tc>
        <w:tc>
          <w:tcPr>
            <w:tcW w:w="0" w:type="auto"/>
            <w:vAlign w:val="center"/>
            <w:hideMark/>
          </w:tcPr>
          <w:p w14:paraId="0494D662"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0.0182***</w:t>
            </w:r>
          </w:p>
        </w:tc>
      </w:tr>
      <w:tr w:rsidR="00613B33" w:rsidRPr="003F30C1" w14:paraId="0C1C2672" w14:textId="77777777" w:rsidTr="00C3360E">
        <w:trPr>
          <w:trHeight w:val="315"/>
          <w:tblCellSpacing w:w="0" w:type="dxa"/>
        </w:trPr>
        <w:tc>
          <w:tcPr>
            <w:tcW w:w="0" w:type="auto"/>
            <w:vAlign w:val="center"/>
            <w:hideMark/>
          </w:tcPr>
          <w:p w14:paraId="27612707"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55230ACA"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(0.0069)</w:t>
            </w:r>
          </w:p>
        </w:tc>
        <w:tc>
          <w:tcPr>
            <w:tcW w:w="0" w:type="auto"/>
            <w:vAlign w:val="center"/>
            <w:hideMark/>
          </w:tcPr>
          <w:p w14:paraId="3C61B9A8"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(0.0064)</w:t>
            </w:r>
          </w:p>
        </w:tc>
      </w:tr>
      <w:tr w:rsidR="00613B33" w:rsidRPr="003F30C1" w14:paraId="4B274D39" w14:textId="77777777" w:rsidTr="00C3360E">
        <w:trPr>
          <w:trHeight w:val="315"/>
          <w:tblCellSpacing w:w="0" w:type="dxa"/>
        </w:trPr>
        <w:tc>
          <w:tcPr>
            <w:tcW w:w="0" w:type="auto"/>
            <w:vAlign w:val="center"/>
            <w:hideMark/>
          </w:tcPr>
          <w:p w14:paraId="2EFB90AC" w14:textId="77777777" w:rsidR="00613B33" w:rsidRPr="003F30C1" w:rsidRDefault="00613B33" w:rsidP="00C3360E">
            <w:pPr>
              <w:spacing w:after="0" w:line="240" w:lineRule="auto"/>
              <w:rPr>
                <w:rFonts w:ascii="Latin Modern Roman" w:hAnsi="Latin Modern Roman" w:cs="Arial"/>
                <w:sz w:val="20"/>
                <w:szCs w:val="20"/>
              </w:rPr>
            </w:pPr>
            <w:r w:rsidRPr="003F30C1">
              <w:rPr>
                <w:rFonts w:ascii="Latin Modern Roman" w:hAnsi="Latin Modern Roman" w:cs="Arial"/>
                <w:sz w:val="20"/>
                <w:szCs w:val="20"/>
              </w:rPr>
              <w:t>Oct * COVID-19</w:t>
            </w:r>
          </w:p>
        </w:tc>
        <w:tc>
          <w:tcPr>
            <w:tcW w:w="0" w:type="auto"/>
            <w:vAlign w:val="center"/>
            <w:hideMark/>
          </w:tcPr>
          <w:p w14:paraId="03E9E53D"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0.0051</w:t>
            </w:r>
          </w:p>
        </w:tc>
        <w:tc>
          <w:tcPr>
            <w:tcW w:w="0" w:type="auto"/>
            <w:vAlign w:val="center"/>
            <w:hideMark/>
          </w:tcPr>
          <w:p w14:paraId="3F0C04F7"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0.0162***</w:t>
            </w:r>
          </w:p>
        </w:tc>
      </w:tr>
      <w:tr w:rsidR="00613B33" w:rsidRPr="003F30C1" w14:paraId="780ED97D" w14:textId="77777777" w:rsidTr="00C3360E">
        <w:trPr>
          <w:trHeight w:val="315"/>
          <w:tblCellSpacing w:w="0" w:type="dxa"/>
        </w:trPr>
        <w:tc>
          <w:tcPr>
            <w:tcW w:w="0" w:type="auto"/>
            <w:vAlign w:val="center"/>
            <w:hideMark/>
          </w:tcPr>
          <w:p w14:paraId="3DCA6736"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18E664DA"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(0.0045)</w:t>
            </w:r>
          </w:p>
        </w:tc>
        <w:tc>
          <w:tcPr>
            <w:tcW w:w="0" w:type="auto"/>
            <w:vAlign w:val="center"/>
            <w:hideMark/>
          </w:tcPr>
          <w:p w14:paraId="59B7B7B1"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(0.0051)</w:t>
            </w:r>
          </w:p>
        </w:tc>
      </w:tr>
      <w:tr w:rsidR="00613B33" w:rsidRPr="003F30C1" w14:paraId="635110D7" w14:textId="77777777" w:rsidTr="00C3360E">
        <w:trPr>
          <w:trHeight w:val="315"/>
          <w:tblCellSpacing w:w="0" w:type="dxa"/>
        </w:trPr>
        <w:tc>
          <w:tcPr>
            <w:tcW w:w="0" w:type="auto"/>
            <w:vAlign w:val="center"/>
            <w:hideMark/>
          </w:tcPr>
          <w:p w14:paraId="6CBA8898" w14:textId="77777777" w:rsidR="00613B33" w:rsidRPr="003F30C1" w:rsidRDefault="00613B33" w:rsidP="00C3360E">
            <w:pPr>
              <w:spacing w:after="0" w:line="240" w:lineRule="auto"/>
              <w:rPr>
                <w:rFonts w:ascii="Latin Modern Roman" w:hAnsi="Latin Modern Roman" w:cs="Arial"/>
                <w:sz w:val="20"/>
                <w:szCs w:val="20"/>
              </w:rPr>
            </w:pPr>
            <w:r w:rsidRPr="003F30C1">
              <w:rPr>
                <w:rFonts w:ascii="Latin Modern Roman" w:hAnsi="Latin Modern Roman" w:cs="Arial"/>
                <w:sz w:val="20"/>
                <w:szCs w:val="20"/>
              </w:rPr>
              <w:t>Nov * COVID-19</w:t>
            </w:r>
          </w:p>
        </w:tc>
        <w:tc>
          <w:tcPr>
            <w:tcW w:w="0" w:type="auto"/>
            <w:vAlign w:val="center"/>
            <w:hideMark/>
          </w:tcPr>
          <w:p w14:paraId="4B17168B"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0.0039*</w:t>
            </w:r>
          </w:p>
        </w:tc>
        <w:tc>
          <w:tcPr>
            <w:tcW w:w="0" w:type="auto"/>
            <w:vAlign w:val="center"/>
            <w:hideMark/>
          </w:tcPr>
          <w:p w14:paraId="4FC8BEEB"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0.0101***</w:t>
            </w:r>
          </w:p>
        </w:tc>
      </w:tr>
      <w:tr w:rsidR="00613B33" w:rsidRPr="003F30C1" w14:paraId="3437797F" w14:textId="77777777" w:rsidTr="00C3360E">
        <w:trPr>
          <w:trHeight w:val="315"/>
          <w:tblCellSpacing w:w="0" w:type="dxa"/>
        </w:trPr>
        <w:tc>
          <w:tcPr>
            <w:tcW w:w="0" w:type="auto"/>
            <w:vAlign w:val="center"/>
            <w:hideMark/>
          </w:tcPr>
          <w:p w14:paraId="37FFEF48"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708B7B90"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(0.0022)</w:t>
            </w:r>
          </w:p>
        </w:tc>
        <w:tc>
          <w:tcPr>
            <w:tcW w:w="0" w:type="auto"/>
            <w:vAlign w:val="center"/>
            <w:hideMark/>
          </w:tcPr>
          <w:p w14:paraId="32103E6C"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(0.0030)</w:t>
            </w:r>
          </w:p>
        </w:tc>
      </w:tr>
      <w:tr w:rsidR="00613B33" w:rsidRPr="003F30C1" w14:paraId="5B2E77F0" w14:textId="77777777" w:rsidTr="00C3360E">
        <w:trPr>
          <w:trHeight w:val="315"/>
          <w:tblCellSpacing w:w="0" w:type="dxa"/>
        </w:trPr>
        <w:tc>
          <w:tcPr>
            <w:tcW w:w="0" w:type="auto"/>
            <w:vAlign w:val="center"/>
            <w:hideMark/>
          </w:tcPr>
          <w:p w14:paraId="4F3CC2D2" w14:textId="77777777" w:rsidR="00613B33" w:rsidRPr="003F30C1" w:rsidRDefault="00613B33" w:rsidP="00C3360E">
            <w:pPr>
              <w:spacing w:after="0" w:line="240" w:lineRule="auto"/>
              <w:rPr>
                <w:rFonts w:ascii="Latin Modern Roman" w:hAnsi="Latin Modern Roman" w:cs="Arial"/>
                <w:sz w:val="20"/>
                <w:szCs w:val="20"/>
              </w:rPr>
            </w:pPr>
            <w:r w:rsidRPr="003F30C1">
              <w:rPr>
                <w:rFonts w:ascii="Latin Modern Roman" w:hAnsi="Latin Modern Roman" w:cs="Arial"/>
                <w:bCs/>
                <w:sz w:val="20"/>
                <w:szCs w:val="20"/>
              </w:rPr>
              <w:t>Jul * COVID-19 * Under-reporting</w:t>
            </w:r>
          </w:p>
        </w:tc>
        <w:tc>
          <w:tcPr>
            <w:tcW w:w="0" w:type="auto"/>
            <w:vAlign w:val="center"/>
            <w:hideMark/>
          </w:tcPr>
          <w:p w14:paraId="690AC947"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5DD8A493"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bCs/>
                <w:sz w:val="20"/>
                <w:szCs w:val="20"/>
              </w:rPr>
              <w:t>-0.0016**</w:t>
            </w:r>
          </w:p>
        </w:tc>
      </w:tr>
      <w:tr w:rsidR="00613B33" w:rsidRPr="003F30C1" w14:paraId="47CC4199" w14:textId="77777777" w:rsidTr="00C3360E">
        <w:trPr>
          <w:trHeight w:val="315"/>
          <w:tblCellSpacing w:w="0" w:type="dxa"/>
        </w:trPr>
        <w:tc>
          <w:tcPr>
            <w:tcW w:w="0" w:type="auto"/>
            <w:vAlign w:val="center"/>
            <w:hideMark/>
          </w:tcPr>
          <w:p w14:paraId="20BC188B"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6B06449D"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6A833D1C"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bCs/>
                <w:sz w:val="20"/>
                <w:szCs w:val="20"/>
              </w:rPr>
              <w:t>(0.0007)</w:t>
            </w:r>
          </w:p>
        </w:tc>
      </w:tr>
      <w:tr w:rsidR="00613B33" w:rsidRPr="003F30C1" w14:paraId="2ACD3838" w14:textId="77777777" w:rsidTr="00C3360E">
        <w:trPr>
          <w:trHeight w:val="315"/>
          <w:tblCellSpacing w:w="0" w:type="dxa"/>
        </w:trPr>
        <w:tc>
          <w:tcPr>
            <w:tcW w:w="0" w:type="auto"/>
            <w:vAlign w:val="center"/>
            <w:hideMark/>
          </w:tcPr>
          <w:p w14:paraId="01FD700A" w14:textId="77777777" w:rsidR="00613B33" w:rsidRPr="003F30C1" w:rsidRDefault="00613B33" w:rsidP="00C3360E">
            <w:pPr>
              <w:spacing w:after="0" w:line="240" w:lineRule="auto"/>
              <w:rPr>
                <w:rFonts w:ascii="Latin Modern Roman" w:hAnsi="Latin Modern Roman" w:cs="Arial"/>
                <w:sz w:val="20"/>
                <w:szCs w:val="20"/>
              </w:rPr>
            </w:pPr>
            <w:r w:rsidRPr="003F30C1">
              <w:rPr>
                <w:rFonts w:ascii="Latin Modern Roman" w:hAnsi="Latin Modern Roman" w:cs="Arial"/>
                <w:bCs/>
                <w:sz w:val="20"/>
                <w:szCs w:val="20"/>
              </w:rPr>
              <w:t>Aug * COVID-19 * Under-reporting</w:t>
            </w:r>
          </w:p>
        </w:tc>
        <w:tc>
          <w:tcPr>
            <w:tcW w:w="0" w:type="auto"/>
            <w:vAlign w:val="center"/>
            <w:hideMark/>
          </w:tcPr>
          <w:p w14:paraId="72BFE0DC"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46223EBA"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bCs/>
                <w:sz w:val="20"/>
                <w:szCs w:val="20"/>
              </w:rPr>
              <w:t>-0.0039***</w:t>
            </w:r>
          </w:p>
        </w:tc>
      </w:tr>
      <w:tr w:rsidR="00613B33" w:rsidRPr="003F30C1" w14:paraId="23B78F00" w14:textId="77777777" w:rsidTr="00C3360E">
        <w:trPr>
          <w:trHeight w:val="315"/>
          <w:tblCellSpacing w:w="0" w:type="dxa"/>
        </w:trPr>
        <w:tc>
          <w:tcPr>
            <w:tcW w:w="0" w:type="auto"/>
            <w:vAlign w:val="center"/>
            <w:hideMark/>
          </w:tcPr>
          <w:p w14:paraId="1DF27D3C"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7ABB25CF"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78A66D2F"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bCs/>
                <w:sz w:val="20"/>
                <w:szCs w:val="20"/>
              </w:rPr>
              <w:t>(0.0009)</w:t>
            </w:r>
          </w:p>
        </w:tc>
      </w:tr>
      <w:tr w:rsidR="00613B33" w:rsidRPr="003F30C1" w14:paraId="29976113" w14:textId="77777777" w:rsidTr="00C3360E">
        <w:trPr>
          <w:trHeight w:val="315"/>
          <w:tblCellSpacing w:w="0" w:type="dxa"/>
        </w:trPr>
        <w:tc>
          <w:tcPr>
            <w:tcW w:w="0" w:type="auto"/>
            <w:vAlign w:val="center"/>
            <w:hideMark/>
          </w:tcPr>
          <w:p w14:paraId="53F5AE44" w14:textId="77777777" w:rsidR="00613B33" w:rsidRPr="003F30C1" w:rsidRDefault="00613B33" w:rsidP="00C3360E">
            <w:pPr>
              <w:spacing w:after="0" w:line="240" w:lineRule="auto"/>
              <w:rPr>
                <w:rFonts w:ascii="Latin Modern Roman" w:hAnsi="Latin Modern Roman" w:cs="Arial"/>
                <w:sz w:val="20"/>
                <w:szCs w:val="20"/>
              </w:rPr>
            </w:pPr>
            <w:r w:rsidRPr="003F30C1">
              <w:rPr>
                <w:rFonts w:ascii="Latin Modern Roman" w:hAnsi="Latin Modern Roman" w:cs="Arial"/>
                <w:bCs/>
                <w:sz w:val="20"/>
                <w:szCs w:val="20"/>
              </w:rPr>
              <w:t>Sep * COVID-19 * Under-reporting</w:t>
            </w:r>
          </w:p>
        </w:tc>
        <w:tc>
          <w:tcPr>
            <w:tcW w:w="0" w:type="auto"/>
            <w:vAlign w:val="center"/>
            <w:hideMark/>
          </w:tcPr>
          <w:p w14:paraId="132B5A8C"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013D594C"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bCs/>
                <w:sz w:val="20"/>
                <w:szCs w:val="20"/>
              </w:rPr>
              <w:t>-0.0027***</w:t>
            </w:r>
          </w:p>
        </w:tc>
      </w:tr>
      <w:tr w:rsidR="00613B33" w:rsidRPr="003F30C1" w14:paraId="700D39A1" w14:textId="77777777" w:rsidTr="00C3360E">
        <w:trPr>
          <w:trHeight w:val="315"/>
          <w:tblCellSpacing w:w="0" w:type="dxa"/>
        </w:trPr>
        <w:tc>
          <w:tcPr>
            <w:tcW w:w="0" w:type="auto"/>
            <w:vAlign w:val="center"/>
            <w:hideMark/>
          </w:tcPr>
          <w:p w14:paraId="2F73CCAD"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087FE5BA"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2D9CB660"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bCs/>
                <w:sz w:val="20"/>
                <w:szCs w:val="20"/>
              </w:rPr>
              <w:t>(0.0008)</w:t>
            </w:r>
          </w:p>
        </w:tc>
      </w:tr>
      <w:tr w:rsidR="00613B33" w:rsidRPr="003F30C1" w14:paraId="0C213087" w14:textId="77777777" w:rsidTr="00C3360E">
        <w:trPr>
          <w:trHeight w:val="315"/>
          <w:tblCellSpacing w:w="0" w:type="dxa"/>
        </w:trPr>
        <w:tc>
          <w:tcPr>
            <w:tcW w:w="0" w:type="auto"/>
            <w:vAlign w:val="center"/>
            <w:hideMark/>
          </w:tcPr>
          <w:p w14:paraId="4668D940" w14:textId="77777777" w:rsidR="00613B33" w:rsidRPr="003F30C1" w:rsidRDefault="00613B33" w:rsidP="00C3360E">
            <w:pPr>
              <w:spacing w:after="0" w:line="240" w:lineRule="auto"/>
              <w:rPr>
                <w:rFonts w:ascii="Latin Modern Roman" w:hAnsi="Latin Modern Roman" w:cs="Arial"/>
                <w:sz w:val="20"/>
                <w:szCs w:val="20"/>
              </w:rPr>
            </w:pPr>
            <w:r w:rsidRPr="003F30C1">
              <w:rPr>
                <w:rFonts w:ascii="Latin Modern Roman" w:hAnsi="Latin Modern Roman" w:cs="Arial"/>
                <w:bCs/>
                <w:sz w:val="20"/>
                <w:szCs w:val="20"/>
              </w:rPr>
              <w:t>Oct * COVID-19 * Under-reporting</w:t>
            </w:r>
          </w:p>
        </w:tc>
        <w:tc>
          <w:tcPr>
            <w:tcW w:w="0" w:type="auto"/>
            <w:vAlign w:val="center"/>
            <w:hideMark/>
          </w:tcPr>
          <w:p w14:paraId="3F6342F1"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5E0BF775"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bCs/>
                <w:sz w:val="20"/>
                <w:szCs w:val="20"/>
              </w:rPr>
              <w:t>-0.0026***</w:t>
            </w:r>
          </w:p>
        </w:tc>
      </w:tr>
      <w:tr w:rsidR="00613B33" w:rsidRPr="003F30C1" w14:paraId="1205E9E1" w14:textId="77777777" w:rsidTr="00C3360E">
        <w:trPr>
          <w:trHeight w:val="315"/>
          <w:tblCellSpacing w:w="0" w:type="dxa"/>
        </w:trPr>
        <w:tc>
          <w:tcPr>
            <w:tcW w:w="0" w:type="auto"/>
            <w:vAlign w:val="center"/>
            <w:hideMark/>
          </w:tcPr>
          <w:p w14:paraId="704F6988"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319072FB"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0D97C24E"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bCs/>
                <w:sz w:val="20"/>
                <w:szCs w:val="20"/>
              </w:rPr>
              <w:t>(0.0006)</w:t>
            </w:r>
          </w:p>
        </w:tc>
      </w:tr>
      <w:tr w:rsidR="00613B33" w:rsidRPr="003F30C1" w14:paraId="008487EC" w14:textId="77777777" w:rsidTr="00C3360E">
        <w:trPr>
          <w:trHeight w:val="315"/>
          <w:tblCellSpacing w:w="0" w:type="dxa"/>
        </w:trPr>
        <w:tc>
          <w:tcPr>
            <w:tcW w:w="0" w:type="auto"/>
            <w:vAlign w:val="center"/>
            <w:hideMark/>
          </w:tcPr>
          <w:p w14:paraId="07EA116B" w14:textId="77777777" w:rsidR="00613B33" w:rsidRPr="003F30C1" w:rsidRDefault="00613B33" w:rsidP="00C3360E">
            <w:pPr>
              <w:spacing w:after="0" w:line="240" w:lineRule="auto"/>
              <w:rPr>
                <w:rFonts w:ascii="Latin Modern Roman" w:hAnsi="Latin Modern Roman" w:cs="Arial"/>
                <w:sz w:val="20"/>
                <w:szCs w:val="20"/>
              </w:rPr>
            </w:pPr>
            <w:r w:rsidRPr="003F30C1">
              <w:rPr>
                <w:rFonts w:ascii="Latin Modern Roman" w:hAnsi="Latin Modern Roman" w:cs="Arial"/>
                <w:bCs/>
                <w:sz w:val="20"/>
                <w:szCs w:val="20"/>
              </w:rPr>
              <w:t>Nov * COVID-19 * Under-reporting</w:t>
            </w:r>
          </w:p>
        </w:tc>
        <w:tc>
          <w:tcPr>
            <w:tcW w:w="0" w:type="auto"/>
            <w:vAlign w:val="center"/>
            <w:hideMark/>
          </w:tcPr>
          <w:p w14:paraId="39AADD95"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vAlign w:val="center"/>
            <w:hideMark/>
          </w:tcPr>
          <w:p w14:paraId="6B03814E"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bCs/>
                <w:sz w:val="20"/>
                <w:szCs w:val="20"/>
              </w:rPr>
              <w:t>-0.0016***</w:t>
            </w:r>
          </w:p>
        </w:tc>
      </w:tr>
      <w:tr w:rsidR="00613B33" w:rsidRPr="003F30C1" w14:paraId="5859F5C5" w14:textId="77777777" w:rsidTr="00C3360E">
        <w:trPr>
          <w:trHeight w:val="315"/>
          <w:tblCellSpacing w:w="0" w:type="dxa"/>
        </w:trPr>
        <w:tc>
          <w:tcPr>
            <w:tcW w:w="0" w:type="auto"/>
            <w:tcBorders>
              <w:bottom w:val="single" w:sz="6" w:space="0" w:color="000000"/>
            </w:tcBorders>
            <w:vAlign w:val="center"/>
            <w:hideMark/>
          </w:tcPr>
          <w:p w14:paraId="775F2280"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tcBorders>
              <w:bottom w:val="single" w:sz="6" w:space="0" w:color="000000"/>
            </w:tcBorders>
            <w:vAlign w:val="center"/>
            <w:hideMark/>
          </w:tcPr>
          <w:p w14:paraId="17BB8A6E" w14:textId="77777777" w:rsidR="00613B33" w:rsidRPr="003F30C1" w:rsidRDefault="00613B33" w:rsidP="00C3360E">
            <w:pPr>
              <w:spacing w:after="0" w:line="240" w:lineRule="auto"/>
              <w:jc w:val="center"/>
              <w:rPr>
                <w:rFonts w:ascii="Latin Modern Roman" w:hAnsi="Latin Modern Roman" w:cs="Arial"/>
                <w:sz w:val="20"/>
                <w:szCs w:val="20"/>
              </w:rPr>
            </w:pPr>
          </w:p>
        </w:tc>
        <w:tc>
          <w:tcPr>
            <w:tcW w:w="0" w:type="auto"/>
            <w:tcBorders>
              <w:bottom w:val="single" w:sz="6" w:space="0" w:color="000000"/>
            </w:tcBorders>
            <w:vAlign w:val="center"/>
            <w:hideMark/>
          </w:tcPr>
          <w:p w14:paraId="10BA5BA1"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bCs/>
                <w:sz w:val="20"/>
                <w:szCs w:val="20"/>
              </w:rPr>
              <w:t>(0.0004)</w:t>
            </w:r>
          </w:p>
        </w:tc>
      </w:tr>
      <w:tr w:rsidR="00613B33" w:rsidRPr="003F30C1" w14:paraId="6E1B24F7" w14:textId="77777777" w:rsidTr="00C3360E">
        <w:trPr>
          <w:trHeight w:val="315"/>
          <w:tblCellSpacing w:w="0" w:type="dxa"/>
        </w:trPr>
        <w:tc>
          <w:tcPr>
            <w:tcW w:w="0" w:type="auto"/>
            <w:tcBorders>
              <w:top w:val="single" w:sz="6" w:space="0" w:color="000000"/>
            </w:tcBorders>
            <w:vAlign w:val="center"/>
            <w:hideMark/>
          </w:tcPr>
          <w:p w14:paraId="0E366EF2" w14:textId="77777777" w:rsidR="00613B33" w:rsidRPr="003F30C1" w:rsidRDefault="00613B33" w:rsidP="00C3360E">
            <w:pPr>
              <w:spacing w:after="0" w:line="240" w:lineRule="auto"/>
              <w:rPr>
                <w:rFonts w:ascii="Latin Modern Roman" w:hAnsi="Latin Modern Roman" w:cs="Arial"/>
                <w:sz w:val="20"/>
                <w:szCs w:val="20"/>
              </w:rPr>
            </w:pPr>
            <w:r w:rsidRPr="003F30C1">
              <w:rPr>
                <w:rFonts w:ascii="Latin Modern Roman" w:hAnsi="Latin Modern Roman" w:cs="Arial"/>
                <w:sz w:val="20"/>
                <w:szCs w:val="20"/>
              </w:rPr>
              <w:t>Observations</w:t>
            </w:r>
          </w:p>
        </w:tc>
        <w:tc>
          <w:tcPr>
            <w:tcW w:w="0" w:type="auto"/>
            <w:tcBorders>
              <w:top w:val="single" w:sz="6" w:space="0" w:color="000000"/>
            </w:tcBorders>
            <w:vAlign w:val="center"/>
            <w:hideMark/>
          </w:tcPr>
          <w:p w14:paraId="594AEE5D"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672</w:t>
            </w:r>
          </w:p>
        </w:tc>
        <w:tc>
          <w:tcPr>
            <w:tcW w:w="0" w:type="auto"/>
            <w:tcBorders>
              <w:top w:val="single" w:sz="6" w:space="0" w:color="000000"/>
            </w:tcBorders>
            <w:vAlign w:val="center"/>
            <w:hideMark/>
          </w:tcPr>
          <w:p w14:paraId="2AA74552"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672</w:t>
            </w:r>
          </w:p>
        </w:tc>
      </w:tr>
      <w:tr w:rsidR="00613B33" w:rsidRPr="003F30C1" w14:paraId="784DA2E8" w14:textId="77777777" w:rsidTr="00C3360E">
        <w:trPr>
          <w:trHeight w:val="315"/>
          <w:tblCellSpacing w:w="0" w:type="dxa"/>
        </w:trPr>
        <w:tc>
          <w:tcPr>
            <w:tcW w:w="0" w:type="auto"/>
            <w:tcBorders>
              <w:bottom w:val="single" w:sz="6" w:space="0" w:color="000000"/>
            </w:tcBorders>
            <w:vAlign w:val="center"/>
            <w:hideMark/>
          </w:tcPr>
          <w:p w14:paraId="22661131" w14:textId="77777777" w:rsidR="00613B33" w:rsidRPr="003F30C1" w:rsidRDefault="00613B33" w:rsidP="00C3360E">
            <w:pPr>
              <w:spacing w:after="0" w:line="240" w:lineRule="auto"/>
              <w:rPr>
                <w:rFonts w:ascii="Latin Modern Roman" w:hAnsi="Latin Modern Roman" w:cs="Arial"/>
                <w:sz w:val="20"/>
                <w:szCs w:val="20"/>
              </w:rPr>
            </w:pPr>
            <w:r w:rsidRPr="003F30C1">
              <w:rPr>
                <w:rFonts w:ascii="Latin Modern Roman" w:hAnsi="Latin Modern Roman" w:cs="Arial"/>
                <w:sz w:val="20"/>
                <w:szCs w:val="20"/>
              </w:rPr>
              <w:t>R2</w:t>
            </w:r>
          </w:p>
        </w:tc>
        <w:tc>
          <w:tcPr>
            <w:tcW w:w="0" w:type="auto"/>
            <w:tcBorders>
              <w:bottom w:val="single" w:sz="6" w:space="0" w:color="000000"/>
            </w:tcBorders>
            <w:vAlign w:val="center"/>
            <w:hideMark/>
          </w:tcPr>
          <w:p w14:paraId="40AE4936"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0.93</w:t>
            </w:r>
          </w:p>
        </w:tc>
        <w:tc>
          <w:tcPr>
            <w:tcW w:w="0" w:type="auto"/>
            <w:tcBorders>
              <w:bottom w:val="single" w:sz="6" w:space="0" w:color="000000"/>
            </w:tcBorders>
            <w:vAlign w:val="center"/>
            <w:hideMark/>
          </w:tcPr>
          <w:p w14:paraId="793B703C" w14:textId="77777777" w:rsidR="00613B33" w:rsidRPr="003F30C1" w:rsidRDefault="00613B33" w:rsidP="00C3360E">
            <w:pPr>
              <w:spacing w:after="0" w:line="240" w:lineRule="auto"/>
              <w:jc w:val="center"/>
              <w:rPr>
                <w:rFonts w:ascii="Latin Modern Roman" w:hAnsi="Latin Modern Roman" w:cs="Arial"/>
                <w:sz w:val="20"/>
                <w:szCs w:val="20"/>
              </w:rPr>
            </w:pPr>
            <w:r w:rsidRPr="003F30C1">
              <w:rPr>
                <w:rFonts w:ascii="Latin Modern Roman" w:hAnsi="Latin Modern Roman" w:cs="Arial"/>
                <w:sz w:val="20"/>
                <w:szCs w:val="20"/>
              </w:rPr>
              <w:t>0.93</w:t>
            </w:r>
          </w:p>
        </w:tc>
      </w:tr>
      <w:tr w:rsidR="00613B33" w:rsidRPr="00A242F8" w14:paraId="3595D301" w14:textId="77777777" w:rsidTr="00C3360E">
        <w:trPr>
          <w:trHeight w:val="600"/>
          <w:tblCellSpacing w:w="0" w:type="dxa"/>
        </w:trPr>
        <w:tc>
          <w:tcPr>
            <w:tcW w:w="0" w:type="auto"/>
            <w:gridSpan w:val="3"/>
            <w:vAlign w:val="center"/>
            <w:hideMark/>
          </w:tcPr>
          <w:p w14:paraId="556F9AE3" w14:textId="0215C304" w:rsidR="00613B33" w:rsidRPr="003F30C1" w:rsidRDefault="00613B33" w:rsidP="00C3360E">
            <w:pPr>
              <w:spacing w:after="0" w:line="240" w:lineRule="auto"/>
              <w:rPr>
                <w:rFonts w:ascii="Latin Modern Roman" w:hAnsi="Latin Modern Roman" w:cs="Arial"/>
                <w:sz w:val="20"/>
                <w:szCs w:val="20"/>
                <w:lang w:val="en-US"/>
              </w:rPr>
            </w:pPr>
            <w:r w:rsidRPr="003F30C1">
              <w:rPr>
                <w:rFonts w:ascii="Latin Modern Roman" w:hAnsi="Latin Modern Roman" w:cs="Arial"/>
                <w:sz w:val="20"/>
                <w:szCs w:val="20"/>
                <w:lang w:val="en-US"/>
              </w:rPr>
              <w:t>Notes: SE in parentheses, * p &lt; 0.1, ** p &lt; 0.05, *** p &lt; 0.01. All estimations include region and month FE; SE are clustered at</w:t>
            </w:r>
            <w:r w:rsidR="00612784">
              <w:rPr>
                <w:rFonts w:ascii="Latin Modern Roman" w:hAnsi="Latin Modern Roman" w:cs="Arial"/>
                <w:sz w:val="20"/>
                <w:szCs w:val="20"/>
                <w:lang w:val="en-US"/>
              </w:rPr>
              <w:t xml:space="preserve"> the</w:t>
            </w:r>
            <w:r w:rsidRPr="003F30C1">
              <w:rPr>
                <w:rFonts w:ascii="Latin Modern Roman" w:hAnsi="Latin Modern Roman" w:cs="Arial"/>
                <w:sz w:val="20"/>
                <w:szCs w:val="20"/>
                <w:lang w:val="en-US"/>
              </w:rPr>
              <w:t xml:space="preserve"> regional level.</w:t>
            </w:r>
          </w:p>
        </w:tc>
      </w:tr>
    </w:tbl>
    <w:p w14:paraId="4FCC8D5A" w14:textId="77777777" w:rsidR="00613B33" w:rsidRPr="005052D9" w:rsidRDefault="00613B33" w:rsidP="00613B33">
      <w:pPr>
        <w:rPr>
          <w:rFonts w:ascii="Latin Modern Roman" w:eastAsia="Times New Roman" w:hAnsi="Latin Modern Roman" w:cs="Times New Roman"/>
          <w:b/>
          <w:sz w:val="20"/>
          <w:szCs w:val="20"/>
          <w:lang w:val="en-US" w:eastAsia="de-DE"/>
        </w:rPr>
      </w:pPr>
      <w:r w:rsidRPr="0020028D">
        <w:rPr>
          <w:rFonts w:ascii="Latin Modern Roman" w:hAnsi="Latin Modern Roman"/>
          <w:sz w:val="20"/>
          <w:szCs w:val="20"/>
          <w:lang w:val="en-US"/>
        </w:rPr>
        <w:t xml:space="preserve"> </w:t>
      </w:r>
      <w:r w:rsidRPr="0020028D">
        <w:rPr>
          <w:rFonts w:ascii="Latin Modern Roman" w:hAnsi="Latin Modern Roman"/>
          <w:sz w:val="20"/>
          <w:szCs w:val="20"/>
          <w:lang w:val="en-US"/>
        </w:rPr>
        <w:br w:type="page"/>
      </w:r>
      <w:r w:rsidRPr="005052D9">
        <w:rPr>
          <w:rFonts w:ascii="Latin Modern Roman" w:eastAsia="Times New Roman" w:hAnsi="Latin Modern Roman" w:cs="Times New Roman"/>
          <w:b/>
          <w:sz w:val="20"/>
          <w:szCs w:val="20"/>
          <w:lang w:val="en-US" w:eastAsia="de-DE"/>
        </w:rPr>
        <w:lastRenderedPageBreak/>
        <w:t>References for the Appendix</w:t>
      </w:r>
    </w:p>
    <w:p w14:paraId="7557942D" w14:textId="77777777" w:rsidR="00613B33" w:rsidRPr="00384DA8" w:rsidRDefault="00613B33" w:rsidP="00613B33">
      <w:pPr>
        <w:spacing w:before="120"/>
        <w:ind w:left="567" w:hanging="567"/>
        <w:jc w:val="both"/>
        <w:rPr>
          <w:rFonts w:ascii="Latin Modern Roman" w:eastAsia="Times New Roman" w:hAnsi="Latin Modern Roman" w:cs="Times New Roman"/>
          <w:sz w:val="20"/>
          <w:szCs w:val="20"/>
          <w:lang w:val="en-US" w:eastAsia="de-DE"/>
        </w:rPr>
      </w:pPr>
      <w:r w:rsidRPr="00384DA8">
        <w:rPr>
          <w:rFonts w:ascii="Latin Modern Roman" w:eastAsia="Times New Roman" w:hAnsi="Latin Modern Roman" w:cs="Times New Roman"/>
          <w:sz w:val="20"/>
          <w:szCs w:val="20"/>
          <w:lang w:val="en-US" w:eastAsia="de-DE"/>
        </w:rPr>
        <w:t xml:space="preserve">Bandyopadhyay, S., Baticulon, R. E., Kadhum, M., Alser, M., Ojuka, D. K., Badereddin, Y., Kamath, A., Parepalli, S. A., Brown, G., Iharchane, S., Gandino, S., Markovic-Obiago, Z., Scott, S., Manirambona, E., Machhada, A., Aggarwal, A., Benazaize, L., Ibrahim, M., Kim, D., Khundkar, R. (2020). Infection and mortality of healthcare workers worldwide from COVID-19: A systematic review. </w:t>
      </w:r>
      <w:r w:rsidRPr="00384DA8">
        <w:rPr>
          <w:rFonts w:ascii="Latin Modern Roman" w:eastAsia="Times New Roman" w:hAnsi="Latin Modern Roman" w:cs="Times New Roman"/>
          <w:iCs/>
          <w:sz w:val="20"/>
          <w:szCs w:val="20"/>
          <w:lang w:val="en-US" w:eastAsia="de-DE"/>
        </w:rPr>
        <w:t>BMJ Global Health</w:t>
      </w:r>
      <w:r w:rsidRPr="00384DA8">
        <w:rPr>
          <w:rFonts w:ascii="Latin Modern Roman" w:eastAsia="Times New Roman" w:hAnsi="Latin Modern Roman" w:cs="Times New Roman"/>
          <w:sz w:val="20"/>
          <w:szCs w:val="20"/>
          <w:lang w:val="en-US" w:eastAsia="de-DE"/>
        </w:rPr>
        <w:t xml:space="preserve">, </w:t>
      </w:r>
      <w:r w:rsidRPr="00384DA8">
        <w:rPr>
          <w:rFonts w:ascii="Latin Modern Roman" w:eastAsia="Times New Roman" w:hAnsi="Latin Modern Roman" w:cs="Times New Roman"/>
          <w:iCs/>
          <w:sz w:val="20"/>
          <w:szCs w:val="20"/>
          <w:lang w:val="en-US" w:eastAsia="de-DE"/>
        </w:rPr>
        <w:t>5</w:t>
      </w:r>
      <w:r w:rsidRPr="00384DA8">
        <w:rPr>
          <w:rFonts w:ascii="Latin Modern Roman" w:eastAsia="Times New Roman" w:hAnsi="Latin Modern Roman" w:cs="Times New Roman"/>
          <w:sz w:val="20"/>
          <w:szCs w:val="20"/>
          <w:lang w:val="en-US" w:eastAsia="de-DE"/>
        </w:rPr>
        <w:t>(12), e003097.</w:t>
      </w:r>
    </w:p>
    <w:p w14:paraId="3BDC846C" w14:textId="77777777" w:rsidR="00613B33" w:rsidRPr="00384DA8" w:rsidRDefault="00613B33" w:rsidP="00613B33">
      <w:pPr>
        <w:spacing w:before="120"/>
        <w:ind w:left="567" w:hanging="567"/>
        <w:jc w:val="both"/>
        <w:rPr>
          <w:rFonts w:ascii="Latin Modern Roman" w:hAnsi="Latin Modern Roman"/>
          <w:sz w:val="20"/>
          <w:szCs w:val="20"/>
          <w:lang w:val="en-US"/>
        </w:rPr>
      </w:pPr>
      <w:r w:rsidRPr="00384DA8">
        <w:rPr>
          <w:rFonts w:ascii="Latin Modern Roman" w:hAnsi="Latin Modern Roman"/>
          <w:sz w:val="20"/>
          <w:szCs w:val="20"/>
          <w:lang w:val="en-US"/>
        </w:rPr>
        <w:t>Barany, Z. (2004). The tragedy of the Kursk: Crisis management in Putin’s Russia. Government and Opposition, 39(3), 476-503.</w:t>
      </w:r>
    </w:p>
    <w:p w14:paraId="15D109AA" w14:textId="77777777" w:rsidR="00613B33" w:rsidRPr="00384DA8" w:rsidRDefault="00613B33" w:rsidP="00613B33">
      <w:pPr>
        <w:spacing w:before="120"/>
        <w:ind w:left="567" w:hanging="567"/>
        <w:jc w:val="both"/>
        <w:rPr>
          <w:rFonts w:ascii="Latin Modern Roman" w:hAnsi="Latin Modern Roman" w:cs="Arial"/>
          <w:sz w:val="20"/>
          <w:szCs w:val="20"/>
          <w:shd w:val="clear" w:color="auto" w:fill="FFFFFF"/>
          <w:lang w:val="en-US"/>
        </w:rPr>
      </w:pPr>
      <w:r w:rsidRPr="00384DA8">
        <w:rPr>
          <w:rFonts w:ascii="Latin Modern Roman" w:hAnsi="Latin Modern Roman" w:cs="Arial"/>
          <w:sz w:val="20"/>
          <w:szCs w:val="20"/>
          <w:shd w:val="clear" w:color="auto" w:fill="FFFFFF"/>
          <w:lang w:val="en-US"/>
        </w:rPr>
        <w:t>Beazer, Q. H. (2015). Political centralization and economic performance: evidence from Russia. Journal of Politics, 77(1), 128-145.</w:t>
      </w:r>
    </w:p>
    <w:p w14:paraId="0F6C7DDA" w14:textId="77777777" w:rsidR="00613B33" w:rsidRPr="00384DA8" w:rsidRDefault="00613B33" w:rsidP="00613B33">
      <w:pPr>
        <w:spacing w:before="120"/>
        <w:ind w:left="567" w:hanging="567"/>
        <w:jc w:val="both"/>
        <w:rPr>
          <w:rFonts w:ascii="Latin Modern Roman" w:hAnsi="Latin Modern Roman"/>
          <w:sz w:val="20"/>
          <w:szCs w:val="20"/>
          <w:lang w:val="en-US"/>
        </w:rPr>
      </w:pPr>
      <w:r w:rsidRPr="002148B5">
        <w:rPr>
          <w:rFonts w:ascii="Latin Modern Roman" w:hAnsi="Latin Modern Roman"/>
          <w:sz w:val="20"/>
          <w:szCs w:val="20"/>
          <w:lang w:val="en-US"/>
        </w:rPr>
        <w:t xml:space="preserve">Buckley, N., &amp; Reuter, O.J. (2019). </w:t>
      </w:r>
      <w:r w:rsidRPr="00384DA8">
        <w:rPr>
          <w:rFonts w:ascii="Latin Modern Roman" w:hAnsi="Latin Modern Roman"/>
          <w:sz w:val="20"/>
          <w:szCs w:val="20"/>
          <w:lang w:val="en-US"/>
        </w:rPr>
        <w:t>Performance incentives under autocracy: Evidence from Russia’s regions. Comparative Politics, 51(2), 239-266.</w:t>
      </w:r>
    </w:p>
    <w:p w14:paraId="5024C56C" w14:textId="77777777" w:rsidR="00613B33" w:rsidRPr="00384DA8" w:rsidRDefault="00613B33" w:rsidP="00613B33">
      <w:pPr>
        <w:ind w:left="567" w:hanging="567"/>
        <w:jc w:val="both"/>
        <w:rPr>
          <w:rFonts w:ascii="Latin Modern Roman" w:hAnsi="Latin Modern Roman" w:cs="Times New Roman"/>
          <w:sz w:val="20"/>
          <w:szCs w:val="20"/>
        </w:rPr>
      </w:pPr>
      <w:r w:rsidRPr="00384DA8">
        <w:rPr>
          <w:rFonts w:ascii="Latin Modern Roman" w:hAnsi="Latin Modern Roman" w:cs="Times New Roman"/>
          <w:sz w:val="20"/>
          <w:szCs w:val="20"/>
          <w:lang w:val="en-US"/>
        </w:rPr>
        <w:t xml:space="preserve">Danilova, I.A. (2020). Zabolevaemost i smertnost ot KOVID-19. </w:t>
      </w:r>
      <w:r w:rsidRPr="00384DA8">
        <w:rPr>
          <w:rFonts w:ascii="Latin Modern Roman" w:hAnsi="Latin Modern Roman" w:cs="Times New Roman"/>
          <w:sz w:val="20"/>
          <w:szCs w:val="20"/>
        </w:rPr>
        <w:t>Problema sopostavimosti dannykh. Demograficheskoe Obozrenie, 7(1), 6-26.</w:t>
      </w:r>
    </w:p>
    <w:p w14:paraId="2DB6A70A" w14:textId="77777777" w:rsidR="00613B33" w:rsidRPr="00384DA8" w:rsidRDefault="00613B33" w:rsidP="00613B33">
      <w:pPr>
        <w:spacing w:before="120"/>
        <w:ind w:left="567" w:hanging="567"/>
        <w:jc w:val="both"/>
        <w:rPr>
          <w:rFonts w:ascii="Latin Modern Roman" w:hAnsi="Latin Modern Roman"/>
          <w:sz w:val="20"/>
          <w:szCs w:val="20"/>
          <w:lang w:val="en-US"/>
        </w:rPr>
      </w:pPr>
      <w:r w:rsidRPr="00384DA8">
        <w:rPr>
          <w:rFonts w:ascii="Latin Modern Roman" w:hAnsi="Latin Modern Roman"/>
          <w:sz w:val="20"/>
          <w:szCs w:val="20"/>
          <w:lang w:val="en-US"/>
        </w:rPr>
        <w:t>Freinkman, L., &amp; Plekhanov, A. (2009). Fiscal decentralization in rentier regions: Evidence from Russia. World Development, 37(2), 503-512.</w:t>
      </w:r>
    </w:p>
    <w:p w14:paraId="5332E633" w14:textId="77777777" w:rsidR="00613B33" w:rsidRPr="00384DA8" w:rsidRDefault="00613B33" w:rsidP="00613B33">
      <w:pPr>
        <w:ind w:left="567" w:hanging="567"/>
        <w:jc w:val="both"/>
        <w:rPr>
          <w:rFonts w:ascii="Latin Modern Roman" w:hAnsi="Latin Modern Roman" w:cs="Times New Roman"/>
          <w:sz w:val="20"/>
          <w:szCs w:val="20"/>
          <w:lang w:val="en-US"/>
        </w:rPr>
      </w:pPr>
      <w:r w:rsidRPr="00384DA8">
        <w:rPr>
          <w:rFonts w:ascii="Latin Modern Roman" w:hAnsi="Latin Modern Roman" w:cs="Times New Roman"/>
          <w:sz w:val="20"/>
          <w:szCs w:val="20"/>
          <w:lang w:val="en-US"/>
        </w:rPr>
        <w:t>Gavrilova, N.S., Semyonova, V.G., Dubrovina, E., Evdokushkina, G.N., Ivanova, A.E., &amp; Gavrilov, L.A. (2008). Russian mortality crisis and the quality of vital statistics. Population Research and Policy Review, 27(5), 551-574.</w:t>
      </w:r>
    </w:p>
    <w:p w14:paraId="62B61BE0" w14:textId="77777777" w:rsidR="00613B33" w:rsidRPr="00384DA8" w:rsidRDefault="00613B33" w:rsidP="00613B33">
      <w:pPr>
        <w:ind w:left="567" w:hanging="567"/>
        <w:jc w:val="both"/>
        <w:rPr>
          <w:rFonts w:ascii="Latin Modern Roman" w:hAnsi="Latin Modern Roman" w:cs="Times New Roman"/>
          <w:sz w:val="20"/>
          <w:szCs w:val="20"/>
          <w:lang w:val="en-US"/>
        </w:rPr>
      </w:pPr>
      <w:r w:rsidRPr="00384DA8">
        <w:rPr>
          <w:rFonts w:ascii="Latin Modern Roman" w:hAnsi="Latin Modern Roman" w:cs="Times New Roman"/>
          <w:sz w:val="20"/>
          <w:szCs w:val="20"/>
          <w:lang w:val="en-US"/>
        </w:rPr>
        <w:t>Golosov, G.V., &amp; Tkacheva, T. (2018). Let my people run: Pre-election resignations of Russia’s governors, 2013–2015. Problems of Post-Communism, 65(4), 243-252.</w:t>
      </w:r>
    </w:p>
    <w:p w14:paraId="7F58490C" w14:textId="77777777" w:rsidR="00613B33" w:rsidRPr="00384DA8" w:rsidRDefault="00613B33" w:rsidP="00613B33">
      <w:pPr>
        <w:ind w:left="567" w:hanging="567"/>
        <w:jc w:val="both"/>
        <w:rPr>
          <w:rFonts w:ascii="Latin Modern Roman" w:hAnsi="Latin Modern Roman" w:cs="Times New Roman"/>
          <w:sz w:val="20"/>
          <w:szCs w:val="20"/>
          <w:lang w:val="en-US"/>
        </w:rPr>
      </w:pPr>
      <w:r w:rsidRPr="00384DA8">
        <w:rPr>
          <w:rFonts w:ascii="Latin Modern Roman" w:hAnsi="Latin Modern Roman" w:cs="Times New Roman"/>
          <w:sz w:val="20"/>
          <w:szCs w:val="20"/>
          <w:lang w:val="en-US"/>
        </w:rPr>
        <w:t>Kursumovic, E., Lennane, S., &amp; Cook, T.M. (2020). Deaths in healthcare workers due to COVID‐19: The need for robust data and analysis. Anaesthesia, 75(8), 989-992.</w:t>
      </w:r>
    </w:p>
    <w:p w14:paraId="78F7480B" w14:textId="77777777" w:rsidR="00613B33" w:rsidRPr="00384DA8" w:rsidRDefault="00613B33" w:rsidP="00613B33">
      <w:pPr>
        <w:spacing w:before="120"/>
        <w:ind w:left="567" w:hanging="567"/>
        <w:jc w:val="both"/>
        <w:rPr>
          <w:rFonts w:ascii="Latin Modern Roman" w:hAnsi="Latin Modern Roman"/>
          <w:sz w:val="20"/>
          <w:szCs w:val="20"/>
          <w:lang w:val="en-US"/>
        </w:rPr>
      </w:pPr>
      <w:r w:rsidRPr="00384DA8">
        <w:rPr>
          <w:rFonts w:ascii="Latin Modern Roman" w:hAnsi="Latin Modern Roman"/>
          <w:sz w:val="20"/>
          <w:szCs w:val="20"/>
          <w:lang w:val="en-US"/>
        </w:rPr>
        <w:t>Lankina, T., Libman, A., &amp; Obydenkova, A. (2016). Authoritarian and democratic diffusion in post-communist regions. Comparative Political Studies, 49(12), 1599-1629.</w:t>
      </w:r>
    </w:p>
    <w:p w14:paraId="4193C369" w14:textId="77777777" w:rsidR="00613B33" w:rsidRPr="00384DA8" w:rsidRDefault="00613B33" w:rsidP="00613B33">
      <w:pPr>
        <w:ind w:left="567" w:hanging="567"/>
        <w:jc w:val="both"/>
        <w:rPr>
          <w:rFonts w:ascii="Latin Modern Roman" w:hAnsi="Latin Modern Roman" w:cs="Times New Roman"/>
          <w:sz w:val="20"/>
          <w:szCs w:val="20"/>
          <w:lang w:val="en-US"/>
        </w:rPr>
      </w:pPr>
      <w:r w:rsidRPr="00384DA8">
        <w:rPr>
          <w:rFonts w:ascii="Latin Modern Roman" w:hAnsi="Latin Modern Roman" w:cs="Times New Roman"/>
          <w:sz w:val="20"/>
          <w:szCs w:val="20"/>
          <w:lang w:val="en-US"/>
        </w:rPr>
        <w:t>Obydenkova, A., &amp; Libman, A. (2015). Causes and consequences of democratization: The regions of Russia. Routledge.</w:t>
      </w:r>
    </w:p>
    <w:p w14:paraId="5CBC5EE5" w14:textId="77777777" w:rsidR="00613B33" w:rsidRPr="00384DA8" w:rsidRDefault="00613B33" w:rsidP="00613B33">
      <w:pPr>
        <w:ind w:left="567" w:hanging="567"/>
        <w:jc w:val="both"/>
        <w:rPr>
          <w:rFonts w:ascii="Latin Modern Roman" w:hAnsi="Latin Modern Roman" w:cs="Times New Roman"/>
          <w:sz w:val="20"/>
          <w:szCs w:val="20"/>
          <w:lang w:val="en-US"/>
        </w:rPr>
      </w:pPr>
      <w:r w:rsidRPr="00895654">
        <w:rPr>
          <w:rFonts w:ascii="Latin Modern Roman" w:hAnsi="Latin Modern Roman" w:cs="Times New Roman"/>
          <w:sz w:val="20"/>
          <w:szCs w:val="20"/>
          <w:lang w:val="en-US"/>
        </w:rPr>
        <w:t xml:space="preserve">Rosenberg, D., Kozlov, V., &amp; Libman, A. (2018). </w:t>
      </w:r>
      <w:r w:rsidRPr="00384DA8">
        <w:rPr>
          <w:rFonts w:ascii="Latin Modern Roman" w:hAnsi="Latin Modern Roman" w:cs="Times New Roman"/>
          <w:sz w:val="20"/>
          <w:szCs w:val="20"/>
          <w:lang w:val="en-US"/>
        </w:rPr>
        <w:t>Political regimes, income and health: Evidence from sub-national comparative method. Social Science Research, 72, 20-37.</w:t>
      </w:r>
    </w:p>
    <w:p w14:paraId="41916988" w14:textId="77777777" w:rsidR="00613B33" w:rsidRPr="00384DA8" w:rsidRDefault="00613B33" w:rsidP="00613B33">
      <w:pPr>
        <w:ind w:left="567" w:hanging="567"/>
        <w:jc w:val="both"/>
        <w:rPr>
          <w:rFonts w:ascii="Latin Modern Roman" w:hAnsi="Latin Modern Roman" w:cs="Times New Roman"/>
          <w:sz w:val="20"/>
          <w:szCs w:val="20"/>
          <w:lang w:val="en-US"/>
        </w:rPr>
      </w:pPr>
      <w:r w:rsidRPr="00384DA8">
        <w:rPr>
          <w:rFonts w:ascii="Latin Modern Roman" w:hAnsi="Latin Modern Roman" w:cs="Times New Roman"/>
          <w:sz w:val="20"/>
          <w:szCs w:val="20"/>
          <w:lang w:val="en-US"/>
        </w:rPr>
        <w:t>Shlyakhter, A., &amp; Wilson, R. (1992). Chernobyl: the inevitable results of secrecy. Public Understanding of Science, 1(3), 251-259.</w:t>
      </w:r>
    </w:p>
    <w:p w14:paraId="028A674B" w14:textId="77777777" w:rsidR="00613B33" w:rsidRPr="00384DA8" w:rsidRDefault="00613B33" w:rsidP="00613B33">
      <w:pPr>
        <w:ind w:left="567" w:hanging="567"/>
        <w:jc w:val="both"/>
        <w:rPr>
          <w:rFonts w:ascii="Latin Modern Roman" w:hAnsi="Latin Modern Roman" w:cs="Times New Roman"/>
          <w:sz w:val="20"/>
          <w:szCs w:val="20"/>
          <w:lang w:val="en-US"/>
        </w:rPr>
      </w:pPr>
      <w:r w:rsidRPr="00384DA8">
        <w:rPr>
          <w:rFonts w:ascii="Latin Modern Roman" w:hAnsi="Latin Modern Roman" w:cs="Times New Roman"/>
          <w:sz w:val="20"/>
          <w:szCs w:val="20"/>
          <w:lang w:val="en-US"/>
        </w:rPr>
        <w:t>Thompson, W.W., Moore, M. R., Weintraub, E., Cheng, P. Y., Jin, X., Bridges, C.B., Bresee, J.S., &amp; Shay, D.K. (2009). Estimating influenza-associated deaths in the United States. American Journal of Public Health, 99(S2), S225-S230.</w:t>
      </w:r>
    </w:p>
    <w:p w14:paraId="056CD030" w14:textId="77777777" w:rsidR="00613B33" w:rsidRPr="00613B33" w:rsidRDefault="00613B33">
      <w:pPr>
        <w:rPr>
          <w:lang w:val="en-US"/>
        </w:rPr>
      </w:pPr>
    </w:p>
    <w:sectPr w:rsidR="00613B33" w:rsidRPr="00613B33" w:rsidSect="006241A1">
      <w:headerReference w:type="default" r:id="rId11"/>
      <w:headerReference w:type="firs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874E" w14:textId="77777777" w:rsidR="00EB0409" w:rsidRDefault="00EB0409" w:rsidP="00613B33">
      <w:pPr>
        <w:spacing w:after="0" w:line="240" w:lineRule="auto"/>
      </w:pPr>
      <w:r>
        <w:separator/>
      </w:r>
    </w:p>
  </w:endnote>
  <w:endnote w:type="continuationSeparator" w:id="0">
    <w:p w14:paraId="73389813" w14:textId="77777777" w:rsidR="00EB0409" w:rsidRDefault="00EB0409" w:rsidP="0061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in Modern Roman">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D8D5" w14:textId="77777777" w:rsidR="00EB0409" w:rsidRDefault="00EB0409" w:rsidP="00613B33">
      <w:pPr>
        <w:spacing w:after="0" w:line="240" w:lineRule="auto"/>
      </w:pPr>
      <w:r>
        <w:separator/>
      </w:r>
    </w:p>
  </w:footnote>
  <w:footnote w:type="continuationSeparator" w:id="0">
    <w:p w14:paraId="52EE6846" w14:textId="77777777" w:rsidR="00EB0409" w:rsidRDefault="00EB0409" w:rsidP="00613B33">
      <w:pPr>
        <w:spacing w:after="0" w:line="240" w:lineRule="auto"/>
      </w:pPr>
      <w:r>
        <w:continuationSeparator/>
      </w:r>
    </w:p>
  </w:footnote>
  <w:footnote w:id="1">
    <w:p w14:paraId="12A95668" w14:textId="77777777" w:rsidR="00613B33" w:rsidRPr="0020028D" w:rsidRDefault="00613B33" w:rsidP="00613B33">
      <w:pPr>
        <w:jc w:val="both"/>
        <w:rPr>
          <w:sz w:val="20"/>
          <w:szCs w:val="20"/>
          <w:lang w:val="en-US"/>
        </w:rPr>
      </w:pPr>
      <w:r w:rsidRPr="0020028D">
        <w:rPr>
          <w:rStyle w:val="Funotenzeichen"/>
          <w:sz w:val="20"/>
          <w:szCs w:val="20"/>
        </w:rPr>
        <w:footnoteRef/>
      </w:r>
      <w:r w:rsidRPr="0020028D">
        <w:rPr>
          <w:sz w:val="20"/>
          <w:szCs w:val="20"/>
          <w:lang w:val="en-US"/>
        </w:rPr>
        <w:t xml:space="preserve"> The section is heavily influenced by reports published by Meduza, an independent Russian media outlet: </w:t>
      </w:r>
      <w:hyperlink r:id="rId1" w:history="1">
        <w:r w:rsidRPr="0020028D">
          <w:rPr>
            <w:rStyle w:val="Hyperlink"/>
            <w:sz w:val="20"/>
            <w:szCs w:val="20"/>
            <w:lang w:val="en-US"/>
          </w:rPr>
          <w:t>https://meduza.io/feature/2020/11/30/vo-mnogih-regionah-rossii-dannye-o-smertyah-ot-koronavirusa-sistematicheski-zanizhayutsya-i-vot-kak-eto-proishodit</w:t>
        </w:r>
      </w:hyperlink>
      <w:r w:rsidRPr="0020028D">
        <w:rPr>
          <w:sz w:val="20"/>
          <w:szCs w:val="20"/>
          <w:lang w:val="en-US"/>
        </w:rPr>
        <w:t>; https://meduza.io/feature/2020/05/14/prosto-zapreschayut-umirat-ot-koronavirusa</w:t>
      </w:r>
    </w:p>
  </w:footnote>
  <w:footnote w:id="2">
    <w:p w14:paraId="05648311" w14:textId="77777777" w:rsidR="00613B33" w:rsidRPr="00FA642A" w:rsidRDefault="00613B33" w:rsidP="00613B33">
      <w:pPr>
        <w:pStyle w:val="Funotentext"/>
        <w:rPr>
          <w:lang w:val="en-US"/>
        </w:rPr>
      </w:pPr>
      <w:r>
        <w:rPr>
          <w:rStyle w:val="Funotenzeichen"/>
        </w:rPr>
        <w:footnoteRef/>
      </w:r>
      <w:r w:rsidRPr="00FA642A">
        <w:rPr>
          <w:lang w:val="en-US"/>
        </w:rPr>
        <w:t xml:space="preserve"> This was indicated in the p</w:t>
      </w:r>
      <w:r>
        <w:rPr>
          <w:lang w:val="en-US"/>
        </w:rPr>
        <w:t>ublications of Meduza cited in Fn. 1</w:t>
      </w:r>
    </w:p>
  </w:footnote>
  <w:footnote w:id="3">
    <w:p w14:paraId="22DDF431" w14:textId="5F728945" w:rsidR="005C4525" w:rsidRPr="003173DE" w:rsidRDefault="005C4525">
      <w:pPr>
        <w:pStyle w:val="Funotentext"/>
        <w:rPr>
          <w:lang w:val="en-US"/>
        </w:rPr>
      </w:pPr>
      <w:bookmarkStart w:id="0" w:name="_Hlk112528604"/>
      <w:bookmarkStart w:id="1" w:name="_Hlk112528605"/>
      <w:r>
        <w:rPr>
          <w:rStyle w:val="Funotenzeichen"/>
        </w:rPr>
        <w:footnoteRef/>
      </w:r>
      <w:r w:rsidRPr="003173DE">
        <w:rPr>
          <w:lang w:val="en-US"/>
        </w:rPr>
        <w:t xml:space="preserve"> </w:t>
      </w:r>
      <w:bookmarkEnd w:id="0"/>
      <w:bookmarkEnd w:id="1"/>
      <w:r w:rsidRPr="003173DE">
        <w:rPr>
          <w:lang w:val="en-US"/>
        </w:rPr>
        <w:t>We followed the Mediazona calculations and used the 5-year averages to calculate the excess mortality in May based on the final official mortality data for comparison with their estimates based on preliminary data disclosed by the local authorities. We also allowed excess mortality to be negative for consistency.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DEE4" w14:textId="77777777" w:rsidR="00C05A2E" w:rsidRDefault="00DA02B9">
    <w:pPr>
      <w:pStyle w:val="Kopfzeile"/>
    </w:pPr>
    <w:r>
      <w:t>ONLINE SUPPLEMENTARY APPENDIX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E0F9" w14:textId="77777777" w:rsidR="002148B5" w:rsidRDefault="00DA02B9">
    <w:pPr>
      <w:pStyle w:val="Kopfzeile"/>
    </w:pPr>
    <w:r>
      <w:t>ONLINE SUPPLEMENTARY 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0AEB"/>
    <w:multiLevelType w:val="hybridMultilevel"/>
    <w:tmpl w:val="029A1B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9D0F25"/>
    <w:multiLevelType w:val="hybridMultilevel"/>
    <w:tmpl w:val="65665A3E"/>
    <w:lvl w:ilvl="0" w:tplc="6336698A">
      <w:start w:val="2"/>
      <w:numFmt w:val="bullet"/>
      <w:lvlText w:val="-"/>
      <w:lvlJc w:val="left"/>
      <w:pPr>
        <w:ind w:left="5606" w:hanging="360"/>
      </w:pPr>
      <w:rPr>
        <w:rFonts w:ascii="Latin Modern Roman" w:eastAsiaTheme="minorHAnsi" w:hAnsi="Latin Modern Roman" w:cstheme="minorBidi" w:hint="default"/>
      </w:rPr>
    </w:lvl>
    <w:lvl w:ilvl="1" w:tplc="04070003" w:tentative="1">
      <w:start w:val="1"/>
      <w:numFmt w:val="bullet"/>
      <w:lvlText w:val="o"/>
      <w:lvlJc w:val="left"/>
      <w:pPr>
        <w:ind w:left="6326" w:hanging="360"/>
      </w:pPr>
      <w:rPr>
        <w:rFonts w:ascii="Courier New" w:hAnsi="Courier New" w:cs="Courier New" w:hint="default"/>
      </w:rPr>
    </w:lvl>
    <w:lvl w:ilvl="2" w:tplc="04070005" w:tentative="1">
      <w:start w:val="1"/>
      <w:numFmt w:val="bullet"/>
      <w:lvlText w:val=""/>
      <w:lvlJc w:val="left"/>
      <w:pPr>
        <w:ind w:left="7046" w:hanging="360"/>
      </w:pPr>
      <w:rPr>
        <w:rFonts w:ascii="Wingdings" w:hAnsi="Wingdings" w:hint="default"/>
      </w:rPr>
    </w:lvl>
    <w:lvl w:ilvl="3" w:tplc="04070001" w:tentative="1">
      <w:start w:val="1"/>
      <w:numFmt w:val="bullet"/>
      <w:lvlText w:val=""/>
      <w:lvlJc w:val="left"/>
      <w:pPr>
        <w:ind w:left="7766" w:hanging="360"/>
      </w:pPr>
      <w:rPr>
        <w:rFonts w:ascii="Symbol" w:hAnsi="Symbol" w:hint="default"/>
      </w:rPr>
    </w:lvl>
    <w:lvl w:ilvl="4" w:tplc="04070003" w:tentative="1">
      <w:start w:val="1"/>
      <w:numFmt w:val="bullet"/>
      <w:lvlText w:val="o"/>
      <w:lvlJc w:val="left"/>
      <w:pPr>
        <w:ind w:left="8486" w:hanging="360"/>
      </w:pPr>
      <w:rPr>
        <w:rFonts w:ascii="Courier New" w:hAnsi="Courier New" w:cs="Courier New" w:hint="default"/>
      </w:rPr>
    </w:lvl>
    <w:lvl w:ilvl="5" w:tplc="04070005" w:tentative="1">
      <w:start w:val="1"/>
      <w:numFmt w:val="bullet"/>
      <w:lvlText w:val=""/>
      <w:lvlJc w:val="left"/>
      <w:pPr>
        <w:ind w:left="9206" w:hanging="360"/>
      </w:pPr>
      <w:rPr>
        <w:rFonts w:ascii="Wingdings" w:hAnsi="Wingdings" w:hint="default"/>
      </w:rPr>
    </w:lvl>
    <w:lvl w:ilvl="6" w:tplc="04070001" w:tentative="1">
      <w:start w:val="1"/>
      <w:numFmt w:val="bullet"/>
      <w:lvlText w:val=""/>
      <w:lvlJc w:val="left"/>
      <w:pPr>
        <w:ind w:left="9926" w:hanging="360"/>
      </w:pPr>
      <w:rPr>
        <w:rFonts w:ascii="Symbol" w:hAnsi="Symbol" w:hint="default"/>
      </w:rPr>
    </w:lvl>
    <w:lvl w:ilvl="7" w:tplc="04070003" w:tentative="1">
      <w:start w:val="1"/>
      <w:numFmt w:val="bullet"/>
      <w:lvlText w:val="o"/>
      <w:lvlJc w:val="left"/>
      <w:pPr>
        <w:ind w:left="10646" w:hanging="360"/>
      </w:pPr>
      <w:rPr>
        <w:rFonts w:ascii="Courier New" w:hAnsi="Courier New" w:cs="Courier New" w:hint="default"/>
      </w:rPr>
    </w:lvl>
    <w:lvl w:ilvl="8" w:tplc="04070005" w:tentative="1">
      <w:start w:val="1"/>
      <w:numFmt w:val="bullet"/>
      <w:lvlText w:val=""/>
      <w:lvlJc w:val="left"/>
      <w:pPr>
        <w:ind w:left="11366" w:hanging="360"/>
      </w:pPr>
      <w:rPr>
        <w:rFonts w:ascii="Wingdings" w:hAnsi="Wingdings" w:hint="default"/>
      </w:rPr>
    </w:lvl>
  </w:abstractNum>
  <w:abstractNum w:abstractNumId="2" w15:restartNumberingAfterBreak="0">
    <w:nsid w:val="2E9F43F5"/>
    <w:multiLevelType w:val="hybridMultilevel"/>
    <w:tmpl w:val="87B0DE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3221827"/>
    <w:multiLevelType w:val="hybridMultilevel"/>
    <w:tmpl w:val="020A95D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F7E3E93"/>
    <w:multiLevelType w:val="hybridMultilevel"/>
    <w:tmpl w:val="7C9E2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AF7EF3"/>
    <w:multiLevelType w:val="hybridMultilevel"/>
    <w:tmpl w:val="FBAEE9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9D2FDC"/>
    <w:multiLevelType w:val="multilevel"/>
    <w:tmpl w:val="71E03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8653693">
    <w:abstractNumId w:val="5"/>
  </w:num>
  <w:num w:numId="2" w16cid:durableId="1950703256">
    <w:abstractNumId w:val="3"/>
  </w:num>
  <w:num w:numId="3" w16cid:durableId="1197427204">
    <w:abstractNumId w:val="6"/>
  </w:num>
  <w:num w:numId="4" w16cid:durableId="1135218089">
    <w:abstractNumId w:val="2"/>
  </w:num>
  <w:num w:numId="5" w16cid:durableId="336347915">
    <w:abstractNumId w:val="1"/>
  </w:num>
  <w:num w:numId="6" w16cid:durableId="447433437">
    <w:abstractNumId w:val="4"/>
  </w:num>
  <w:num w:numId="7" w16cid:durableId="27918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OwMLU0MDSzMLcwMbNQ0lEKTi0uzszPAykwrgUA75gvESwAAAA="/>
  </w:docVars>
  <w:rsids>
    <w:rsidRoot w:val="00613B33"/>
    <w:rsid w:val="00000B40"/>
    <w:rsid w:val="0002319E"/>
    <w:rsid w:val="000E0AE6"/>
    <w:rsid w:val="00174695"/>
    <w:rsid w:val="001E1E45"/>
    <w:rsid w:val="00217A61"/>
    <w:rsid w:val="003167AD"/>
    <w:rsid w:val="003173DE"/>
    <w:rsid w:val="00392BB1"/>
    <w:rsid w:val="003C7FEA"/>
    <w:rsid w:val="003F1374"/>
    <w:rsid w:val="00492AE8"/>
    <w:rsid w:val="00561C2F"/>
    <w:rsid w:val="005664E1"/>
    <w:rsid w:val="005C4525"/>
    <w:rsid w:val="005D6A79"/>
    <w:rsid w:val="00612784"/>
    <w:rsid w:val="00613B33"/>
    <w:rsid w:val="00711066"/>
    <w:rsid w:val="007A0EA9"/>
    <w:rsid w:val="007B42D3"/>
    <w:rsid w:val="00812C3B"/>
    <w:rsid w:val="008952DE"/>
    <w:rsid w:val="00895654"/>
    <w:rsid w:val="008A3C64"/>
    <w:rsid w:val="008A441D"/>
    <w:rsid w:val="00A062AD"/>
    <w:rsid w:val="00A242F8"/>
    <w:rsid w:val="00A440EB"/>
    <w:rsid w:val="00A97889"/>
    <w:rsid w:val="00BC5586"/>
    <w:rsid w:val="00BC593F"/>
    <w:rsid w:val="00BF4BF7"/>
    <w:rsid w:val="00C562ED"/>
    <w:rsid w:val="00DA02B9"/>
    <w:rsid w:val="00EB0409"/>
    <w:rsid w:val="00F562A0"/>
    <w:rsid w:val="00FA54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939D"/>
  <w15:chartTrackingRefBased/>
  <w15:docId w15:val="{F5AD03A9-9F5E-4FEE-A244-3DDF9029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3B33"/>
  </w:style>
  <w:style w:type="paragraph" w:styleId="berschrift1">
    <w:name w:val="heading 1"/>
    <w:basedOn w:val="Standard"/>
    <w:next w:val="Standard"/>
    <w:link w:val="berschrift1Zchn"/>
    <w:uiPriority w:val="9"/>
    <w:qFormat/>
    <w:rsid w:val="00613B33"/>
    <w:pPr>
      <w:keepNext/>
      <w:keepLines/>
      <w:spacing w:before="240" w:after="0"/>
      <w:outlineLvl w:val="0"/>
    </w:pPr>
    <w:rPr>
      <w:rFonts w:ascii="Latin Modern Roman" w:eastAsiaTheme="majorEastAsia" w:hAnsi="Latin Modern Roman" w:cstheme="majorBidi"/>
      <w:b/>
      <w:szCs w:val="32"/>
    </w:rPr>
  </w:style>
  <w:style w:type="paragraph" w:styleId="berschrift2">
    <w:name w:val="heading 2"/>
    <w:basedOn w:val="Standard"/>
    <w:next w:val="Standard"/>
    <w:link w:val="berschrift2Zchn"/>
    <w:uiPriority w:val="9"/>
    <w:unhideWhenUsed/>
    <w:qFormat/>
    <w:rsid w:val="00613B33"/>
    <w:pPr>
      <w:keepNext/>
      <w:keepLines/>
      <w:spacing w:before="280" w:after="240"/>
      <w:outlineLvl w:val="1"/>
    </w:pPr>
    <w:rPr>
      <w:rFonts w:ascii="Latin Modern Roman" w:eastAsiaTheme="majorEastAsia" w:hAnsi="Latin Modern Roman" w:cstheme="majorBidi"/>
      <w:szCs w:val="26"/>
    </w:rPr>
  </w:style>
  <w:style w:type="paragraph" w:styleId="berschrift3">
    <w:name w:val="heading 3"/>
    <w:basedOn w:val="Standard"/>
    <w:next w:val="Standard"/>
    <w:link w:val="berschrift3Zchn"/>
    <w:uiPriority w:val="9"/>
    <w:unhideWhenUsed/>
    <w:qFormat/>
    <w:rsid w:val="00613B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3B33"/>
    <w:rPr>
      <w:rFonts w:ascii="Latin Modern Roman" w:eastAsiaTheme="majorEastAsia" w:hAnsi="Latin Modern Roman" w:cstheme="majorBidi"/>
      <w:b/>
      <w:szCs w:val="32"/>
    </w:rPr>
  </w:style>
  <w:style w:type="character" w:customStyle="1" w:styleId="berschrift2Zchn">
    <w:name w:val="Überschrift 2 Zchn"/>
    <w:basedOn w:val="Absatz-Standardschriftart"/>
    <w:link w:val="berschrift2"/>
    <w:uiPriority w:val="9"/>
    <w:rsid w:val="00613B33"/>
    <w:rPr>
      <w:rFonts w:ascii="Latin Modern Roman" w:eastAsiaTheme="majorEastAsia" w:hAnsi="Latin Modern Roman" w:cstheme="majorBidi"/>
      <w:szCs w:val="26"/>
    </w:rPr>
  </w:style>
  <w:style w:type="character" w:customStyle="1" w:styleId="berschrift3Zchn">
    <w:name w:val="Überschrift 3 Zchn"/>
    <w:basedOn w:val="Absatz-Standardschriftart"/>
    <w:link w:val="berschrift3"/>
    <w:uiPriority w:val="9"/>
    <w:rsid w:val="00613B33"/>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613B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3B33"/>
    <w:rPr>
      <w:rFonts w:ascii="Segoe UI" w:hAnsi="Segoe UI" w:cs="Segoe UI"/>
      <w:sz w:val="18"/>
      <w:szCs w:val="18"/>
    </w:rPr>
  </w:style>
  <w:style w:type="paragraph" w:styleId="Funotentext">
    <w:name w:val="footnote text"/>
    <w:basedOn w:val="Standard"/>
    <w:link w:val="FunotentextZchn"/>
    <w:uiPriority w:val="99"/>
    <w:semiHidden/>
    <w:unhideWhenUsed/>
    <w:rsid w:val="00613B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3B33"/>
    <w:rPr>
      <w:sz w:val="20"/>
      <w:szCs w:val="20"/>
    </w:rPr>
  </w:style>
  <w:style w:type="character" w:styleId="Funotenzeichen">
    <w:name w:val="footnote reference"/>
    <w:basedOn w:val="Absatz-Standardschriftart"/>
    <w:uiPriority w:val="99"/>
    <w:semiHidden/>
    <w:unhideWhenUsed/>
    <w:rsid w:val="00613B33"/>
    <w:rPr>
      <w:vertAlign w:val="superscript"/>
    </w:rPr>
  </w:style>
  <w:style w:type="paragraph" w:styleId="Kopfzeile">
    <w:name w:val="header"/>
    <w:basedOn w:val="Standard"/>
    <w:link w:val="KopfzeileZchn"/>
    <w:uiPriority w:val="99"/>
    <w:unhideWhenUsed/>
    <w:rsid w:val="00613B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3B33"/>
  </w:style>
  <w:style w:type="paragraph" w:styleId="Fuzeile">
    <w:name w:val="footer"/>
    <w:basedOn w:val="Standard"/>
    <w:link w:val="FuzeileZchn"/>
    <w:uiPriority w:val="99"/>
    <w:unhideWhenUsed/>
    <w:rsid w:val="00613B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3B33"/>
  </w:style>
  <w:style w:type="character" w:styleId="Hyperlink">
    <w:name w:val="Hyperlink"/>
    <w:basedOn w:val="Absatz-Standardschriftart"/>
    <w:uiPriority w:val="99"/>
    <w:unhideWhenUsed/>
    <w:rsid w:val="00613B33"/>
    <w:rPr>
      <w:color w:val="0563C1" w:themeColor="hyperlink"/>
      <w:u w:val="single"/>
    </w:rPr>
  </w:style>
  <w:style w:type="character" w:customStyle="1" w:styleId="UnresolvedMention1">
    <w:name w:val="Unresolved Mention1"/>
    <w:basedOn w:val="Absatz-Standardschriftart"/>
    <w:uiPriority w:val="99"/>
    <w:semiHidden/>
    <w:unhideWhenUsed/>
    <w:rsid w:val="00613B33"/>
    <w:rPr>
      <w:color w:val="605E5C"/>
      <w:shd w:val="clear" w:color="auto" w:fill="E1DFDD"/>
    </w:rPr>
  </w:style>
  <w:style w:type="character" w:styleId="Hervorhebung">
    <w:name w:val="Emphasis"/>
    <w:basedOn w:val="Absatz-Standardschriftart"/>
    <w:uiPriority w:val="20"/>
    <w:qFormat/>
    <w:rsid w:val="00613B33"/>
    <w:rPr>
      <w:i/>
      <w:iCs/>
    </w:rPr>
  </w:style>
  <w:style w:type="paragraph" w:styleId="StandardWeb">
    <w:name w:val="Normal (Web)"/>
    <w:basedOn w:val="Standard"/>
    <w:uiPriority w:val="99"/>
    <w:semiHidden/>
    <w:unhideWhenUsed/>
    <w:rsid w:val="00613B3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ersonname">
    <w:name w:val="person_name"/>
    <w:basedOn w:val="Absatz-Standardschriftart"/>
    <w:rsid w:val="00613B33"/>
  </w:style>
  <w:style w:type="character" w:styleId="Kommentarzeichen">
    <w:name w:val="annotation reference"/>
    <w:basedOn w:val="Absatz-Standardschriftart"/>
    <w:uiPriority w:val="99"/>
    <w:semiHidden/>
    <w:unhideWhenUsed/>
    <w:rsid w:val="00613B33"/>
    <w:rPr>
      <w:sz w:val="16"/>
      <w:szCs w:val="16"/>
    </w:rPr>
  </w:style>
  <w:style w:type="paragraph" w:styleId="Kommentartext">
    <w:name w:val="annotation text"/>
    <w:basedOn w:val="Standard"/>
    <w:link w:val="KommentartextZchn"/>
    <w:uiPriority w:val="99"/>
    <w:semiHidden/>
    <w:unhideWhenUsed/>
    <w:rsid w:val="00613B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3B33"/>
    <w:rPr>
      <w:sz w:val="20"/>
      <w:szCs w:val="20"/>
    </w:rPr>
  </w:style>
  <w:style w:type="paragraph" w:styleId="Kommentarthema">
    <w:name w:val="annotation subject"/>
    <w:basedOn w:val="Kommentartext"/>
    <w:next w:val="Kommentartext"/>
    <w:link w:val="KommentarthemaZchn"/>
    <w:uiPriority w:val="99"/>
    <w:semiHidden/>
    <w:unhideWhenUsed/>
    <w:rsid w:val="00613B33"/>
    <w:rPr>
      <w:b/>
      <w:bCs/>
    </w:rPr>
  </w:style>
  <w:style w:type="character" w:customStyle="1" w:styleId="KommentarthemaZchn">
    <w:name w:val="Kommentarthema Zchn"/>
    <w:basedOn w:val="KommentartextZchn"/>
    <w:link w:val="Kommentarthema"/>
    <w:uiPriority w:val="99"/>
    <w:semiHidden/>
    <w:rsid w:val="00613B33"/>
    <w:rPr>
      <w:b/>
      <w:bCs/>
      <w:sz w:val="20"/>
      <w:szCs w:val="20"/>
    </w:rPr>
  </w:style>
  <w:style w:type="paragraph" w:customStyle="1" w:styleId="Default">
    <w:name w:val="Default"/>
    <w:rsid w:val="00613B33"/>
    <w:pPr>
      <w:autoSpaceDE w:val="0"/>
      <w:autoSpaceDN w:val="0"/>
      <w:adjustRightInd w:val="0"/>
      <w:spacing w:after="0" w:line="240" w:lineRule="auto"/>
    </w:pPr>
    <w:rPr>
      <w:rFonts w:ascii="Latin Modern Roman" w:hAnsi="Latin Modern Roman" w:cs="Latin Modern Roman"/>
      <w:color w:val="000000"/>
      <w:sz w:val="24"/>
      <w:szCs w:val="24"/>
    </w:rPr>
  </w:style>
  <w:style w:type="character" w:styleId="Fett">
    <w:name w:val="Strong"/>
    <w:basedOn w:val="Absatz-Standardschriftart"/>
    <w:uiPriority w:val="22"/>
    <w:qFormat/>
    <w:rsid w:val="00613B33"/>
    <w:rPr>
      <w:b/>
      <w:bCs/>
    </w:rPr>
  </w:style>
  <w:style w:type="character" w:styleId="NichtaufgelsteErwhnung">
    <w:name w:val="Unresolved Mention"/>
    <w:basedOn w:val="Absatz-Standardschriftart"/>
    <w:uiPriority w:val="99"/>
    <w:semiHidden/>
    <w:unhideWhenUsed/>
    <w:rsid w:val="00613B33"/>
    <w:rPr>
      <w:color w:val="605E5C"/>
      <w:shd w:val="clear" w:color="auto" w:fill="E1DFDD"/>
    </w:rPr>
  </w:style>
  <w:style w:type="paragraph" w:styleId="Listenabsatz">
    <w:name w:val="List Paragraph"/>
    <w:basedOn w:val="Standard"/>
    <w:uiPriority w:val="34"/>
    <w:qFormat/>
    <w:rsid w:val="00613B33"/>
    <w:pPr>
      <w:ind w:left="720"/>
      <w:contextualSpacing/>
    </w:pPr>
  </w:style>
  <w:style w:type="character" w:styleId="Platzhaltertext">
    <w:name w:val="Placeholder Text"/>
    <w:basedOn w:val="Absatz-Standardschriftart"/>
    <w:uiPriority w:val="99"/>
    <w:semiHidden/>
    <w:rsid w:val="00613B33"/>
    <w:rPr>
      <w:color w:val="808080"/>
    </w:rPr>
  </w:style>
  <w:style w:type="paragraph" w:styleId="KeinLeerraum">
    <w:name w:val="No Spacing"/>
    <w:uiPriority w:val="1"/>
    <w:qFormat/>
    <w:rsid w:val="00613B33"/>
    <w:pPr>
      <w:spacing w:after="0" w:line="240" w:lineRule="auto"/>
    </w:pPr>
  </w:style>
  <w:style w:type="character" w:customStyle="1" w:styleId="tojvnm2t">
    <w:name w:val="tojvnm2t"/>
    <w:basedOn w:val="Absatz-Standardschriftart"/>
    <w:rsid w:val="00613B33"/>
  </w:style>
  <w:style w:type="character" w:styleId="BesuchterLink">
    <w:name w:val="FollowedHyperlink"/>
    <w:basedOn w:val="Absatz-Standardschriftart"/>
    <w:uiPriority w:val="99"/>
    <w:semiHidden/>
    <w:unhideWhenUsed/>
    <w:rsid w:val="00613B33"/>
    <w:rPr>
      <w:color w:val="954F72" w:themeColor="followedHyperlink"/>
      <w:u w:val="single"/>
    </w:rPr>
  </w:style>
  <w:style w:type="paragraph" w:styleId="berarbeitung">
    <w:name w:val="Revision"/>
    <w:hidden/>
    <w:uiPriority w:val="99"/>
    <w:semiHidden/>
    <w:rsid w:val="00613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02901">
      <w:bodyDiv w:val="1"/>
      <w:marLeft w:val="0"/>
      <w:marRight w:val="0"/>
      <w:marTop w:val="0"/>
      <w:marBottom w:val="0"/>
      <w:divBdr>
        <w:top w:val="none" w:sz="0" w:space="0" w:color="auto"/>
        <w:left w:val="none" w:sz="0" w:space="0" w:color="auto"/>
        <w:bottom w:val="none" w:sz="0" w:space="0" w:color="auto"/>
        <w:right w:val="none" w:sz="0" w:space="0" w:color="auto"/>
      </w:divBdr>
    </w:div>
    <w:div w:id="12165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20220507/koronavirus-178737150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fomed39.ru/upload/iblock/2ef/2efb51ce27f7f0238a56084a935ac03a.pdf" TargetMode="External"/><Relationship Id="rId4" Type="http://schemas.openxmlformats.org/officeDocument/2006/relationships/settings" Target="settings.xml"/><Relationship Id="rId9" Type="http://schemas.openxmlformats.org/officeDocument/2006/relationships/hyperlink" Target="https://www.gosuslugi.ru/situation/bereavement/death_registr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eduza.io/feature/2020/11/30/vo-mnogih-regionah-rossii-dannye-o-smertyah-ot-koronavirusa-sistematicheski-zanizhayutsya-i-vot-kak-eto-proishod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3CCE1-D375-498D-9A90-100F681A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3879</Words>
  <Characters>24440</Characters>
  <Application>Microsoft Office Word</Application>
  <DocSecurity>0</DocSecurity>
  <Lines>203</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Libman</dc:creator>
  <cp:keywords/>
  <dc:description/>
  <cp:lastModifiedBy>Alexander Libman</cp:lastModifiedBy>
  <cp:revision>5</cp:revision>
  <dcterms:created xsi:type="dcterms:W3CDTF">2022-09-01T13:34:00Z</dcterms:created>
  <dcterms:modified xsi:type="dcterms:W3CDTF">2022-09-01T14:49:00Z</dcterms:modified>
</cp:coreProperties>
</file>