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1A" w:rsidRPr="003805F1" w:rsidRDefault="00012E1A" w:rsidP="00012E1A">
      <w:pPr>
        <w:spacing w:line="480" w:lineRule="auto"/>
        <w:rPr>
          <w:b/>
        </w:rPr>
      </w:pPr>
      <w:r w:rsidRPr="003805F1">
        <w:rPr>
          <w:b/>
        </w:rPr>
        <w:t>Online appendix A</w:t>
      </w:r>
    </w:p>
    <w:p w:rsidR="00012E1A" w:rsidRPr="003805F1" w:rsidRDefault="00012E1A" w:rsidP="00012E1A">
      <w:pPr>
        <w:spacing w:line="480" w:lineRule="auto"/>
      </w:pPr>
      <w:r w:rsidRPr="003805F1">
        <w:t>The number of our 2014 Danish respondents that were given the support party option was fairly smal</w:t>
      </w:r>
      <w:r>
        <w:t>l.  Consequently, we followed</w:t>
      </w:r>
      <w:r w:rsidRPr="003805F1">
        <w:t xml:space="preserve"> this survey</w:t>
      </w:r>
      <w:r>
        <w:t xml:space="preserve"> up</w:t>
      </w:r>
      <w:r w:rsidRPr="003805F1">
        <w:t xml:space="preserve"> </w:t>
      </w:r>
      <w:bookmarkStart w:id="0" w:name="_GoBack"/>
      <w:bookmarkEnd w:id="0"/>
      <w:r w:rsidRPr="003805F1">
        <w:t xml:space="preserve">with another survey in Denmark in 2015 where all respondents had the support party option. This survey was again administered by SSI, and went into the field in the days leading up to the 2015 Danish general election with the government being the same as when our 2014 Danish survey went into the field. These data thus allow us to replicate the results in Table 3 in the main paper with a larger sample. </w:t>
      </w:r>
    </w:p>
    <w:p w:rsidR="00012E1A" w:rsidRPr="003805F1" w:rsidRDefault="00012E1A" w:rsidP="00012E1A">
      <w:pPr>
        <w:spacing w:line="480" w:lineRule="auto"/>
        <w:ind w:firstLine="720"/>
      </w:pPr>
      <w:r w:rsidRPr="003805F1">
        <w:t>The results from the 2015 analysis are presented in Table 1a and they are very similar to those presented in Table 3</w:t>
      </w:r>
      <w:r>
        <w:t xml:space="preserve"> in the main paper</w:t>
      </w:r>
      <w:r w:rsidRPr="003805F1">
        <w:t>. To be sure, the information environment appears to have been different in 2015 relative to 2014 such that more respondents gave the “don’t know” answer in the 2015 survey, but our inferences concern differences in classifications between parties at a given time point rather than within them over time. Or, put differently, what we care about is whether Danish citizens are more likely to classify SF and EL as support parties than other parties. The results clearly suggest that they were in 2015 as a majority of respondents classified SF and EL as support parties, which was much more than for any other party.  Much like the results in Table 3, the results presented here thus suggest that most Danish voters can correctly classify support parties as a separate category when given the option to do so.</w:t>
      </w:r>
      <w:r w:rsidRPr="003805F1">
        <w:rPr>
          <w:rStyle w:val="FootnoteReference"/>
        </w:rPr>
        <w:footnoteReference w:id="1"/>
      </w:r>
    </w:p>
    <w:p w:rsidR="00012E1A" w:rsidRPr="003805F1" w:rsidRDefault="00012E1A" w:rsidP="00012E1A">
      <w:pPr>
        <w:outlineLvl w:val="0"/>
        <w:rPr>
          <w:b/>
        </w:rPr>
      </w:pPr>
    </w:p>
    <w:p w:rsidR="00012E1A" w:rsidRPr="003805F1" w:rsidRDefault="00012E1A" w:rsidP="00012E1A">
      <w:pPr>
        <w:outlineLvl w:val="0"/>
        <w:rPr>
          <w:b/>
        </w:rPr>
      </w:pPr>
    </w:p>
    <w:p w:rsidR="00012E1A" w:rsidRPr="003805F1" w:rsidRDefault="00012E1A" w:rsidP="00012E1A">
      <w:pPr>
        <w:outlineLvl w:val="0"/>
        <w:rPr>
          <w:b/>
        </w:rPr>
      </w:pPr>
    </w:p>
    <w:p w:rsidR="00012E1A" w:rsidRPr="003805F1" w:rsidRDefault="00012E1A" w:rsidP="00012E1A">
      <w:pPr>
        <w:outlineLvl w:val="0"/>
        <w:rPr>
          <w:b/>
        </w:rPr>
      </w:pPr>
    </w:p>
    <w:p w:rsidR="00012E1A" w:rsidRDefault="00012E1A" w:rsidP="00012E1A">
      <w:pPr>
        <w:outlineLvl w:val="0"/>
        <w:rPr>
          <w:b/>
        </w:rPr>
      </w:pPr>
      <w:r w:rsidRPr="003805F1">
        <w:rPr>
          <w:b/>
        </w:rPr>
        <w:t>Table 1a: Respondent Classifications of Party Roles, Denmark 2015 (with support party option)</w:t>
      </w:r>
    </w:p>
    <w:tbl>
      <w:tblPr>
        <w:tblStyle w:val="LightShading"/>
        <w:tblW w:w="5000" w:type="pct"/>
        <w:tblLook w:val="04A0" w:firstRow="1" w:lastRow="0" w:firstColumn="1" w:lastColumn="0" w:noHBand="0" w:noVBand="1"/>
      </w:tblPr>
      <w:tblGrid>
        <w:gridCol w:w="1798"/>
        <w:gridCol w:w="1023"/>
        <w:gridCol w:w="1149"/>
        <w:gridCol w:w="1095"/>
        <w:gridCol w:w="1095"/>
        <w:gridCol w:w="1110"/>
        <w:gridCol w:w="1160"/>
        <w:gridCol w:w="1146"/>
      </w:tblGrid>
      <w:tr w:rsidR="00012E1A"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color w:val="auto"/>
                <w:sz w:val="18"/>
                <w:szCs w:val="18"/>
              </w:rPr>
            </w:pPr>
            <w:r w:rsidRPr="003805F1">
              <w:rPr>
                <w:color w:val="auto"/>
                <w:sz w:val="18"/>
                <w:szCs w:val="18"/>
              </w:rPr>
              <w:t>Party</w:t>
            </w:r>
          </w:p>
        </w:tc>
        <w:tc>
          <w:tcPr>
            <w:tcW w:w="528"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True role</w:t>
            </w:r>
          </w:p>
        </w:tc>
        <w:tc>
          <w:tcPr>
            <w:tcW w:w="601"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PM</w:t>
            </w:r>
          </w:p>
        </w:tc>
        <w:tc>
          <w:tcPr>
            <w:tcW w:w="573"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Cabinet Partner</w:t>
            </w:r>
          </w:p>
        </w:tc>
        <w:tc>
          <w:tcPr>
            <w:tcW w:w="573"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Support party</w:t>
            </w:r>
          </w:p>
        </w:tc>
        <w:tc>
          <w:tcPr>
            <w:tcW w:w="580"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Opposition</w:t>
            </w:r>
          </w:p>
        </w:tc>
        <w:tc>
          <w:tcPr>
            <w:tcW w:w="606"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Not in Parliament</w:t>
            </w:r>
          </w:p>
        </w:tc>
        <w:tc>
          <w:tcPr>
            <w:tcW w:w="599" w:type="pct"/>
          </w:tcPr>
          <w:p w:rsidR="00012E1A" w:rsidRPr="003805F1" w:rsidRDefault="00012E1A" w:rsidP="00AB7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Don’t know</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sz w:val="18"/>
                <w:szCs w:val="18"/>
              </w:rPr>
            </w:pPr>
            <w:r w:rsidRPr="003805F1">
              <w:rPr>
                <w:b w:val="0"/>
                <w:color w:val="auto"/>
                <w:sz w:val="18"/>
                <w:szCs w:val="18"/>
              </w:rPr>
              <w:t>Socialdemokraterne</w:t>
            </w:r>
          </w:p>
        </w:tc>
        <w:tc>
          <w:tcPr>
            <w:tcW w:w="528"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PM</w:t>
            </w:r>
          </w:p>
        </w:tc>
        <w:tc>
          <w:tcPr>
            <w:tcW w:w="601"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0.80</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(0.78, 0.82)</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(0.03, 0.04)</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0.02</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(0.01, 0.03)</w:t>
            </w:r>
          </w:p>
        </w:tc>
        <w:tc>
          <w:tcPr>
            <w:tcW w:w="580"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(0.01, 0.02)</w:t>
            </w:r>
          </w:p>
        </w:tc>
        <w:tc>
          <w:tcPr>
            <w:tcW w:w="606"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(0.01, 0.02)</w:t>
            </w:r>
          </w:p>
        </w:tc>
        <w:tc>
          <w:tcPr>
            <w:tcW w:w="599"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0.12</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color w:val="auto"/>
                <w:sz w:val="18"/>
                <w:szCs w:val="18"/>
              </w:rPr>
              <w:t>(0.10, 0.14)</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sz w:val="18"/>
                <w:szCs w:val="18"/>
              </w:rPr>
            </w:pPr>
            <w:r w:rsidRPr="003805F1">
              <w:rPr>
                <w:b w:val="0"/>
                <w:color w:val="auto"/>
                <w:sz w:val="18"/>
                <w:szCs w:val="18"/>
              </w:rPr>
              <w:t>Det Radikale Venstre</w:t>
            </w:r>
          </w:p>
        </w:tc>
        <w:tc>
          <w:tcPr>
            <w:tcW w:w="528"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Cabinet partner</w:t>
            </w:r>
          </w:p>
        </w:tc>
        <w:tc>
          <w:tcPr>
            <w:tcW w:w="601"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0.03</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(0.02, 0.04)</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0.64</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(0.61, 0.66)</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0.08</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(0.07, 0.09)</w:t>
            </w:r>
          </w:p>
        </w:tc>
        <w:tc>
          <w:tcPr>
            <w:tcW w:w="580"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0.06</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(0.04, 0.07)</w:t>
            </w:r>
          </w:p>
        </w:tc>
        <w:tc>
          <w:tcPr>
            <w:tcW w:w="606"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(0.01, 0.02)</w:t>
            </w:r>
          </w:p>
        </w:tc>
        <w:tc>
          <w:tcPr>
            <w:tcW w:w="599"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0.17</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color w:val="auto"/>
                <w:sz w:val="18"/>
                <w:szCs w:val="18"/>
              </w:rPr>
              <w:t>(0.15, 0.19)</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sz w:val="18"/>
                <w:szCs w:val="18"/>
              </w:rPr>
            </w:pPr>
            <w:r w:rsidRPr="003805F1">
              <w:rPr>
                <w:color w:val="auto"/>
                <w:sz w:val="18"/>
                <w:szCs w:val="18"/>
              </w:rPr>
              <w:t>Socialistisk Folkeparti (SF)</w:t>
            </w:r>
          </w:p>
        </w:tc>
        <w:tc>
          <w:tcPr>
            <w:tcW w:w="528"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Support</w:t>
            </w:r>
          </w:p>
        </w:tc>
        <w:tc>
          <w:tcPr>
            <w:tcW w:w="601"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3805F1">
              <w:rPr>
                <w:b/>
                <w:color w:val="auto"/>
                <w:sz w:val="18"/>
                <w:szCs w:val="18"/>
              </w:rPr>
              <w:t>0.02</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(0.01, 0.02)</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3805F1">
              <w:rPr>
                <w:b/>
                <w:color w:val="auto"/>
                <w:sz w:val="18"/>
                <w:szCs w:val="18"/>
              </w:rPr>
              <w:t>0.20</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(0.17, 0.21)</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3805F1">
              <w:rPr>
                <w:b/>
                <w:color w:val="auto"/>
                <w:sz w:val="18"/>
                <w:szCs w:val="18"/>
              </w:rPr>
              <w:t>0.56</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(0.53, 0.58)</w:t>
            </w:r>
          </w:p>
        </w:tc>
        <w:tc>
          <w:tcPr>
            <w:tcW w:w="580"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3805F1">
              <w:rPr>
                <w:b/>
                <w:color w:val="auto"/>
                <w:sz w:val="18"/>
                <w:szCs w:val="18"/>
              </w:rPr>
              <w:t>0.03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(0.03, 0.04)</w:t>
            </w:r>
          </w:p>
        </w:tc>
        <w:tc>
          <w:tcPr>
            <w:tcW w:w="606"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3805F1">
              <w:rPr>
                <w:b/>
                <w:color w:val="auto"/>
                <w:sz w:val="18"/>
                <w:szCs w:val="18"/>
              </w:rPr>
              <w:t>0.02</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(0.02, 0.03)</w:t>
            </w:r>
          </w:p>
        </w:tc>
        <w:tc>
          <w:tcPr>
            <w:tcW w:w="599"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sz w:val="18"/>
                <w:szCs w:val="18"/>
              </w:rPr>
            </w:pPr>
            <w:r w:rsidRPr="003805F1">
              <w:rPr>
                <w:b/>
                <w:color w:val="auto"/>
                <w:sz w:val="18"/>
                <w:szCs w:val="18"/>
              </w:rPr>
              <w:t>0.18</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805F1">
              <w:rPr>
                <w:b/>
                <w:color w:val="auto"/>
                <w:sz w:val="18"/>
                <w:szCs w:val="18"/>
              </w:rPr>
              <w:t>(0.16, 0.20)</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sz w:val="18"/>
                <w:szCs w:val="18"/>
              </w:rPr>
            </w:pPr>
            <w:r w:rsidRPr="003805F1">
              <w:rPr>
                <w:color w:val="auto"/>
                <w:sz w:val="18"/>
                <w:szCs w:val="18"/>
              </w:rPr>
              <w:t>Enhedslisten (EL)</w:t>
            </w:r>
          </w:p>
        </w:tc>
        <w:tc>
          <w:tcPr>
            <w:tcW w:w="528"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Support</w:t>
            </w:r>
          </w:p>
        </w:tc>
        <w:tc>
          <w:tcPr>
            <w:tcW w:w="601"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3805F1">
              <w:rPr>
                <w:b/>
                <w:color w:val="auto"/>
                <w:sz w:val="18"/>
                <w:szCs w:val="18"/>
              </w:rPr>
              <w:t>0.01</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(0.01, 0.02)</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3805F1">
              <w:rPr>
                <w:b/>
                <w:color w:val="auto"/>
                <w:sz w:val="18"/>
                <w:szCs w:val="18"/>
              </w:rPr>
              <w:t>0.09</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(0.08, 0.10)</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3805F1">
              <w:rPr>
                <w:b/>
                <w:color w:val="auto"/>
                <w:sz w:val="18"/>
                <w:szCs w:val="18"/>
              </w:rPr>
              <w:t>0.64</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(0.61, 0.66)</w:t>
            </w:r>
          </w:p>
        </w:tc>
        <w:tc>
          <w:tcPr>
            <w:tcW w:w="580"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3805F1">
              <w:rPr>
                <w:b/>
                <w:color w:val="auto"/>
                <w:sz w:val="18"/>
                <w:szCs w:val="18"/>
              </w:rPr>
              <w:t>0.06</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(0.05, 0.08)</w:t>
            </w:r>
          </w:p>
        </w:tc>
        <w:tc>
          <w:tcPr>
            <w:tcW w:w="606"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3805F1">
              <w:rPr>
                <w:b/>
                <w:color w:val="auto"/>
                <w:sz w:val="18"/>
                <w:szCs w:val="18"/>
              </w:rPr>
              <w:t>0.02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(0.01, 0.03)</w:t>
            </w:r>
          </w:p>
        </w:tc>
        <w:tc>
          <w:tcPr>
            <w:tcW w:w="599"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sz w:val="18"/>
                <w:szCs w:val="18"/>
              </w:rPr>
            </w:pPr>
            <w:r w:rsidRPr="003805F1">
              <w:rPr>
                <w:b/>
                <w:color w:val="auto"/>
                <w:sz w:val="18"/>
                <w:szCs w:val="18"/>
              </w:rPr>
              <w:t>0.17</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05F1">
              <w:rPr>
                <w:b/>
                <w:color w:val="auto"/>
                <w:sz w:val="18"/>
                <w:szCs w:val="18"/>
              </w:rPr>
              <w:t>(0.15, 0.19)</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color w:val="auto"/>
                <w:sz w:val="18"/>
                <w:szCs w:val="18"/>
              </w:rPr>
            </w:pPr>
            <w:r w:rsidRPr="003805F1">
              <w:rPr>
                <w:b w:val="0"/>
                <w:color w:val="auto"/>
                <w:sz w:val="18"/>
                <w:szCs w:val="18"/>
              </w:rPr>
              <w:t>Venstre</w:t>
            </w:r>
          </w:p>
        </w:tc>
        <w:tc>
          <w:tcPr>
            <w:tcW w:w="528"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Opposition</w:t>
            </w:r>
          </w:p>
        </w:tc>
        <w:tc>
          <w:tcPr>
            <w:tcW w:w="601"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(0.02, 0.04)</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0.05</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(0.04, 0.06)</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(0.02, 0.04)</w:t>
            </w:r>
          </w:p>
        </w:tc>
        <w:tc>
          <w:tcPr>
            <w:tcW w:w="580"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0.73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(0.71, 0.75)</w:t>
            </w:r>
          </w:p>
        </w:tc>
        <w:tc>
          <w:tcPr>
            <w:tcW w:w="606"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0.02</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(0.01, 0.03)</w:t>
            </w:r>
          </w:p>
        </w:tc>
        <w:tc>
          <w:tcPr>
            <w:tcW w:w="599"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0.14</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(0.12, 0.16)</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color w:val="auto"/>
                <w:sz w:val="18"/>
                <w:szCs w:val="18"/>
              </w:rPr>
            </w:pPr>
            <w:r w:rsidRPr="003805F1">
              <w:rPr>
                <w:b w:val="0"/>
                <w:color w:val="auto"/>
                <w:sz w:val="18"/>
                <w:szCs w:val="18"/>
              </w:rPr>
              <w:t>Dansk Folkeparti</w:t>
            </w:r>
          </w:p>
        </w:tc>
        <w:tc>
          <w:tcPr>
            <w:tcW w:w="528"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Opposition</w:t>
            </w:r>
          </w:p>
        </w:tc>
        <w:tc>
          <w:tcPr>
            <w:tcW w:w="601"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(0.01, 0.02)</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0.05</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(0.04, 0.06)</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0.07</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(0.06, 0.08)</w:t>
            </w:r>
          </w:p>
        </w:tc>
        <w:tc>
          <w:tcPr>
            <w:tcW w:w="580"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0.69</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(0.67, 0.72)</w:t>
            </w:r>
          </w:p>
        </w:tc>
        <w:tc>
          <w:tcPr>
            <w:tcW w:w="606"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(0.01, 0.03)</w:t>
            </w:r>
          </w:p>
        </w:tc>
        <w:tc>
          <w:tcPr>
            <w:tcW w:w="599"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0.16</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(0.14, 0.18)</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color w:val="auto"/>
                <w:sz w:val="18"/>
                <w:szCs w:val="18"/>
              </w:rPr>
            </w:pPr>
            <w:r w:rsidRPr="003805F1">
              <w:rPr>
                <w:b w:val="0"/>
                <w:color w:val="auto"/>
                <w:sz w:val="18"/>
                <w:szCs w:val="18"/>
              </w:rPr>
              <w:t>Liberal Alliance</w:t>
            </w:r>
          </w:p>
        </w:tc>
        <w:tc>
          <w:tcPr>
            <w:tcW w:w="528"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Opposition</w:t>
            </w:r>
          </w:p>
        </w:tc>
        <w:tc>
          <w:tcPr>
            <w:tcW w:w="601"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(0.003, 0.01)</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(0.02, 0.04)</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0.06</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(0.05, 0.08)</w:t>
            </w:r>
          </w:p>
        </w:tc>
        <w:tc>
          <w:tcPr>
            <w:tcW w:w="580"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0.64</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(0.61, 0.66)</w:t>
            </w:r>
          </w:p>
        </w:tc>
        <w:tc>
          <w:tcPr>
            <w:tcW w:w="606"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0.06</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(0.05, 0.07)</w:t>
            </w:r>
          </w:p>
        </w:tc>
        <w:tc>
          <w:tcPr>
            <w:tcW w:w="599"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0.20</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(0.18, 0.22)</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color w:val="auto"/>
                <w:sz w:val="18"/>
                <w:szCs w:val="18"/>
              </w:rPr>
            </w:pPr>
            <w:r w:rsidRPr="003805F1">
              <w:rPr>
                <w:b w:val="0"/>
                <w:color w:val="auto"/>
                <w:sz w:val="18"/>
                <w:szCs w:val="18"/>
              </w:rPr>
              <w:t>Det Konservative Folkeparti</w:t>
            </w:r>
          </w:p>
        </w:tc>
        <w:tc>
          <w:tcPr>
            <w:tcW w:w="528"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Opposition</w:t>
            </w:r>
          </w:p>
        </w:tc>
        <w:tc>
          <w:tcPr>
            <w:tcW w:w="601"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(0.01, 0.02)</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0.04</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(0.03, 0.05)</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0.06</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(0.05, 0.07)</w:t>
            </w:r>
          </w:p>
        </w:tc>
        <w:tc>
          <w:tcPr>
            <w:tcW w:w="580"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0.69</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(0.67, 0.72)</w:t>
            </w:r>
          </w:p>
        </w:tc>
        <w:tc>
          <w:tcPr>
            <w:tcW w:w="606"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(0.01, 0.03)</w:t>
            </w:r>
          </w:p>
        </w:tc>
        <w:tc>
          <w:tcPr>
            <w:tcW w:w="599"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0.18</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(0.16, 0.20)</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spacing w:line="480" w:lineRule="auto"/>
              <w:rPr>
                <w:b w:val="0"/>
                <w:color w:val="auto"/>
                <w:sz w:val="18"/>
                <w:szCs w:val="18"/>
              </w:rPr>
            </w:pPr>
            <w:r w:rsidRPr="003805F1">
              <w:rPr>
                <w:b w:val="0"/>
                <w:color w:val="auto"/>
                <w:sz w:val="18"/>
                <w:szCs w:val="18"/>
              </w:rPr>
              <w:t>Kristendemokraterne</w:t>
            </w:r>
          </w:p>
        </w:tc>
        <w:tc>
          <w:tcPr>
            <w:tcW w:w="528"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No seats</w:t>
            </w:r>
          </w:p>
        </w:tc>
        <w:tc>
          <w:tcPr>
            <w:tcW w:w="601"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(0.003, 0.01)</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(0.02, 0.03)</w:t>
            </w:r>
          </w:p>
        </w:tc>
        <w:tc>
          <w:tcPr>
            <w:tcW w:w="573"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0.06</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(0.05, 0.08)</w:t>
            </w:r>
          </w:p>
        </w:tc>
        <w:tc>
          <w:tcPr>
            <w:tcW w:w="580"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0.08</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(0.07, 0.10)</w:t>
            </w:r>
          </w:p>
        </w:tc>
        <w:tc>
          <w:tcPr>
            <w:tcW w:w="606"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0.58</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(0.56, 0.61)</w:t>
            </w:r>
          </w:p>
        </w:tc>
        <w:tc>
          <w:tcPr>
            <w:tcW w:w="599" w:type="pct"/>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0.24</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805F1">
              <w:rPr>
                <w:color w:val="auto"/>
                <w:sz w:val="18"/>
                <w:szCs w:val="18"/>
              </w:rPr>
              <w:t>(0.22, 0.26)</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940" w:type="pct"/>
          </w:tcPr>
          <w:p w:rsidR="00012E1A" w:rsidRPr="003805F1" w:rsidRDefault="00012E1A" w:rsidP="00AB7058">
            <w:pPr>
              <w:rPr>
                <w:b w:val="0"/>
                <w:color w:val="auto"/>
                <w:sz w:val="18"/>
                <w:szCs w:val="18"/>
              </w:rPr>
            </w:pPr>
            <w:r w:rsidRPr="003805F1">
              <w:rPr>
                <w:b w:val="0"/>
                <w:color w:val="auto"/>
                <w:sz w:val="18"/>
                <w:szCs w:val="18"/>
              </w:rPr>
              <w:t>Alternativet</w:t>
            </w:r>
          </w:p>
        </w:tc>
        <w:tc>
          <w:tcPr>
            <w:tcW w:w="528"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No seats</w:t>
            </w:r>
          </w:p>
        </w:tc>
        <w:tc>
          <w:tcPr>
            <w:tcW w:w="601"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(0.01, 0.02)</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(0.01, 0.03)</w:t>
            </w:r>
          </w:p>
        </w:tc>
        <w:tc>
          <w:tcPr>
            <w:tcW w:w="573"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(0.10, 0.13)</w:t>
            </w:r>
          </w:p>
        </w:tc>
        <w:tc>
          <w:tcPr>
            <w:tcW w:w="580"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0.05</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(0.04, 0.06)</w:t>
            </w:r>
          </w:p>
        </w:tc>
        <w:tc>
          <w:tcPr>
            <w:tcW w:w="606"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0.59</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(0.56, 0.61)</w:t>
            </w:r>
          </w:p>
        </w:tc>
        <w:tc>
          <w:tcPr>
            <w:tcW w:w="599" w:type="pct"/>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0.22</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3805F1">
              <w:rPr>
                <w:color w:val="auto"/>
                <w:sz w:val="18"/>
                <w:szCs w:val="18"/>
              </w:rPr>
              <w:t>(0.20, 0.24)</w:t>
            </w:r>
          </w:p>
        </w:tc>
      </w:tr>
    </w:tbl>
    <w:p w:rsidR="00012E1A" w:rsidRPr="003805F1" w:rsidRDefault="00012E1A" w:rsidP="00012E1A">
      <w:pPr>
        <w:spacing w:after="0" w:line="240" w:lineRule="auto"/>
        <w:rPr>
          <w:sz w:val="20"/>
          <w:szCs w:val="20"/>
        </w:rPr>
      </w:pPr>
      <w:r w:rsidRPr="003805F1">
        <w:rPr>
          <w:sz w:val="20"/>
          <w:szCs w:val="20"/>
        </w:rPr>
        <w:t>Note: Table entries are the proportions of respondents perceiving that a given party had a particular party role with 95% confidence intervals in parentheses. The number of respondents is 1385</w:t>
      </w:r>
    </w:p>
    <w:p w:rsidR="00012E1A" w:rsidRPr="003805F1" w:rsidRDefault="00012E1A" w:rsidP="00012E1A">
      <w:pPr>
        <w:spacing w:line="480" w:lineRule="auto"/>
        <w:rPr>
          <w:b/>
        </w:rPr>
      </w:pPr>
    </w:p>
    <w:p w:rsidR="00012E1A" w:rsidRPr="003805F1" w:rsidRDefault="00012E1A" w:rsidP="00012E1A">
      <w:pPr>
        <w:spacing w:line="480" w:lineRule="auto"/>
      </w:pPr>
      <w:r w:rsidRPr="003805F1">
        <w:t>Furthermore, as an additional robustness check, we replicate Table 5 in the main paper using the 2015 sample. The responsibility scores are slightly higher in Table 2a than in Table 5 because the respondents were given a 1-6 responsibility scale instead of a 1-5 responsibility scale, but the rank-ordering of the parties is the same in the two tables. Specifically, the two support parties were attributed much less policy influence than the two government parties, slightly less than the two largest opposition parties, and slightly more than the two smallest opposition parties. This correspondence is encouraging in that it suggests we have tapped into something persistent (and previously unknown) in the Danish electorate, and something that is different from the Dutch electorate.</w:t>
      </w:r>
    </w:p>
    <w:p w:rsidR="00012E1A" w:rsidRPr="003805F1" w:rsidRDefault="00012E1A" w:rsidP="00012E1A">
      <w:pPr>
        <w:spacing w:line="480" w:lineRule="auto"/>
        <w:rPr>
          <w:b/>
        </w:rPr>
      </w:pPr>
    </w:p>
    <w:p w:rsidR="00012E1A" w:rsidRPr="003805F1" w:rsidRDefault="00012E1A" w:rsidP="00012E1A">
      <w:pPr>
        <w:spacing w:line="480" w:lineRule="auto"/>
        <w:rPr>
          <w:b/>
        </w:rPr>
      </w:pPr>
    </w:p>
    <w:p w:rsidR="00012E1A" w:rsidRPr="00421435" w:rsidRDefault="00012E1A" w:rsidP="00012E1A">
      <w:pPr>
        <w:spacing w:line="240" w:lineRule="auto"/>
      </w:pPr>
      <w:r w:rsidRPr="003805F1">
        <w:rPr>
          <w:b/>
        </w:rPr>
        <w:lastRenderedPageBreak/>
        <w:t>Table 2a: Responsibility attri</w:t>
      </w:r>
      <w:r>
        <w:rPr>
          <w:b/>
        </w:rPr>
        <w:t>bution to Danish parties in 2015</w:t>
      </w:r>
      <w:r w:rsidRPr="003805F1">
        <w:rPr>
          <w:b/>
        </w:rPr>
        <w:t xml:space="preserve"> </w:t>
      </w:r>
    </w:p>
    <w:tbl>
      <w:tblPr>
        <w:tblStyle w:val="LightShading"/>
        <w:tblW w:w="9018" w:type="dxa"/>
        <w:tblLayout w:type="fixed"/>
        <w:tblLook w:val="04A0" w:firstRow="1" w:lastRow="0" w:firstColumn="1" w:lastColumn="0" w:noHBand="0" w:noVBand="1"/>
      </w:tblPr>
      <w:tblGrid>
        <w:gridCol w:w="2311"/>
        <w:gridCol w:w="1307"/>
        <w:gridCol w:w="1890"/>
        <w:gridCol w:w="1620"/>
        <w:gridCol w:w="1890"/>
      </w:tblGrid>
      <w:tr w:rsidR="00012E1A" w:rsidRPr="003805F1" w:rsidTr="00AB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color w:val="auto"/>
              </w:rPr>
            </w:pPr>
            <w:r w:rsidRPr="003805F1">
              <w:rPr>
                <w:color w:val="auto"/>
              </w:rPr>
              <w:t>Party</w:t>
            </w:r>
          </w:p>
        </w:tc>
        <w:tc>
          <w:tcPr>
            <w:tcW w:w="1307" w:type="dxa"/>
          </w:tcPr>
          <w:p w:rsidR="00012E1A" w:rsidRPr="003805F1" w:rsidRDefault="00012E1A" w:rsidP="00AB7058">
            <w:pPr>
              <w:jc w:val="center"/>
              <w:cnfStyle w:val="100000000000" w:firstRow="1" w:lastRow="0" w:firstColumn="0" w:lastColumn="0" w:oddVBand="0" w:evenVBand="0" w:oddHBand="0" w:evenHBand="0" w:firstRowFirstColumn="0" w:firstRowLastColumn="0" w:lastRowFirstColumn="0" w:lastRowLastColumn="0"/>
              <w:rPr>
                <w:color w:val="auto"/>
              </w:rPr>
            </w:pPr>
            <w:r w:rsidRPr="003805F1">
              <w:rPr>
                <w:color w:val="auto"/>
              </w:rPr>
              <w:t>True role</w:t>
            </w:r>
          </w:p>
        </w:tc>
        <w:tc>
          <w:tcPr>
            <w:tcW w:w="1890" w:type="dxa"/>
          </w:tcPr>
          <w:p w:rsidR="00012E1A" w:rsidRPr="003805F1" w:rsidRDefault="00012E1A" w:rsidP="00AB7058">
            <w:pPr>
              <w:jc w:val="center"/>
              <w:cnfStyle w:val="100000000000" w:firstRow="1" w:lastRow="0" w:firstColumn="0" w:lastColumn="0" w:oddVBand="0" w:evenVBand="0" w:oddHBand="0" w:evenHBand="0" w:firstRowFirstColumn="0" w:firstRowLastColumn="0" w:lastRowFirstColumn="0" w:lastRowLastColumn="0"/>
              <w:rPr>
                <w:color w:val="auto"/>
              </w:rPr>
            </w:pPr>
            <w:r w:rsidRPr="003805F1">
              <w:rPr>
                <w:color w:val="auto"/>
              </w:rPr>
              <w:t>True legislative seat share</w:t>
            </w:r>
          </w:p>
        </w:tc>
        <w:tc>
          <w:tcPr>
            <w:tcW w:w="1620" w:type="dxa"/>
          </w:tcPr>
          <w:p w:rsidR="00012E1A" w:rsidRPr="003805F1" w:rsidRDefault="00012E1A" w:rsidP="00AB7058">
            <w:pPr>
              <w:jc w:val="center"/>
              <w:cnfStyle w:val="100000000000" w:firstRow="1" w:lastRow="0" w:firstColumn="0" w:lastColumn="0" w:oddVBand="0" w:evenVBand="0" w:oddHBand="0" w:evenHBand="0" w:firstRowFirstColumn="0" w:firstRowLastColumn="0" w:lastRowFirstColumn="0" w:lastRowLastColumn="0"/>
              <w:rPr>
                <w:color w:val="auto"/>
              </w:rPr>
            </w:pPr>
            <w:r w:rsidRPr="003805F1">
              <w:rPr>
                <w:color w:val="auto"/>
              </w:rPr>
              <w:t>Average policy responsibility</w:t>
            </w:r>
          </w:p>
        </w:tc>
        <w:tc>
          <w:tcPr>
            <w:tcW w:w="1890" w:type="dxa"/>
          </w:tcPr>
          <w:p w:rsidR="00012E1A" w:rsidRPr="003805F1" w:rsidRDefault="00012E1A" w:rsidP="00AB7058">
            <w:pPr>
              <w:jc w:val="center"/>
              <w:cnfStyle w:val="100000000000" w:firstRow="1" w:lastRow="0" w:firstColumn="0" w:lastColumn="0" w:oddVBand="0" w:evenVBand="0" w:oddHBand="0" w:evenHBand="0" w:firstRowFirstColumn="0" w:firstRowLastColumn="0" w:lastRowFirstColumn="0" w:lastRowLastColumn="0"/>
              <w:rPr>
                <w:color w:val="auto"/>
              </w:rPr>
            </w:pPr>
            <w:r w:rsidRPr="003805F1">
              <w:rPr>
                <w:color w:val="auto"/>
              </w:rPr>
              <w:t>Number of observations</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rPr>
            </w:pPr>
            <w:r w:rsidRPr="003805F1">
              <w:rPr>
                <w:b w:val="0"/>
                <w:color w:val="auto"/>
              </w:rPr>
              <w:t>Socialdemokraterne</w:t>
            </w:r>
          </w:p>
        </w:tc>
        <w:tc>
          <w:tcPr>
            <w:tcW w:w="1307"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color w:val="auto"/>
              </w:rPr>
              <w:t>PM</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color w:val="auto"/>
              </w:rPr>
              <w:t>24.6</w:t>
            </w:r>
          </w:p>
        </w:tc>
        <w:tc>
          <w:tcPr>
            <w:tcW w:w="162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4.81</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color w:val="auto"/>
              </w:rPr>
              <w:t>(4.75, 4.86)</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color w:val="auto"/>
              </w:rPr>
              <w:t>1,151</w:t>
            </w:r>
          </w:p>
        </w:tc>
      </w:tr>
      <w:tr w:rsidR="00012E1A" w:rsidRPr="003805F1" w:rsidTr="00AB7058">
        <w:trPr>
          <w:trHeight w:val="584"/>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rPr>
            </w:pPr>
            <w:r w:rsidRPr="003805F1">
              <w:rPr>
                <w:b w:val="0"/>
                <w:color w:val="auto"/>
              </w:rPr>
              <w:t>Det Radikale Venstre</w:t>
            </w:r>
          </w:p>
        </w:tc>
        <w:tc>
          <w:tcPr>
            <w:tcW w:w="1307"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color w:val="auto"/>
              </w:rPr>
              <w:t>Cabinet partner</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color w:val="auto"/>
              </w:rPr>
              <w:t>9.5</w:t>
            </w:r>
          </w:p>
        </w:tc>
        <w:tc>
          <w:tcPr>
            <w:tcW w:w="162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4.30</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color w:val="auto"/>
              </w:rPr>
              <w:t>(4.23, 4.37)</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color w:val="auto"/>
              </w:rPr>
              <w:t>1,122</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rPr>
            </w:pPr>
            <w:r w:rsidRPr="003805F1">
              <w:rPr>
                <w:color w:val="auto"/>
              </w:rPr>
              <w:t>Socialistisk Folkeparti (SF)</w:t>
            </w:r>
          </w:p>
        </w:tc>
        <w:tc>
          <w:tcPr>
            <w:tcW w:w="1307"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b/>
                <w:color w:val="auto"/>
              </w:rPr>
              <w:t>Support</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b/>
                <w:color w:val="auto"/>
              </w:rPr>
              <w:t>8.9</w:t>
            </w:r>
          </w:p>
        </w:tc>
        <w:tc>
          <w:tcPr>
            <w:tcW w:w="162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rPr>
            </w:pPr>
            <w:r w:rsidRPr="003805F1">
              <w:rPr>
                <w:b/>
                <w:color w:val="auto"/>
              </w:rPr>
              <w:t>3.20</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b/>
                <w:color w:val="auto"/>
              </w:rPr>
              <w:t>(3.14, 3.27)</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pPr>
            <w:r w:rsidRPr="003805F1">
              <w:rPr>
                <w:b/>
                <w:color w:val="auto"/>
              </w:rPr>
              <w:t>1,122</w:t>
            </w:r>
          </w:p>
        </w:tc>
      </w:tr>
      <w:tr w:rsidR="00012E1A" w:rsidRPr="003805F1" w:rsidTr="00AB7058">
        <w:trPr>
          <w:trHeight w:val="584"/>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rPr>
            </w:pPr>
            <w:r w:rsidRPr="003805F1">
              <w:rPr>
                <w:color w:val="auto"/>
              </w:rPr>
              <w:t>Enhedslisten (EL)</w:t>
            </w:r>
          </w:p>
        </w:tc>
        <w:tc>
          <w:tcPr>
            <w:tcW w:w="1307"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b/>
                <w:color w:val="auto"/>
              </w:rPr>
              <w:t>Support</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b/>
                <w:color w:val="auto"/>
              </w:rPr>
              <w:t>6.7</w:t>
            </w:r>
          </w:p>
        </w:tc>
        <w:tc>
          <w:tcPr>
            <w:tcW w:w="162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b/>
                <w:color w:val="auto"/>
              </w:rPr>
            </w:pPr>
            <w:r w:rsidRPr="003805F1">
              <w:rPr>
                <w:b/>
                <w:color w:val="auto"/>
              </w:rPr>
              <w:t>3.05</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b/>
                <w:color w:val="auto"/>
              </w:rPr>
              <w:t>(2.99, 3.11)</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pPr>
            <w:r w:rsidRPr="003805F1">
              <w:rPr>
                <w:b/>
                <w:color w:val="auto"/>
              </w:rPr>
              <w:t>1,119</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color w:val="auto"/>
              </w:rPr>
            </w:pPr>
            <w:r w:rsidRPr="003805F1">
              <w:rPr>
                <w:b w:val="0"/>
                <w:color w:val="auto"/>
              </w:rPr>
              <w:t>Venstre</w:t>
            </w:r>
          </w:p>
        </w:tc>
        <w:tc>
          <w:tcPr>
            <w:tcW w:w="1307"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Opposition</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26.3</w:t>
            </w:r>
          </w:p>
        </w:tc>
        <w:tc>
          <w:tcPr>
            <w:tcW w:w="162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3.63</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(3.57, 3.69)</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1,141</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color w:val="auto"/>
              </w:rPr>
            </w:pPr>
            <w:r w:rsidRPr="003805F1">
              <w:rPr>
                <w:b w:val="0"/>
                <w:color w:val="auto"/>
              </w:rPr>
              <w:t>Dansk Folkeparti</w:t>
            </w:r>
          </w:p>
        </w:tc>
        <w:tc>
          <w:tcPr>
            <w:tcW w:w="1307"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Opposition</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12.3</w:t>
            </w:r>
          </w:p>
        </w:tc>
        <w:tc>
          <w:tcPr>
            <w:tcW w:w="162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3.28</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(3.22, 3.35)</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1,139</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color w:val="auto"/>
              </w:rPr>
            </w:pPr>
            <w:r w:rsidRPr="003805F1">
              <w:rPr>
                <w:b w:val="0"/>
                <w:color w:val="auto"/>
              </w:rPr>
              <w:t>Liberal Alliance</w:t>
            </w:r>
          </w:p>
        </w:tc>
        <w:tc>
          <w:tcPr>
            <w:tcW w:w="1307"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rPr>
            </w:pPr>
            <w:r w:rsidRPr="003805F1">
              <w:rPr>
                <w:color w:val="auto"/>
              </w:rPr>
              <w:t>Opposition</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5</w:t>
            </w:r>
          </w:p>
        </w:tc>
        <w:tc>
          <w:tcPr>
            <w:tcW w:w="162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2.39</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(2.33, 2.45)</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1,074</w:t>
            </w:r>
          </w:p>
        </w:tc>
      </w:tr>
      <w:tr w:rsidR="00012E1A" w:rsidRPr="003805F1" w:rsidTr="00AB7058">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rPr>
                <w:b w:val="0"/>
                <w:color w:val="auto"/>
              </w:rPr>
            </w:pPr>
            <w:r w:rsidRPr="003805F1">
              <w:rPr>
                <w:b w:val="0"/>
                <w:color w:val="auto"/>
              </w:rPr>
              <w:t>Det Konservative Folkeparti</w:t>
            </w:r>
          </w:p>
        </w:tc>
        <w:tc>
          <w:tcPr>
            <w:tcW w:w="1307"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Opposition</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4.5</w:t>
            </w:r>
          </w:p>
        </w:tc>
        <w:tc>
          <w:tcPr>
            <w:tcW w:w="162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2.53</w:t>
            </w:r>
          </w:p>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(2.47, 2.59)</w:t>
            </w:r>
          </w:p>
        </w:tc>
        <w:tc>
          <w:tcPr>
            <w:tcW w:w="1890" w:type="dxa"/>
          </w:tcPr>
          <w:p w:rsidR="00012E1A" w:rsidRPr="003805F1" w:rsidRDefault="00012E1A" w:rsidP="00AB7058">
            <w:pPr>
              <w:jc w:val="center"/>
              <w:cnfStyle w:val="000000000000" w:firstRow="0" w:lastRow="0" w:firstColumn="0" w:lastColumn="0" w:oddVBand="0" w:evenVBand="0" w:oddHBand="0" w:evenHBand="0" w:firstRowFirstColumn="0" w:firstRowLastColumn="0" w:lastRowFirstColumn="0" w:lastRowLastColumn="0"/>
              <w:rPr>
                <w:color w:val="auto"/>
              </w:rPr>
            </w:pPr>
            <w:r w:rsidRPr="003805F1">
              <w:rPr>
                <w:color w:val="auto"/>
              </w:rPr>
              <w:t>1,108</w:t>
            </w:r>
          </w:p>
        </w:tc>
      </w:tr>
      <w:tr w:rsidR="00012E1A" w:rsidRPr="003805F1" w:rsidTr="00AB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1" w:type="dxa"/>
          </w:tcPr>
          <w:p w:rsidR="00012E1A" w:rsidRPr="003805F1" w:rsidRDefault="00012E1A" w:rsidP="00AB7058">
            <w:pPr>
              <w:spacing w:line="480" w:lineRule="auto"/>
              <w:rPr>
                <w:b w:val="0"/>
                <w:color w:val="auto"/>
              </w:rPr>
            </w:pPr>
            <w:r w:rsidRPr="003805F1">
              <w:rPr>
                <w:b w:val="0"/>
                <w:color w:val="auto"/>
              </w:rPr>
              <w:t>Kristendemokraterne</w:t>
            </w:r>
          </w:p>
        </w:tc>
        <w:tc>
          <w:tcPr>
            <w:tcW w:w="1307"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rPr>
            </w:pPr>
            <w:r w:rsidRPr="003805F1">
              <w:rPr>
                <w:color w:val="auto"/>
              </w:rPr>
              <w:t>No seats</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b/>
                <w:color w:val="auto"/>
              </w:rPr>
            </w:pPr>
            <w:r w:rsidRPr="003805F1">
              <w:rPr>
                <w:color w:val="auto"/>
              </w:rPr>
              <w:t>0</w:t>
            </w:r>
          </w:p>
        </w:tc>
        <w:tc>
          <w:tcPr>
            <w:tcW w:w="162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1.56</w:t>
            </w:r>
          </w:p>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(1.50, 1.62)</w:t>
            </w:r>
          </w:p>
        </w:tc>
        <w:tc>
          <w:tcPr>
            <w:tcW w:w="1890" w:type="dxa"/>
          </w:tcPr>
          <w:p w:rsidR="00012E1A" w:rsidRPr="003805F1" w:rsidRDefault="00012E1A" w:rsidP="00AB7058">
            <w:pPr>
              <w:jc w:val="center"/>
              <w:cnfStyle w:val="000000100000" w:firstRow="0" w:lastRow="0" w:firstColumn="0" w:lastColumn="0" w:oddVBand="0" w:evenVBand="0" w:oddHBand="1" w:evenHBand="0" w:firstRowFirstColumn="0" w:firstRowLastColumn="0" w:lastRowFirstColumn="0" w:lastRowLastColumn="0"/>
              <w:rPr>
                <w:color w:val="auto"/>
              </w:rPr>
            </w:pPr>
            <w:r w:rsidRPr="003805F1">
              <w:rPr>
                <w:color w:val="auto"/>
              </w:rPr>
              <w:t>972</w:t>
            </w:r>
          </w:p>
        </w:tc>
      </w:tr>
    </w:tbl>
    <w:p w:rsidR="00012E1A" w:rsidRPr="003805F1" w:rsidRDefault="00012E1A" w:rsidP="00012E1A">
      <w:pPr>
        <w:tabs>
          <w:tab w:val="left" w:pos="7290"/>
          <w:tab w:val="left" w:pos="8640"/>
        </w:tabs>
        <w:ind w:right="1088"/>
        <w:rPr>
          <w:sz w:val="20"/>
          <w:szCs w:val="20"/>
        </w:rPr>
      </w:pPr>
      <w:r w:rsidRPr="003805F1">
        <w:rPr>
          <w:sz w:val="20"/>
          <w:szCs w:val="20"/>
        </w:rPr>
        <w:t>Table entries are the average responsibility (bounded between 1 and 6) attributed to the different parties with 95 percent confidence intervals in parentheses. The number of observations varies because “don’t know” answers for the responsibility attribution question are treated as missing. Respondents were not given the option to give a response to the responsibility attribution question for the new party “</w:t>
      </w:r>
      <w:proofErr w:type="spellStart"/>
      <w:r w:rsidRPr="003805F1">
        <w:rPr>
          <w:sz w:val="20"/>
          <w:szCs w:val="20"/>
        </w:rPr>
        <w:t>Alternativet</w:t>
      </w:r>
      <w:proofErr w:type="spellEnd"/>
      <w:r w:rsidRPr="003805F1">
        <w:rPr>
          <w:sz w:val="20"/>
          <w:szCs w:val="20"/>
        </w:rPr>
        <w:t xml:space="preserve">”, so it is excluded from the table.  </w:t>
      </w:r>
      <w:r>
        <w:rPr>
          <w:sz w:val="20"/>
          <w:szCs w:val="20"/>
        </w:rPr>
        <w:t xml:space="preserve"> </w:t>
      </w:r>
    </w:p>
    <w:p w:rsidR="00012E1A" w:rsidRPr="003805F1" w:rsidRDefault="00012E1A" w:rsidP="00012E1A">
      <w:pPr>
        <w:tabs>
          <w:tab w:val="left" w:pos="7290"/>
          <w:tab w:val="left" w:pos="8640"/>
        </w:tabs>
        <w:ind w:right="1088"/>
        <w:rPr>
          <w:sz w:val="20"/>
          <w:szCs w:val="20"/>
        </w:rPr>
      </w:pPr>
    </w:p>
    <w:p w:rsidR="00012E1A" w:rsidRPr="003805F1" w:rsidRDefault="00012E1A" w:rsidP="00012E1A">
      <w:pPr>
        <w:spacing w:line="480" w:lineRule="auto"/>
        <w:rPr>
          <w:b/>
        </w:rPr>
      </w:pPr>
    </w:p>
    <w:p w:rsidR="00012E1A" w:rsidRDefault="00012E1A" w:rsidP="00012E1A">
      <w:pPr>
        <w:spacing w:line="480" w:lineRule="auto"/>
        <w:rPr>
          <w:b/>
        </w:rPr>
      </w:pPr>
    </w:p>
    <w:p w:rsidR="00257CB4" w:rsidRDefault="00257CB4"/>
    <w:sectPr w:rsidR="00257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A" w:rsidRDefault="00012E1A" w:rsidP="00012E1A">
      <w:pPr>
        <w:spacing w:after="0" w:line="240" w:lineRule="auto"/>
      </w:pPr>
      <w:r>
        <w:separator/>
      </w:r>
    </w:p>
  </w:endnote>
  <w:endnote w:type="continuationSeparator" w:id="0">
    <w:p w:rsidR="00012E1A" w:rsidRDefault="00012E1A" w:rsidP="0001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A" w:rsidRDefault="00012E1A" w:rsidP="00012E1A">
      <w:pPr>
        <w:spacing w:after="0" w:line="240" w:lineRule="auto"/>
      </w:pPr>
      <w:r>
        <w:separator/>
      </w:r>
    </w:p>
  </w:footnote>
  <w:footnote w:type="continuationSeparator" w:id="0">
    <w:p w:rsidR="00012E1A" w:rsidRDefault="00012E1A" w:rsidP="00012E1A">
      <w:pPr>
        <w:spacing w:after="0" w:line="240" w:lineRule="auto"/>
      </w:pPr>
      <w:r>
        <w:continuationSeparator/>
      </w:r>
    </w:p>
  </w:footnote>
  <w:footnote w:id="1">
    <w:p w:rsidR="00012E1A" w:rsidRPr="00A04D96" w:rsidRDefault="00012E1A" w:rsidP="00012E1A">
      <w:pPr>
        <w:pStyle w:val="FootnoteText"/>
        <w:rPr>
          <w:lang w:val="en-US"/>
        </w:rPr>
      </w:pPr>
      <w:r>
        <w:rPr>
          <w:rStyle w:val="FootnoteReference"/>
        </w:rPr>
        <w:footnoteRef/>
      </w:r>
      <w:r w:rsidRPr="00B627A2">
        <w:rPr>
          <w:lang w:val="en-US"/>
        </w:rPr>
        <w:t xml:space="preserve"> </w:t>
      </w:r>
      <w:r>
        <w:rPr>
          <w:lang w:val="en-US"/>
        </w:rPr>
        <w:t xml:space="preserve">Another interesting finding is that 12 percent of all respondents considered </w:t>
      </w:r>
      <w:proofErr w:type="spellStart"/>
      <w:r>
        <w:rPr>
          <w:lang w:val="en-US"/>
        </w:rPr>
        <w:t>Alternativet</w:t>
      </w:r>
      <w:proofErr w:type="spellEnd"/>
      <w:r>
        <w:rPr>
          <w:lang w:val="en-US"/>
        </w:rPr>
        <w:t xml:space="preserve"> a support party. This party was formed in 2013, and got the required signatures to participate in general elections in 2015. The party is a green post-materialist party, and the results for this party in Table 1a may suggest that some Danes formed the reasonable expectation that </w:t>
      </w:r>
      <w:proofErr w:type="spellStart"/>
      <w:r>
        <w:rPr>
          <w:lang w:val="en-US"/>
        </w:rPr>
        <w:t>Alternativet</w:t>
      </w:r>
      <w:proofErr w:type="spellEnd"/>
      <w:r>
        <w:rPr>
          <w:lang w:val="en-US"/>
        </w:rPr>
        <w:t xml:space="preserve"> would have supported a Social Democratic government had they had representation in the Danish Parliament.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92"/>
    <w:rsid w:val="00012E1A"/>
    <w:rsid w:val="00257CB4"/>
    <w:rsid w:val="00C1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2E1A"/>
    <w:pPr>
      <w:spacing w:after="0" w:line="240" w:lineRule="auto"/>
    </w:pPr>
    <w:rPr>
      <w:sz w:val="20"/>
      <w:szCs w:val="20"/>
      <w:lang w:val="da-DK"/>
    </w:rPr>
  </w:style>
  <w:style w:type="character" w:customStyle="1" w:styleId="FootnoteTextChar">
    <w:name w:val="Footnote Text Char"/>
    <w:basedOn w:val="DefaultParagraphFont"/>
    <w:link w:val="FootnoteText"/>
    <w:uiPriority w:val="99"/>
    <w:rsid w:val="00012E1A"/>
    <w:rPr>
      <w:sz w:val="20"/>
      <w:szCs w:val="20"/>
      <w:lang w:val="da-DK"/>
    </w:rPr>
  </w:style>
  <w:style w:type="character" w:styleId="FootnoteReference">
    <w:name w:val="footnote reference"/>
    <w:basedOn w:val="DefaultParagraphFont"/>
    <w:uiPriority w:val="99"/>
    <w:unhideWhenUsed/>
    <w:rsid w:val="00012E1A"/>
    <w:rPr>
      <w:vertAlign w:val="superscript"/>
    </w:rPr>
  </w:style>
  <w:style w:type="table" w:styleId="LightShading">
    <w:name w:val="Light Shading"/>
    <w:basedOn w:val="TableNormal"/>
    <w:uiPriority w:val="60"/>
    <w:rsid w:val="00012E1A"/>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2E1A"/>
    <w:pPr>
      <w:spacing w:after="0" w:line="240" w:lineRule="auto"/>
    </w:pPr>
    <w:rPr>
      <w:sz w:val="20"/>
      <w:szCs w:val="20"/>
      <w:lang w:val="da-DK"/>
    </w:rPr>
  </w:style>
  <w:style w:type="character" w:customStyle="1" w:styleId="FootnoteTextChar">
    <w:name w:val="Footnote Text Char"/>
    <w:basedOn w:val="DefaultParagraphFont"/>
    <w:link w:val="FootnoteText"/>
    <w:uiPriority w:val="99"/>
    <w:rsid w:val="00012E1A"/>
    <w:rPr>
      <w:sz w:val="20"/>
      <w:szCs w:val="20"/>
      <w:lang w:val="da-DK"/>
    </w:rPr>
  </w:style>
  <w:style w:type="character" w:styleId="FootnoteReference">
    <w:name w:val="footnote reference"/>
    <w:basedOn w:val="DefaultParagraphFont"/>
    <w:uiPriority w:val="99"/>
    <w:unhideWhenUsed/>
    <w:rsid w:val="00012E1A"/>
    <w:rPr>
      <w:vertAlign w:val="superscript"/>
    </w:rPr>
  </w:style>
  <w:style w:type="table" w:styleId="LightShading">
    <w:name w:val="Light Shading"/>
    <w:basedOn w:val="TableNormal"/>
    <w:uiPriority w:val="60"/>
    <w:rsid w:val="00012E1A"/>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63F6CCC8</Template>
  <TotalTime>1</TotalTime>
  <Pages>3</Pages>
  <Words>778</Words>
  <Characters>4435</Characters>
  <Application>Microsoft Office Word</Application>
  <DocSecurity>0</DocSecurity>
  <Lines>36</Lines>
  <Paragraphs>10</Paragraphs>
  <ScaleCrop>false</ScaleCrop>
  <Company>Rice University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 Tromborg</dc:creator>
  <cp:keywords/>
  <dc:description/>
  <cp:lastModifiedBy>Mathias W Tromborg</cp:lastModifiedBy>
  <cp:revision>2</cp:revision>
  <dcterms:created xsi:type="dcterms:W3CDTF">2016-10-20T21:05:00Z</dcterms:created>
  <dcterms:modified xsi:type="dcterms:W3CDTF">2016-10-20T21:06:00Z</dcterms:modified>
</cp:coreProperties>
</file>