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CE" w:rsidRPr="00701E98" w:rsidRDefault="005F7BCE" w:rsidP="005F7BCE">
      <w:pPr>
        <w:jc w:val="center"/>
        <w:rPr>
          <w:rFonts w:ascii="Times New Roman" w:eastAsia="Calibri" w:hAnsi="Times New Roman"/>
          <w:b/>
          <w:sz w:val="24"/>
          <w:szCs w:val="24"/>
        </w:rPr>
      </w:pPr>
      <w:r w:rsidRPr="00701E98">
        <w:rPr>
          <w:rFonts w:ascii="Times New Roman" w:eastAsia="Calibri" w:hAnsi="Times New Roman"/>
          <w:b/>
          <w:sz w:val="24"/>
          <w:szCs w:val="24"/>
        </w:rPr>
        <w:t>Supplementary Information</w:t>
      </w:r>
    </w:p>
    <w:p w:rsidR="005F7BCE" w:rsidRPr="00701E98" w:rsidRDefault="005F7BCE" w:rsidP="005F7BCE">
      <w:pPr>
        <w:jc w:val="center"/>
        <w:rPr>
          <w:rFonts w:ascii="Times New Roman" w:eastAsia="Calibri" w:hAnsi="Times New Roman"/>
          <w:sz w:val="24"/>
          <w:szCs w:val="24"/>
          <w:lang w:eastAsia="en-US"/>
        </w:rPr>
      </w:pPr>
      <w:r>
        <w:rPr>
          <w:rFonts w:eastAsia="Calibri"/>
          <w:noProof/>
        </w:rPr>
        <w:drawing>
          <wp:inline distT="0" distB="0" distL="0" distR="0">
            <wp:extent cx="5730240" cy="4922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4922520"/>
                    </a:xfrm>
                    <a:prstGeom prst="rect">
                      <a:avLst/>
                    </a:prstGeom>
                    <a:noFill/>
                    <a:ln>
                      <a:noFill/>
                    </a:ln>
                  </pic:spPr>
                </pic:pic>
              </a:graphicData>
            </a:graphic>
          </wp:inline>
        </w:drawing>
      </w:r>
    </w:p>
    <w:p w:rsidR="005F7BCE" w:rsidRPr="00B25B70" w:rsidRDefault="005F7BCE" w:rsidP="005F7BCE">
      <w:pPr>
        <w:jc w:val="center"/>
        <w:rPr>
          <w:rFonts w:ascii="Times New Roman" w:hAnsi="Times New Roman"/>
          <w:b/>
          <w:sz w:val="24"/>
          <w:szCs w:val="24"/>
        </w:rPr>
      </w:pPr>
      <w:r>
        <w:rPr>
          <w:rFonts w:ascii="Times New Roman" w:hAnsi="Times New Roman"/>
          <w:b/>
        </w:rPr>
        <w:br w:type="page"/>
      </w:r>
      <w:r w:rsidRPr="00B25B70">
        <w:rPr>
          <w:rFonts w:ascii="Times New Roman" w:hAnsi="Times New Roman"/>
          <w:b/>
          <w:sz w:val="24"/>
          <w:szCs w:val="24"/>
        </w:rPr>
        <w:lastRenderedPageBreak/>
        <w:t>SI 2: Robustness</w:t>
      </w:r>
    </w:p>
    <w:p w:rsidR="005F7BCE" w:rsidRDefault="005F7BCE" w:rsidP="005F7BCE">
      <w:pPr>
        <w:rPr>
          <w:rFonts w:ascii="Times New Roman" w:hAnsi="Times New Roman"/>
          <w:sz w:val="24"/>
          <w:szCs w:val="24"/>
        </w:rPr>
      </w:pPr>
      <w:r>
        <w:rPr>
          <w:noProof/>
        </w:rPr>
        <w:drawing>
          <wp:inline distT="0" distB="0" distL="0" distR="0">
            <wp:extent cx="5730240" cy="6172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6172200"/>
                    </a:xfrm>
                    <a:prstGeom prst="rect">
                      <a:avLst/>
                    </a:prstGeom>
                    <a:noFill/>
                    <a:ln>
                      <a:noFill/>
                    </a:ln>
                  </pic:spPr>
                </pic:pic>
              </a:graphicData>
            </a:graphic>
          </wp:inline>
        </w:drawing>
      </w:r>
    </w:p>
    <w:p w:rsidR="005F7BCE" w:rsidRPr="000B7A56" w:rsidRDefault="005F7BCE" w:rsidP="005F7BCE">
      <w:pPr>
        <w:spacing w:line="480" w:lineRule="auto"/>
        <w:jc w:val="both"/>
        <w:rPr>
          <w:rFonts w:ascii="Times New Roman" w:hAnsi="Times New Roman"/>
          <w:sz w:val="24"/>
          <w:szCs w:val="24"/>
        </w:rPr>
      </w:pPr>
      <w:r>
        <w:rPr>
          <w:rFonts w:ascii="Times New Roman" w:hAnsi="Times New Roman"/>
          <w:sz w:val="24"/>
          <w:szCs w:val="24"/>
        </w:rPr>
        <w:t xml:space="preserve">Table SI 2 presents additional analyses that </w:t>
      </w:r>
      <w:r w:rsidRPr="000B7A56">
        <w:rPr>
          <w:rFonts w:ascii="Times New Roman" w:hAnsi="Times New Roman"/>
          <w:sz w:val="24"/>
          <w:szCs w:val="24"/>
        </w:rPr>
        <w:t>test the robustness of the results from our main model</w:t>
      </w:r>
      <w:r>
        <w:rPr>
          <w:rFonts w:ascii="Times New Roman" w:hAnsi="Times New Roman"/>
          <w:sz w:val="24"/>
          <w:szCs w:val="24"/>
        </w:rPr>
        <w:t xml:space="preserve"> 2</w:t>
      </w:r>
      <w:r w:rsidRPr="000B7A56">
        <w:rPr>
          <w:rFonts w:ascii="Times New Roman" w:hAnsi="Times New Roman"/>
          <w:sz w:val="24"/>
          <w:szCs w:val="24"/>
        </w:rPr>
        <w:t xml:space="preserve"> (</w:t>
      </w:r>
      <w:r w:rsidRPr="00BF2933">
        <w:rPr>
          <w:rFonts w:ascii="Times New Roman" w:hAnsi="Times New Roman"/>
          <w:sz w:val="24"/>
          <w:szCs w:val="24"/>
        </w:rPr>
        <w:t>cf. Table 1)</w:t>
      </w:r>
      <w:r>
        <w:rPr>
          <w:rFonts w:ascii="Times New Roman" w:hAnsi="Times New Roman"/>
          <w:sz w:val="24"/>
          <w:szCs w:val="24"/>
        </w:rPr>
        <w:t>.</w:t>
      </w:r>
      <w:r w:rsidRPr="000B7A56">
        <w:rPr>
          <w:rFonts w:ascii="Times New Roman" w:hAnsi="Times New Roman"/>
          <w:sz w:val="24"/>
          <w:szCs w:val="24"/>
        </w:rPr>
        <w:t xml:space="preserve"> </w:t>
      </w:r>
      <w:r>
        <w:rPr>
          <w:rFonts w:ascii="Times New Roman" w:hAnsi="Times New Roman"/>
          <w:sz w:val="24"/>
          <w:szCs w:val="24"/>
        </w:rPr>
        <w:t>In model 1</w:t>
      </w:r>
      <w:r w:rsidRPr="000B7A56">
        <w:rPr>
          <w:rFonts w:ascii="Times New Roman" w:hAnsi="Times New Roman"/>
          <w:sz w:val="24"/>
          <w:szCs w:val="24"/>
        </w:rPr>
        <w:t xml:space="preserve">, we change our main explanatory variable, and employ electoral volatility instead of average party age as our measure of party system institutionalization. </w:t>
      </w:r>
      <w:r>
        <w:rPr>
          <w:rFonts w:ascii="Times New Roman" w:hAnsi="Times New Roman"/>
          <w:sz w:val="24"/>
          <w:szCs w:val="24"/>
        </w:rPr>
        <w:t xml:space="preserve">As noted in the main text, </w:t>
      </w:r>
      <w:r w:rsidRPr="000B7A56">
        <w:rPr>
          <w:rFonts w:ascii="Times New Roman" w:hAnsi="Times New Roman"/>
          <w:sz w:val="24"/>
          <w:szCs w:val="24"/>
        </w:rPr>
        <w:t>electoral volatility, which captures aggregate party system stability</w:t>
      </w:r>
      <w:r>
        <w:rPr>
          <w:rFonts w:ascii="Times New Roman" w:hAnsi="Times New Roman"/>
          <w:sz w:val="24"/>
          <w:szCs w:val="24"/>
        </w:rPr>
        <w:t>,</w:t>
      </w:r>
      <w:r w:rsidRPr="000B7A56">
        <w:rPr>
          <w:rFonts w:ascii="Times New Roman" w:hAnsi="Times New Roman"/>
          <w:sz w:val="24"/>
          <w:szCs w:val="24"/>
        </w:rPr>
        <w:t xml:space="preserve"> is driven by the entry and exit of parties into the political system and by the stability of their support</w:t>
      </w:r>
      <w:r>
        <w:rPr>
          <w:rFonts w:ascii="Times New Roman" w:hAnsi="Times New Roman"/>
          <w:sz w:val="24"/>
          <w:szCs w:val="24"/>
        </w:rPr>
        <w:t xml:space="preserve">. </w:t>
      </w:r>
      <w:r w:rsidRPr="000B7A56">
        <w:rPr>
          <w:rFonts w:ascii="Times New Roman" w:hAnsi="Times New Roman"/>
          <w:sz w:val="24"/>
          <w:szCs w:val="24"/>
        </w:rPr>
        <w:t>We employ Mainwarin</w:t>
      </w:r>
      <w:r>
        <w:rPr>
          <w:rFonts w:ascii="Times New Roman" w:hAnsi="Times New Roman"/>
          <w:sz w:val="24"/>
          <w:szCs w:val="24"/>
        </w:rPr>
        <w:t>g, Espana and Gervasoni’s</w:t>
      </w:r>
      <w:r w:rsidRPr="000B7A56">
        <w:rPr>
          <w:rFonts w:ascii="Times New Roman" w:hAnsi="Times New Roman"/>
          <w:sz w:val="24"/>
          <w:szCs w:val="24"/>
        </w:rPr>
        <w:t xml:space="preserve"> measure for total volatility aggregated over the period 1990-2002,</w:t>
      </w:r>
      <w:r w:rsidRPr="000B7A56">
        <w:rPr>
          <w:rStyle w:val="FootnoteReference"/>
          <w:rFonts w:ascii="Times New Roman" w:hAnsi="Times New Roman"/>
          <w:sz w:val="24"/>
          <w:szCs w:val="24"/>
        </w:rPr>
        <w:footnoteReference w:id="1"/>
      </w:r>
      <w:r w:rsidRPr="000B7A56">
        <w:rPr>
          <w:rFonts w:ascii="Times New Roman" w:hAnsi="Times New Roman"/>
          <w:sz w:val="24"/>
          <w:szCs w:val="24"/>
        </w:rPr>
        <w:t xml:space="preserve"> which captures the “absolute value of change in the percentage of votes gained or lost by each party </w:t>
      </w:r>
      <w:r>
        <w:rPr>
          <w:rFonts w:ascii="Times New Roman" w:hAnsi="Times New Roman"/>
          <w:sz w:val="24"/>
          <w:szCs w:val="24"/>
        </w:rPr>
        <w:t>from one election to the next”</w:t>
      </w:r>
      <w:r>
        <w:rPr>
          <w:rStyle w:val="FootnoteReference"/>
          <w:rFonts w:ascii="Times New Roman" w:hAnsi="Times New Roman"/>
          <w:sz w:val="24"/>
          <w:szCs w:val="24"/>
        </w:rPr>
        <w:footnoteReference w:id="2"/>
      </w:r>
      <w:r>
        <w:rPr>
          <w:rFonts w:ascii="Times New Roman" w:hAnsi="Times New Roman"/>
          <w:sz w:val="24"/>
          <w:szCs w:val="24"/>
        </w:rPr>
        <w:t xml:space="preserve"> and is a</w:t>
      </w:r>
      <w:r w:rsidRPr="000B7A56">
        <w:rPr>
          <w:rFonts w:ascii="Times New Roman" w:hAnsi="Times New Roman"/>
          <w:sz w:val="24"/>
          <w:szCs w:val="24"/>
        </w:rPr>
        <w:t xml:space="preserve">vailable for a reduced sample of 52 countries. Party systems that display higher levels of volatility are less institutionalized and </w:t>
      </w:r>
      <w:r>
        <w:rPr>
          <w:rFonts w:ascii="Times New Roman" w:hAnsi="Times New Roman"/>
          <w:sz w:val="24"/>
          <w:szCs w:val="24"/>
        </w:rPr>
        <w:t>feature lower (weaker) control of</w:t>
      </w:r>
      <w:r w:rsidRPr="000B7A56">
        <w:rPr>
          <w:rFonts w:ascii="Times New Roman" w:hAnsi="Times New Roman"/>
          <w:sz w:val="24"/>
          <w:szCs w:val="24"/>
        </w:rPr>
        <w:t xml:space="preserve"> corruption scores</w:t>
      </w:r>
      <w:r>
        <w:rPr>
          <w:rFonts w:ascii="Times New Roman" w:hAnsi="Times New Roman"/>
          <w:sz w:val="24"/>
          <w:szCs w:val="24"/>
        </w:rPr>
        <w:t xml:space="preserve"> as anticipated</w:t>
      </w:r>
      <w:r w:rsidRPr="000B7A56">
        <w:rPr>
          <w:rFonts w:ascii="Times New Roman" w:hAnsi="Times New Roman"/>
          <w:sz w:val="24"/>
          <w:szCs w:val="24"/>
        </w:rPr>
        <w:t xml:space="preserve">. </w:t>
      </w:r>
      <w:r>
        <w:rPr>
          <w:rFonts w:ascii="Times New Roman" w:hAnsi="Times New Roman"/>
          <w:sz w:val="24"/>
          <w:szCs w:val="24"/>
        </w:rPr>
        <w:t>In model 2</w:t>
      </w:r>
      <w:r w:rsidRPr="000B7A56">
        <w:rPr>
          <w:rFonts w:ascii="Times New Roman" w:hAnsi="Times New Roman"/>
          <w:sz w:val="24"/>
          <w:szCs w:val="24"/>
        </w:rPr>
        <w:t xml:space="preserve">, we address the fact that party system institutionalization, the </w:t>
      </w:r>
      <w:r>
        <w:rPr>
          <w:rFonts w:ascii="Times New Roman" w:hAnsi="Times New Roman"/>
          <w:sz w:val="24"/>
          <w:szCs w:val="24"/>
        </w:rPr>
        <w:t>age</w:t>
      </w:r>
      <w:r w:rsidRPr="000B7A56">
        <w:rPr>
          <w:rFonts w:ascii="Times New Roman" w:hAnsi="Times New Roman"/>
          <w:sz w:val="24"/>
          <w:szCs w:val="24"/>
        </w:rPr>
        <w:t xml:space="preserve"> of democracy and wealth are correlated by orthogonalizing these three variables and replacing party system institutionalization with the residuals from the auxiliary regression. This procedure attributes all shared variation between party system institutionalization, wealth and democracy to the two latter variables and allows us to examine the effect of party system institutionalization on perceived corruptio</w:t>
      </w:r>
      <w:r>
        <w:rPr>
          <w:rFonts w:ascii="Times New Roman" w:hAnsi="Times New Roman"/>
          <w:sz w:val="24"/>
          <w:szCs w:val="24"/>
        </w:rPr>
        <w:t>n, net of that shared variance</w:t>
      </w:r>
      <w:r w:rsidRPr="000B7A56">
        <w:rPr>
          <w:rFonts w:ascii="Times New Roman" w:hAnsi="Times New Roman"/>
          <w:sz w:val="24"/>
          <w:szCs w:val="24"/>
        </w:rPr>
        <w:t>.</w:t>
      </w:r>
      <w:r>
        <w:rPr>
          <w:rStyle w:val="FootnoteReference"/>
          <w:rFonts w:ascii="Times New Roman" w:hAnsi="Times New Roman"/>
          <w:sz w:val="24"/>
          <w:szCs w:val="24"/>
        </w:rPr>
        <w:footnoteReference w:id="3"/>
      </w:r>
      <w:r w:rsidRPr="000B7A56">
        <w:rPr>
          <w:rFonts w:ascii="Times New Roman" w:hAnsi="Times New Roman"/>
          <w:sz w:val="24"/>
          <w:szCs w:val="24"/>
        </w:rPr>
        <w:t xml:space="preserve">  As a result, the coefficients on wealth and </w:t>
      </w:r>
      <w:r>
        <w:rPr>
          <w:rFonts w:ascii="Times New Roman" w:hAnsi="Times New Roman"/>
          <w:sz w:val="24"/>
          <w:szCs w:val="24"/>
        </w:rPr>
        <w:t>age</w:t>
      </w:r>
      <w:r w:rsidRPr="000B7A56">
        <w:rPr>
          <w:rFonts w:ascii="Times New Roman" w:hAnsi="Times New Roman"/>
          <w:sz w:val="24"/>
          <w:szCs w:val="24"/>
        </w:rPr>
        <w:t xml:space="preserve"> of democracy increase in size while the coefficient for party system institutionalization is slightly reduced, but the effect remains sizable and statistically significant. </w:t>
      </w:r>
      <w:r>
        <w:rPr>
          <w:rFonts w:ascii="Times New Roman" w:hAnsi="Times New Roman"/>
          <w:sz w:val="24"/>
          <w:szCs w:val="24"/>
        </w:rPr>
        <w:t xml:space="preserve">In models 3 and 4, we change our definition of democracy, and successively restrict the sample to focus on increasingly high quality democracies. In a first step we apply a polity threshold of 7, and in a second step a threshold of 8. The results are robust to all of these alternative specifications. </w:t>
      </w:r>
    </w:p>
    <w:p w:rsidR="005F7BCE" w:rsidRPr="00681777" w:rsidRDefault="005F7BCE" w:rsidP="005F7BCE">
      <w:pPr>
        <w:rPr>
          <w:rFonts w:ascii="Times New Roman" w:hAnsi="Times New Roman"/>
          <w:b/>
          <w:sz w:val="24"/>
          <w:szCs w:val="24"/>
        </w:rPr>
      </w:pPr>
      <w:r w:rsidRPr="00681777">
        <w:rPr>
          <w:rFonts w:ascii="Times New Roman" w:hAnsi="Times New Roman"/>
          <w:b/>
          <w:sz w:val="24"/>
          <w:szCs w:val="24"/>
        </w:rPr>
        <w:t>References</w:t>
      </w:r>
    </w:p>
    <w:p w:rsidR="005F7BCE" w:rsidRDefault="005F7BCE" w:rsidP="005F7BCE">
      <w:pPr>
        <w:widowControl w:val="0"/>
        <w:autoSpaceDE w:val="0"/>
        <w:autoSpaceDN w:val="0"/>
        <w:adjustRightInd w:val="0"/>
        <w:spacing w:after="0" w:line="240" w:lineRule="auto"/>
        <w:rPr>
          <w:rStyle w:val="st"/>
          <w:rFonts w:ascii="Times New Roman" w:hAnsi="Times New Roman"/>
          <w:sz w:val="24"/>
          <w:szCs w:val="24"/>
        </w:rPr>
      </w:pPr>
      <w:r w:rsidRPr="004711FD">
        <w:rPr>
          <w:rStyle w:val="Emphasis"/>
          <w:rFonts w:ascii="Times New Roman" w:hAnsi="Times New Roman"/>
          <w:i w:val="0"/>
          <w:sz w:val="24"/>
          <w:szCs w:val="24"/>
        </w:rPr>
        <w:t>Clarke</w:t>
      </w:r>
      <w:r>
        <w:rPr>
          <w:rStyle w:val="Emphasis"/>
          <w:rFonts w:ascii="Times New Roman" w:hAnsi="Times New Roman"/>
          <w:i w:val="0"/>
          <w:sz w:val="24"/>
          <w:szCs w:val="24"/>
        </w:rPr>
        <w:t xml:space="preserve">, </w:t>
      </w:r>
      <w:r w:rsidRPr="00C90C64">
        <w:rPr>
          <w:rStyle w:val="st"/>
          <w:rFonts w:ascii="Times New Roman" w:hAnsi="Times New Roman"/>
          <w:sz w:val="24"/>
          <w:szCs w:val="24"/>
        </w:rPr>
        <w:t xml:space="preserve">Kevin A. </w:t>
      </w:r>
      <w:r w:rsidRPr="004711FD">
        <w:rPr>
          <w:rStyle w:val="st"/>
          <w:rFonts w:ascii="Times New Roman" w:hAnsi="Times New Roman"/>
          <w:sz w:val="24"/>
          <w:szCs w:val="24"/>
        </w:rPr>
        <w:t xml:space="preserve">and Randall W. </w:t>
      </w:r>
      <w:r w:rsidRPr="004711FD">
        <w:rPr>
          <w:rStyle w:val="Emphasis"/>
          <w:rFonts w:ascii="Times New Roman" w:hAnsi="Times New Roman"/>
          <w:i w:val="0"/>
          <w:sz w:val="24"/>
          <w:szCs w:val="24"/>
        </w:rPr>
        <w:t>Stone</w:t>
      </w:r>
      <w:r w:rsidRPr="004711FD">
        <w:rPr>
          <w:rStyle w:val="st"/>
          <w:rFonts w:ascii="Times New Roman" w:hAnsi="Times New Roman"/>
          <w:sz w:val="24"/>
          <w:szCs w:val="24"/>
        </w:rPr>
        <w:t>,</w:t>
      </w:r>
      <w:r>
        <w:rPr>
          <w:rStyle w:val="st"/>
          <w:rFonts w:ascii="Times New Roman" w:hAnsi="Times New Roman"/>
          <w:sz w:val="24"/>
          <w:szCs w:val="24"/>
        </w:rPr>
        <w:t xml:space="preserve"> 2008.</w:t>
      </w:r>
      <w:r w:rsidRPr="004711FD">
        <w:rPr>
          <w:rStyle w:val="st"/>
          <w:rFonts w:ascii="Times New Roman" w:hAnsi="Times New Roman"/>
          <w:sz w:val="24"/>
          <w:szCs w:val="24"/>
        </w:rPr>
        <w:t xml:space="preserve"> </w:t>
      </w:r>
      <w:r w:rsidRPr="004711FD">
        <w:rPr>
          <w:rStyle w:val="Emphasis"/>
          <w:rFonts w:ascii="Times New Roman" w:hAnsi="Times New Roman"/>
          <w:i w:val="0"/>
          <w:sz w:val="24"/>
          <w:szCs w:val="24"/>
        </w:rPr>
        <w:t>Democracy and the Logic of Political Survival</w:t>
      </w:r>
      <w:r>
        <w:rPr>
          <w:rStyle w:val="st"/>
          <w:rFonts w:ascii="Times New Roman" w:hAnsi="Times New Roman"/>
          <w:sz w:val="24"/>
          <w:szCs w:val="24"/>
        </w:rPr>
        <w:t>.</w:t>
      </w:r>
      <w:r w:rsidRPr="004711FD">
        <w:rPr>
          <w:rStyle w:val="st"/>
          <w:rFonts w:ascii="Times New Roman" w:hAnsi="Times New Roman"/>
          <w:sz w:val="24"/>
          <w:szCs w:val="24"/>
        </w:rPr>
        <w:t xml:space="preserve"> </w:t>
      </w:r>
      <w:r w:rsidRPr="004711FD">
        <w:rPr>
          <w:rStyle w:val="st"/>
          <w:rFonts w:ascii="Times New Roman" w:hAnsi="Times New Roman"/>
          <w:i/>
          <w:sz w:val="24"/>
          <w:szCs w:val="24"/>
        </w:rPr>
        <w:t>American Political Science Review</w:t>
      </w:r>
      <w:r w:rsidRPr="004711FD">
        <w:rPr>
          <w:rStyle w:val="st"/>
          <w:rFonts w:ascii="Times New Roman" w:hAnsi="Times New Roman"/>
          <w:sz w:val="24"/>
          <w:szCs w:val="24"/>
        </w:rPr>
        <w:t xml:space="preserve"> 102</w:t>
      </w:r>
      <w:r>
        <w:rPr>
          <w:rStyle w:val="st"/>
          <w:rFonts w:ascii="Times New Roman" w:hAnsi="Times New Roman"/>
          <w:sz w:val="24"/>
          <w:szCs w:val="24"/>
        </w:rPr>
        <w:t xml:space="preserve"> (</w:t>
      </w:r>
      <w:r w:rsidRPr="004711FD">
        <w:rPr>
          <w:rStyle w:val="st"/>
          <w:rFonts w:ascii="Times New Roman" w:hAnsi="Times New Roman"/>
          <w:sz w:val="24"/>
          <w:szCs w:val="24"/>
        </w:rPr>
        <w:t>3</w:t>
      </w:r>
      <w:r>
        <w:rPr>
          <w:rStyle w:val="st"/>
          <w:rFonts w:ascii="Times New Roman" w:hAnsi="Times New Roman"/>
          <w:sz w:val="24"/>
          <w:szCs w:val="24"/>
        </w:rPr>
        <w:t>): 387-</w:t>
      </w:r>
      <w:r w:rsidRPr="00894B2E">
        <w:rPr>
          <w:rStyle w:val="st"/>
          <w:rFonts w:ascii="Times New Roman" w:hAnsi="Times New Roman"/>
          <w:sz w:val="24"/>
          <w:szCs w:val="24"/>
        </w:rPr>
        <w:t>3</w:t>
      </w:r>
      <w:r w:rsidRPr="004711FD">
        <w:rPr>
          <w:rStyle w:val="st"/>
          <w:rFonts w:ascii="Times New Roman" w:hAnsi="Times New Roman"/>
          <w:sz w:val="24"/>
          <w:szCs w:val="24"/>
        </w:rPr>
        <w:t>92</w:t>
      </w:r>
      <w:r>
        <w:rPr>
          <w:rStyle w:val="st"/>
          <w:rFonts w:ascii="Times New Roman" w:hAnsi="Times New Roman"/>
          <w:sz w:val="24"/>
          <w:szCs w:val="24"/>
        </w:rPr>
        <w:t>.</w:t>
      </w:r>
    </w:p>
    <w:p w:rsidR="005F7BCE" w:rsidRPr="00894B2E" w:rsidRDefault="005F7BCE" w:rsidP="005F7BCE">
      <w:pPr>
        <w:widowControl w:val="0"/>
        <w:autoSpaceDE w:val="0"/>
        <w:autoSpaceDN w:val="0"/>
        <w:adjustRightInd w:val="0"/>
        <w:spacing w:after="0" w:line="240" w:lineRule="auto"/>
        <w:rPr>
          <w:rFonts w:ascii="Times New Roman" w:hAnsi="Times New Roman"/>
          <w:sz w:val="24"/>
          <w:szCs w:val="24"/>
        </w:rPr>
      </w:pPr>
    </w:p>
    <w:p w:rsidR="005F7BCE" w:rsidRDefault="005F7BCE" w:rsidP="005F7BCE">
      <w:pPr>
        <w:widowControl w:val="0"/>
        <w:autoSpaceDE w:val="0"/>
        <w:autoSpaceDN w:val="0"/>
        <w:adjustRightInd w:val="0"/>
        <w:spacing w:after="0" w:line="240" w:lineRule="auto"/>
        <w:rPr>
          <w:rFonts w:ascii="Times New Roman" w:hAnsi="Times New Roman"/>
          <w:sz w:val="24"/>
          <w:szCs w:val="24"/>
        </w:rPr>
      </w:pPr>
      <w:r w:rsidRPr="000B7A56">
        <w:rPr>
          <w:rFonts w:ascii="Times New Roman" w:hAnsi="Times New Roman"/>
          <w:sz w:val="24"/>
          <w:szCs w:val="24"/>
        </w:rPr>
        <w:t>Mainwaring, Scott, Annabella Espan</w:t>
      </w:r>
      <w:r>
        <w:rPr>
          <w:rFonts w:ascii="Times New Roman" w:hAnsi="Times New Roman"/>
          <w:sz w:val="24"/>
          <w:szCs w:val="24"/>
        </w:rPr>
        <w:t xml:space="preserve">a, and Carlos Gervasoni. 2009. </w:t>
      </w:r>
      <w:r w:rsidRPr="000B7A56">
        <w:rPr>
          <w:rFonts w:ascii="Times New Roman" w:hAnsi="Times New Roman"/>
          <w:sz w:val="24"/>
          <w:szCs w:val="24"/>
        </w:rPr>
        <w:t>Extra System Electoral Volatility and the Vote Share of Young Parties."</w:t>
      </w:r>
      <w:r w:rsidRPr="000B7A56">
        <w:rPr>
          <w:rFonts w:ascii="Times New Roman" w:hAnsi="Times New Roman"/>
          <w:i/>
          <w:sz w:val="24"/>
          <w:szCs w:val="24"/>
        </w:rPr>
        <w:t>Annual Meeting of the Canadian Political Science Association</w:t>
      </w:r>
      <w:r w:rsidRPr="000B7A56">
        <w:rPr>
          <w:rFonts w:ascii="Times New Roman" w:hAnsi="Times New Roman"/>
          <w:sz w:val="24"/>
          <w:szCs w:val="24"/>
        </w:rPr>
        <w:t>.</w:t>
      </w:r>
    </w:p>
    <w:p w:rsidR="005F7BCE" w:rsidRDefault="005F7BCE" w:rsidP="005F7BCE">
      <w:pPr>
        <w:widowControl w:val="0"/>
        <w:autoSpaceDE w:val="0"/>
        <w:autoSpaceDN w:val="0"/>
        <w:adjustRightInd w:val="0"/>
        <w:spacing w:after="0" w:line="240" w:lineRule="auto"/>
        <w:rPr>
          <w:rFonts w:ascii="Times New Roman" w:hAnsi="Times New Roman"/>
          <w:sz w:val="24"/>
          <w:szCs w:val="24"/>
        </w:rPr>
      </w:pPr>
    </w:p>
    <w:p w:rsidR="005F7BCE" w:rsidRPr="000B7A56" w:rsidRDefault="005F7BCE" w:rsidP="005F7BCE">
      <w:pPr>
        <w:widowControl w:val="0"/>
        <w:autoSpaceDE w:val="0"/>
        <w:autoSpaceDN w:val="0"/>
        <w:adjustRightInd w:val="0"/>
        <w:spacing w:after="0" w:line="240" w:lineRule="auto"/>
        <w:rPr>
          <w:rFonts w:ascii="Times New Roman" w:hAnsi="Times New Roman"/>
          <w:sz w:val="24"/>
          <w:szCs w:val="24"/>
        </w:rPr>
      </w:pPr>
    </w:p>
    <w:tbl>
      <w:tblPr>
        <w:tblW w:w="8753" w:type="dxa"/>
        <w:tblInd w:w="93" w:type="dxa"/>
        <w:tblLook w:val="04A0" w:firstRow="1" w:lastRow="0" w:firstColumn="1" w:lastColumn="0" w:noHBand="0" w:noVBand="1"/>
      </w:tblPr>
      <w:tblGrid>
        <w:gridCol w:w="4434"/>
        <w:gridCol w:w="763"/>
        <w:gridCol w:w="1163"/>
        <w:gridCol w:w="1177"/>
        <w:gridCol w:w="1216"/>
      </w:tblGrid>
      <w:tr w:rsidR="005F7BCE" w:rsidRPr="00701E98" w:rsidTr="009C5890">
        <w:trPr>
          <w:trHeight w:val="315"/>
        </w:trPr>
        <w:tc>
          <w:tcPr>
            <w:tcW w:w="5197" w:type="dxa"/>
            <w:gridSpan w:val="2"/>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b/>
                <w:bCs/>
                <w:color w:val="000000"/>
                <w:sz w:val="24"/>
                <w:szCs w:val="24"/>
              </w:rPr>
            </w:pPr>
            <w:r w:rsidRPr="00701E98">
              <w:rPr>
                <w:rFonts w:ascii="Times New Roman" w:hAnsi="Times New Roman"/>
                <w:b/>
                <w:bCs/>
                <w:color w:val="000000"/>
                <w:sz w:val="24"/>
                <w:szCs w:val="24"/>
              </w:rPr>
              <w:t>Table SI 3: Descriptive Statistics (Panama)</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color w:val="000000"/>
              </w:rPr>
            </w:pPr>
            <w:r w:rsidRPr="00701E98">
              <w:rPr>
                <w:color w:val="000000"/>
              </w:rPr>
              <w:t> </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color w:val="000000"/>
              </w:rPr>
            </w:pPr>
            <w:r w:rsidRPr="00701E98">
              <w:rPr>
                <w:color w:val="000000"/>
              </w:rPr>
              <w:t> </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color w:val="000000"/>
              </w:rPr>
            </w:pPr>
            <w:r w:rsidRPr="00701E98">
              <w:rPr>
                <w:color w:val="000000"/>
              </w:rPr>
              <w:t> </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color w:val="000000"/>
              </w:rPr>
            </w:pPr>
            <w:r w:rsidRPr="00701E98">
              <w:rPr>
                <w:color w:val="000000"/>
              </w:rPr>
              <w:t> </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 </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 </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 </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 </w:t>
            </w:r>
          </w:p>
        </w:tc>
      </w:tr>
      <w:tr w:rsidR="005F7BCE" w:rsidRPr="00701E98" w:rsidTr="009C5890">
        <w:trPr>
          <w:trHeight w:val="630"/>
        </w:trPr>
        <w:tc>
          <w:tcPr>
            <w:tcW w:w="4434" w:type="dxa"/>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 </w:t>
            </w:r>
          </w:p>
        </w:tc>
        <w:tc>
          <w:tcPr>
            <w:tcW w:w="763" w:type="dxa"/>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Mean</w:t>
            </w:r>
          </w:p>
        </w:tc>
        <w:tc>
          <w:tcPr>
            <w:tcW w:w="1163" w:type="dxa"/>
            <w:tcBorders>
              <w:top w:val="single" w:sz="4" w:space="0" w:color="auto"/>
              <w:left w:val="nil"/>
              <w:bottom w:val="single" w:sz="4" w:space="0" w:color="auto"/>
              <w:right w:val="nil"/>
            </w:tcBorders>
            <w:shd w:val="clear" w:color="000000" w:fill="FFFFFF"/>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Standard Deviation</w:t>
            </w:r>
          </w:p>
        </w:tc>
        <w:tc>
          <w:tcPr>
            <w:tcW w:w="1177" w:type="dxa"/>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Minimum</w:t>
            </w:r>
          </w:p>
        </w:tc>
        <w:tc>
          <w:tcPr>
            <w:tcW w:w="1216" w:type="dxa"/>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Maximum</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Vote Share Change</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-2.17</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10.05</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-33.7</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20.1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Vote Share</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26.66</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12.69</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2.6</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66.2</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Corruption Allegations (both Papers)</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2.48</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8.26</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65</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Corruption Allegations (either Paper)</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2.64</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8.24</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65</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Party/Alliance Change</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0.24</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0.43</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Urban Constituency</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0.56</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0.50</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Number of Candidates in District</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19.72</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15.40</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53</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Core Governing Party</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0.39</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0.49</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Major Opposition Party</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0.34</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0.48</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Senior Legislative Position</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0.07</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0.26</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Terms in Office</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1.52</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0.72</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4</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Age</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52.21</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8.05</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38</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85</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Unemployment Rate (Constituency)</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8.91</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4.00</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1.5</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17.7</w:t>
            </w:r>
          </w:p>
        </w:tc>
      </w:tr>
      <w:tr w:rsidR="005F7BCE" w:rsidRPr="00701E98" w:rsidTr="009C5890">
        <w:trPr>
          <w:trHeight w:val="315"/>
        </w:trPr>
        <w:tc>
          <w:tcPr>
            <w:tcW w:w="4434"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Vote Share (Previous Election)</w:t>
            </w:r>
          </w:p>
        </w:tc>
        <w:tc>
          <w:tcPr>
            <w:tcW w:w="7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29.95</w:t>
            </w:r>
          </w:p>
        </w:tc>
        <w:tc>
          <w:tcPr>
            <w:tcW w:w="1163"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12.66</w:t>
            </w:r>
          </w:p>
        </w:tc>
        <w:tc>
          <w:tcPr>
            <w:tcW w:w="1177"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4.6</w:t>
            </w:r>
          </w:p>
        </w:tc>
        <w:tc>
          <w:tcPr>
            <w:tcW w:w="1216" w:type="dxa"/>
            <w:tcBorders>
              <w:top w:val="nil"/>
              <w:left w:val="nil"/>
              <w:bottom w:val="nil"/>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66.2</w:t>
            </w:r>
          </w:p>
        </w:tc>
      </w:tr>
      <w:tr w:rsidR="005F7BCE" w:rsidRPr="00701E98" w:rsidTr="009C5890">
        <w:trPr>
          <w:trHeight w:val="315"/>
        </w:trPr>
        <w:tc>
          <w:tcPr>
            <w:tcW w:w="4434" w:type="dxa"/>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rPr>
                <w:rFonts w:ascii="Times New Roman" w:hAnsi="Times New Roman"/>
                <w:color w:val="000000"/>
                <w:sz w:val="24"/>
                <w:szCs w:val="24"/>
              </w:rPr>
            </w:pPr>
            <w:r w:rsidRPr="00701E98">
              <w:rPr>
                <w:rFonts w:ascii="Times New Roman" w:hAnsi="Times New Roman"/>
                <w:color w:val="000000"/>
                <w:sz w:val="24"/>
                <w:szCs w:val="24"/>
              </w:rPr>
              <w:t>Observations</w:t>
            </w:r>
          </w:p>
        </w:tc>
        <w:tc>
          <w:tcPr>
            <w:tcW w:w="4319" w:type="dxa"/>
            <w:gridSpan w:val="4"/>
            <w:tcBorders>
              <w:top w:val="single" w:sz="4" w:space="0" w:color="auto"/>
              <w:left w:val="nil"/>
              <w:bottom w:val="single" w:sz="4" w:space="0" w:color="auto"/>
              <w:right w:val="nil"/>
            </w:tcBorders>
            <w:shd w:val="clear" w:color="000000" w:fill="FFFFFF"/>
            <w:noWrap/>
            <w:vAlign w:val="bottom"/>
            <w:hideMark/>
          </w:tcPr>
          <w:p w:rsidR="005F7BCE" w:rsidRPr="00701E98" w:rsidRDefault="005F7BCE" w:rsidP="009C5890">
            <w:pPr>
              <w:spacing w:after="0" w:line="240" w:lineRule="auto"/>
              <w:jc w:val="center"/>
              <w:rPr>
                <w:rFonts w:ascii="Times New Roman" w:hAnsi="Times New Roman"/>
                <w:color w:val="000000"/>
                <w:sz w:val="24"/>
                <w:szCs w:val="24"/>
              </w:rPr>
            </w:pPr>
            <w:r w:rsidRPr="00701E98">
              <w:rPr>
                <w:rFonts w:ascii="Times New Roman" w:hAnsi="Times New Roman"/>
                <w:color w:val="000000"/>
                <w:sz w:val="24"/>
                <w:szCs w:val="24"/>
              </w:rPr>
              <w:t>114</w:t>
            </w:r>
          </w:p>
        </w:tc>
      </w:tr>
    </w:tbl>
    <w:p w:rsidR="005F7BCE" w:rsidRPr="000B7A56" w:rsidRDefault="005F7BCE" w:rsidP="005F7BCE">
      <w:pPr>
        <w:rPr>
          <w:rFonts w:ascii="Times New Roman" w:hAnsi="Times New Roman"/>
          <w:b/>
        </w:rPr>
      </w:pPr>
    </w:p>
    <w:p w:rsidR="005F7BCE" w:rsidRPr="00F27520" w:rsidRDefault="005F7BCE" w:rsidP="005F7BCE">
      <w:pPr>
        <w:jc w:val="center"/>
        <w:rPr>
          <w:rFonts w:ascii="Times New Roman" w:hAnsi="Times New Roman"/>
          <w:b/>
          <w:sz w:val="24"/>
          <w:szCs w:val="24"/>
        </w:rPr>
      </w:pPr>
      <w:bookmarkStart w:id="0" w:name="_GoBack"/>
      <w:bookmarkEnd w:id="0"/>
      <w:r>
        <w:rPr>
          <w:rFonts w:ascii="Times New Roman" w:hAnsi="Times New Roman"/>
        </w:rPr>
        <w:br w:type="page"/>
      </w:r>
      <w:r w:rsidRPr="00F27520">
        <w:rPr>
          <w:rFonts w:ascii="Times New Roman" w:hAnsi="Times New Roman"/>
          <w:b/>
          <w:sz w:val="24"/>
          <w:szCs w:val="24"/>
        </w:rPr>
        <w:t>SI 4: The marginal effect of part/alliance change</w:t>
      </w:r>
    </w:p>
    <w:p w:rsidR="005F7BCE" w:rsidRDefault="005F7BCE" w:rsidP="005F7BCE">
      <w:pPr>
        <w:spacing w:line="480" w:lineRule="auto"/>
        <w:jc w:val="both"/>
        <w:rPr>
          <w:rFonts w:ascii="Times New Roman" w:hAnsi="Times New Roman"/>
          <w:sz w:val="24"/>
          <w:szCs w:val="24"/>
        </w:rPr>
      </w:pPr>
      <w:r w:rsidRPr="00DB1ED1">
        <w:rPr>
          <w:rFonts w:ascii="Times New Roman" w:hAnsi="Times New Roman"/>
          <w:sz w:val="24"/>
          <w:szCs w:val="24"/>
        </w:rPr>
        <w:t xml:space="preserve">This section analyses the additional implications of the interactive relationship between party </w:t>
      </w:r>
      <w:r w:rsidRPr="00F02C49">
        <w:rPr>
          <w:rFonts w:ascii="Times New Roman" w:hAnsi="Times New Roman"/>
          <w:sz w:val="24"/>
          <w:szCs w:val="24"/>
        </w:rPr>
        <w:t xml:space="preserve">switching/alliance change and corruption allegations. </w:t>
      </w:r>
      <w:r>
        <w:rPr>
          <w:rFonts w:ascii="Times New Roman" w:hAnsi="Times New Roman"/>
          <w:sz w:val="24"/>
          <w:szCs w:val="24"/>
        </w:rPr>
        <w:t>Berry, Golder and Milton</w:t>
      </w:r>
      <w:r w:rsidRPr="00F27520">
        <w:rPr>
          <w:rFonts w:ascii="Times New Roman" w:hAnsi="Times New Roman"/>
          <w:sz w:val="24"/>
          <w:szCs w:val="24"/>
        </w:rPr>
        <w:t xml:space="preserve"> recommend that researchers test their expectations about the marginal effects of </w:t>
      </w:r>
      <w:r w:rsidRPr="00F27520">
        <w:rPr>
          <w:rFonts w:ascii="Times New Roman" w:hAnsi="Times New Roman"/>
          <w:i/>
          <w:sz w:val="24"/>
          <w:szCs w:val="24"/>
        </w:rPr>
        <w:t xml:space="preserve">all </w:t>
      </w:r>
      <w:r w:rsidRPr="00F27520">
        <w:rPr>
          <w:rFonts w:ascii="Times New Roman" w:hAnsi="Times New Roman"/>
          <w:sz w:val="24"/>
          <w:szCs w:val="24"/>
        </w:rPr>
        <w:t>variables associated with an interaction term.</w:t>
      </w:r>
      <w:r>
        <w:rPr>
          <w:rStyle w:val="FootnoteReference"/>
          <w:rFonts w:ascii="Times New Roman" w:hAnsi="Times New Roman"/>
          <w:sz w:val="24"/>
          <w:szCs w:val="24"/>
        </w:rPr>
        <w:footnoteReference w:id="4"/>
      </w:r>
      <w:r w:rsidRPr="00F27520">
        <w:rPr>
          <w:rFonts w:ascii="Times New Roman" w:hAnsi="Times New Roman"/>
          <w:sz w:val="24"/>
          <w:szCs w:val="24"/>
        </w:rPr>
        <w:t xml:space="preserve"> </w:t>
      </w:r>
      <w:r>
        <w:rPr>
          <w:rFonts w:ascii="Times New Roman" w:hAnsi="Times New Roman"/>
          <w:sz w:val="24"/>
          <w:szCs w:val="24"/>
        </w:rPr>
        <w:t>Here we follow their recommendations, present an additional hypothesis and test the marginal effect of a party/alliance change. Given the inherent symmetry of interaction effects, our theory about the interactive relationship between party/alliance change and corruption allegations implies that a</w:t>
      </w:r>
      <w:r w:rsidRPr="00F27520">
        <w:rPr>
          <w:rFonts w:ascii="Times New Roman" w:hAnsi="Times New Roman"/>
          <w:sz w:val="24"/>
          <w:szCs w:val="24"/>
        </w:rPr>
        <w:t xml:space="preserve"> party/alliance change always compromise</w:t>
      </w:r>
      <w:r>
        <w:rPr>
          <w:rFonts w:ascii="Times New Roman" w:hAnsi="Times New Roman"/>
          <w:sz w:val="24"/>
          <w:szCs w:val="24"/>
        </w:rPr>
        <w:t>s</w:t>
      </w:r>
      <w:r w:rsidRPr="00F27520">
        <w:rPr>
          <w:rFonts w:ascii="Times New Roman" w:hAnsi="Times New Roman"/>
          <w:sz w:val="24"/>
          <w:szCs w:val="24"/>
        </w:rPr>
        <w:t xml:space="preserve"> the ability of voters to hold their representatives accountable</w:t>
      </w:r>
      <w:r>
        <w:rPr>
          <w:rFonts w:ascii="Times New Roman" w:hAnsi="Times New Roman"/>
          <w:sz w:val="24"/>
          <w:szCs w:val="24"/>
        </w:rPr>
        <w:t>. Put differently, party/alliance change weakens the impact of a deputy's actions on their electoral performance, including the potentially negative effects of corruption</w:t>
      </w:r>
      <w:r w:rsidRPr="00F27520">
        <w:rPr>
          <w:rFonts w:ascii="Times New Roman" w:hAnsi="Times New Roman"/>
          <w:sz w:val="24"/>
          <w:szCs w:val="24"/>
        </w:rPr>
        <w:t>. This should be true for all levels of corruption.</w:t>
      </w:r>
      <w:r>
        <w:rPr>
          <w:rFonts w:ascii="Times New Roman" w:hAnsi="Times New Roman"/>
          <w:sz w:val="24"/>
          <w:szCs w:val="24"/>
        </w:rPr>
        <w:t xml:space="preserve"> This expectation can be summarized as follows:</w:t>
      </w:r>
    </w:p>
    <w:p w:rsidR="005F7BCE" w:rsidRDefault="005F7BCE" w:rsidP="005F7BCE">
      <w:pPr>
        <w:spacing w:line="480" w:lineRule="auto"/>
        <w:ind w:left="720"/>
        <w:jc w:val="both"/>
        <w:rPr>
          <w:rFonts w:ascii="Times New Roman" w:hAnsi="Times New Roman"/>
          <w:sz w:val="24"/>
          <w:szCs w:val="24"/>
        </w:rPr>
      </w:pPr>
      <w:r>
        <w:rPr>
          <w:rFonts w:ascii="Times New Roman" w:hAnsi="Times New Roman"/>
          <w:sz w:val="24"/>
          <w:szCs w:val="24"/>
        </w:rPr>
        <w:t>Hypothesis SI 4: The marginal effect of a party/alliance change is to reduce the impact of deputies' actions on their electoral performance. This effect should be evident across all levels of corruption allegations.</w:t>
      </w:r>
    </w:p>
    <w:p w:rsidR="005F7BCE" w:rsidRDefault="005F7BCE" w:rsidP="005F7BCE">
      <w:pPr>
        <w:spacing w:line="480" w:lineRule="auto"/>
        <w:jc w:val="both"/>
        <w:rPr>
          <w:rFonts w:ascii="Times New Roman" w:hAnsi="Times New Roman"/>
          <w:sz w:val="24"/>
          <w:szCs w:val="24"/>
        </w:rPr>
      </w:pPr>
      <w:r>
        <w:rPr>
          <w:rFonts w:ascii="Times New Roman" w:hAnsi="Times New Roman"/>
          <w:sz w:val="24"/>
          <w:szCs w:val="24"/>
        </w:rPr>
        <w:t xml:space="preserve">Figure </w:t>
      </w:r>
      <w:r w:rsidRPr="00F27520">
        <w:rPr>
          <w:rFonts w:ascii="Times New Roman" w:hAnsi="Times New Roman"/>
          <w:sz w:val="24"/>
          <w:szCs w:val="24"/>
        </w:rPr>
        <w:t xml:space="preserve">SI 4 </w:t>
      </w:r>
      <w:r>
        <w:rPr>
          <w:rFonts w:ascii="Times New Roman" w:hAnsi="Times New Roman"/>
          <w:sz w:val="24"/>
          <w:szCs w:val="24"/>
        </w:rPr>
        <w:t>enables us to assess this additional hypothesis by graphing the marginal effect of a party/alliance change on the change in the vote share of a deputy across the full range of values of corruption allegations in our data</w:t>
      </w:r>
      <w:r w:rsidRPr="00F27520">
        <w:rPr>
          <w:rFonts w:ascii="Times New Roman" w:hAnsi="Times New Roman"/>
          <w:sz w:val="24"/>
          <w:szCs w:val="24"/>
        </w:rPr>
        <w:t>.</w:t>
      </w:r>
      <w:r>
        <w:rPr>
          <w:rFonts w:ascii="Times New Roman" w:hAnsi="Times New Roman"/>
          <w:sz w:val="24"/>
          <w:szCs w:val="24"/>
        </w:rPr>
        <w:t xml:space="preserve"> The figure illustrates that party and alliance changes undermine effective accountability at all levels of corruption allegations. When deputies switch party or alliance, voter assessments of their performance become extremely variable and allegations about a deputy's corruption never have a statistically significant and negative effect on their electoral performance. </w:t>
      </w:r>
    </w:p>
    <w:p w:rsidR="005F7BCE" w:rsidRDefault="005F7BCE" w:rsidP="005F7BCE">
      <w:pPr>
        <w:spacing w:line="480" w:lineRule="auto"/>
        <w:jc w:val="both"/>
        <w:rPr>
          <w:rFonts w:ascii="Times New Roman" w:hAnsi="Times New Roman"/>
          <w:sz w:val="24"/>
          <w:szCs w:val="24"/>
        </w:rPr>
      </w:pPr>
      <w:r>
        <w:rPr>
          <w:rFonts w:ascii="Times New Roman" w:hAnsi="Times New Roman"/>
          <w:sz w:val="24"/>
          <w:szCs w:val="24"/>
        </w:rPr>
        <w:t>This result is consistent with the expectation outlined in Hypothesis SI 4 above and provides further evidence of the importance of party system institutionalization as a factor that conditions the effectiveness of electoral accountability. When aspects of low party system institutionalization such as party and alliance changes affect the relationship between voters and their deputies, electoral accountability is compromised.</w:t>
      </w:r>
    </w:p>
    <w:p w:rsidR="005F7BCE" w:rsidRDefault="005F7BCE" w:rsidP="005F7BCE">
      <w:pPr>
        <w:rPr>
          <w:rFonts w:ascii="Times New Roman" w:hAnsi="Times New Roman"/>
          <w:b/>
          <w:noProof/>
          <w:sz w:val="24"/>
          <w:szCs w:val="24"/>
        </w:rPr>
      </w:pPr>
    </w:p>
    <w:p w:rsidR="005F7BCE" w:rsidRPr="006F08CF" w:rsidRDefault="005F7BCE" w:rsidP="005F7BCE">
      <w:pPr>
        <w:rPr>
          <w:rFonts w:ascii="Times New Roman" w:hAnsi="Times New Roman"/>
          <w:b/>
          <w:noProof/>
          <w:sz w:val="24"/>
          <w:szCs w:val="24"/>
        </w:rPr>
      </w:pPr>
      <w:r w:rsidRPr="006F08CF">
        <w:rPr>
          <w:rFonts w:ascii="Times New Roman" w:hAnsi="Times New Roman"/>
          <w:b/>
          <w:noProof/>
          <w:sz w:val="24"/>
          <w:szCs w:val="24"/>
        </w:rPr>
        <w:t xml:space="preserve">Figure </w:t>
      </w:r>
      <w:r>
        <w:rPr>
          <w:rFonts w:ascii="Times New Roman" w:hAnsi="Times New Roman"/>
          <w:b/>
          <w:noProof/>
          <w:sz w:val="24"/>
          <w:szCs w:val="24"/>
        </w:rPr>
        <w:t>SI 4</w:t>
      </w:r>
      <w:r w:rsidRPr="006F08CF">
        <w:rPr>
          <w:rFonts w:ascii="Times New Roman" w:hAnsi="Times New Roman"/>
          <w:b/>
          <w:noProof/>
          <w:sz w:val="24"/>
          <w:szCs w:val="24"/>
        </w:rPr>
        <w:t xml:space="preserve">: Marginal Effect of </w:t>
      </w:r>
      <w:r>
        <w:rPr>
          <w:rFonts w:ascii="Times New Roman" w:hAnsi="Times New Roman"/>
          <w:b/>
          <w:noProof/>
          <w:sz w:val="24"/>
          <w:szCs w:val="24"/>
        </w:rPr>
        <w:t>Party/Alliance Change while varying C</w:t>
      </w:r>
      <w:r w:rsidRPr="006F08CF">
        <w:rPr>
          <w:rFonts w:ascii="Times New Roman" w:hAnsi="Times New Roman"/>
          <w:b/>
          <w:noProof/>
          <w:sz w:val="24"/>
          <w:szCs w:val="24"/>
        </w:rPr>
        <w:t xml:space="preserve">orruption Allegation </w:t>
      </w:r>
    </w:p>
    <w:p w:rsidR="005F7BCE" w:rsidRDefault="005F7BCE" w:rsidP="005F7BCE">
      <w:r>
        <w:rPr>
          <w:noProof/>
        </w:rPr>
        <w:drawing>
          <wp:inline distT="0" distB="0" distL="0" distR="0">
            <wp:extent cx="5120640" cy="3749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640" cy="3749040"/>
                    </a:xfrm>
                    <a:prstGeom prst="rect">
                      <a:avLst/>
                    </a:prstGeom>
                    <a:noFill/>
                    <a:ln>
                      <a:noFill/>
                    </a:ln>
                  </pic:spPr>
                </pic:pic>
              </a:graphicData>
            </a:graphic>
          </wp:inline>
        </w:drawing>
      </w:r>
    </w:p>
    <w:p w:rsidR="005F7BCE" w:rsidRPr="00917D3D" w:rsidRDefault="005F7BCE" w:rsidP="005F7BCE">
      <w:pPr>
        <w:rPr>
          <w:rFonts w:ascii="Times New Roman" w:hAnsi="Times New Roman"/>
          <w:sz w:val="24"/>
          <w:szCs w:val="24"/>
        </w:rPr>
      </w:pPr>
      <w:r w:rsidRPr="001627B9">
        <w:rPr>
          <w:rFonts w:ascii="Times New Roman" w:hAnsi="Times New Roman"/>
          <w:i/>
          <w:sz w:val="20"/>
          <w:szCs w:val="20"/>
        </w:rPr>
        <w:t xml:space="preserve">Note: </w:t>
      </w:r>
      <w:r w:rsidRPr="001627B9">
        <w:rPr>
          <w:rFonts w:ascii="Times New Roman" w:hAnsi="Times New Roman"/>
          <w:sz w:val="20"/>
          <w:szCs w:val="20"/>
        </w:rPr>
        <w:t>The figure shows the marginal effect of party/alliance change (with 95% confidence intervals) while varying corruption allegation</w:t>
      </w:r>
      <w:r w:rsidRPr="00917D3D">
        <w:rPr>
          <w:rFonts w:ascii="Times New Roman" w:hAnsi="Times New Roman"/>
          <w:sz w:val="24"/>
          <w:szCs w:val="24"/>
        </w:rPr>
        <w:t>.</w:t>
      </w:r>
    </w:p>
    <w:p w:rsidR="005F7BCE" w:rsidRDefault="005F7BCE" w:rsidP="005F7BCE">
      <w:pPr>
        <w:widowControl w:val="0"/>
        <w:autoSpaceDE w:val="0"/>
        <w:autoSpaceDN w:val="0"/>
        <w:adjustRightInd w:val="0"/>
        <w:spacing w:after="0" w:line="240" w:lineRule="auto"/>
        <w:ind w:left="720" w:hanging="720"/>
        <w:rPr>
          <w:rFonts w:ascii="Times New Roman" w:hAnsi="Times New Roman"/>
          <w:b/>
          <w:sz w:val="24"/>
          <w:szCs w:val="24"/>
        </w:rPr>
      </w:pPr>
    </w:p>
    <w:p w:rsidR="005F7BCE" w:rsidRPr="00681777" w:rsidRDefault="005F7BCE" w:rsidP="005F7BCE">
      <w:pPr>
        <w:widowControl w:val="0"/>
        <w:autoSpaceDE w:val="0"/>
        <w:autoSpaceDN w:val="0"/>
        <w:adjustRightInd w:val="0"/>
        <w:spacing w:after="0" w:line="240" w:lineRule="auto"/>
        <w:ind w:left="720" w:hanging="720"/>
        <w:rPr>
          <w:rFonts w:ascii="Times New Roman" w:hAnsi="Times New Roman"/>
          <w:b/>
          <w:sz w:val="24"/>
          <w:szCs w:val="24"/>
        </w:rPr>
      </w:pPr>
      <w:r w:rsidRPr="00681777">
        <w:rPr>
          <w:rFonts w:ascii="Times New Roman" w:hAnsi="Times New Roman"/>
          <w:b/>
          <w:sz w:val="24"/>
          <w:szCs w:val="24"/>
        </w:rPr>
        <w:t>References</w:t>
      </w:r>
    </w:p>
    <w:p w:rsidR="005F7BCE" w:rsidRDefault="005F7BCE" w:rsidP="005F7BCE">
      <w:pPr>
        <w:widowControl w:val="0"/>
        <w:autoSpaceDE w:val="0"/>
        <w:autoSpaceDN w:val="0"/>
        <w:adjustRightInd w:val="0"/>
        <w:spacing w:after="0" w:line="240" w:lineRule="auto"/>
        <w:ind w:left="720" w:hanging="720"/>
        <w:rPr>
          <w:rFonts w:ascii="Times New Roman" w:hAnsi="Times New Roman"/>
          <w:sz w:val="24"/>
          <w:szCs w:val="24"/>
        </w:rPr>
      </w:pPr>
    </w:p>
    <w:p w:rsidR="005F7BCE" w:rsidRDefault="005F7BCE" w:rsidP="005F7BCE">
      <w:pPr>
        <w:widowControl w:val="0"/>
        <w:autoSpaceDE w:val="0"/>
        <w:autoSpaceDN w:val="0"/>
        <w:adjustRightInd w:val="0"/>
        <w:spacing w:after="0" w:line="240" w:lineRule="auto"/>
        <w:rPr>
          <w:rFonts w:ascii="Times New Roman" w:hAnsi="Times New Roman"/>
          <w:sz w:val="24"/>
          <w:szCs w:val="24"/>
        </w:rPr>
      </w:pPr>
      <w:r w:rsidRPr="00541B95">
        <w:rPr>
          <w:rFonts w:ascii="Times New Roman" w:hAnsi="Times New Roman"/>
          <w:sz w:val="24"/>
          <w:szCs w:val="24"/>
        </w:rPr>
        <w:t>Berry, William D., Matt Golder, and Daniel Milton</w:t>
      </w:r>
      <w:r w:rsidRPr="00C86FC7">
        <w:rPr>
          <w:rFonts w:ascii="Times New Roman" w:hAnsi="Times New Roman"/>
          <w:sz w:val="24"/>
          <w:szCs w:val="24"/>
        </w:rPr>
        <w:t xml:space="preserve">. </w:t>
      </w:r>
      <w:r w:rsidRPr="0002477C">
        <w:rPr>
          <w:rFonts w:ascii="Times New Roman" w:hAnsi="Times New Roman"/>
          <w:sz w:val="24"/>
          <w:szCs w:val="24"/>
        </w:rPr>
        <w:t xml:space="preserve">2012. </w:t>
      </w:r>
      <w:r w:rsidRPr="003B3D90">
        <w:rPr>
          <w:rFonts w:ascii="Times New Roman" w:hAnsi="Times New Roman"/>
          <w:sz w:val="24"/>
          <w:szCs w:val="24"/>
        </w:rPr>
        <w:t>Improving tests of theories positing</w:t>
      </w:r>
      <w:r>
        <w:rPr>
          <w:rFonts w:ascii="Times New Roman" w:hAnsi="Times New Roman"/>
          <w:sz w:val="24"/>
          <w:szCs w:val="24"/>
        </w:rPr>
        <w:t xml:space="preserve"> </w:t>
      </w:r>
      <w:r w:rsidRPr="003B3D90">
        <w:rPr>
          <w:rFonts w:ascii="Times New Roman" w:hAnsi="Times New Roman"/>
          <w:sz w:val="24"/>
          <w:szCs w:val="24"/>
        </w:rPr>
        <w:t xml:space="preserve">interaction. </w:t>
      </w:r>
      <w:r w:rsidRPr="00541B95">
        <w:rPr>
          <w:rFonts w:ascii="Times New Roman" w:hAnsi="Times New Roman"/>
          <w:i/>
          <w:sz w:val="24"/>
          <w:szCs w:val="24"/>
        </w:rPr>
        <w:t>The Journal of Politics</w:t>
      </w:r>
      <w:r w:rsidRPr="003B3D90">
        <w:rPr>
          <w:rFonts w:ascii="Times New Roman" w:hAnsi="Times New Roman"/>
          <w:sz w:val="24"/>
          <w:szCs w:val="24"/>
        </w:rPr>
        <w:t xml:space="preserve"> 74</w:t>
      </w:r>
      <w:r>
        <w:rPr>
          <w:rFonts w:ascii="Times New Roman" w:hAnsi="Times New Roman"/>
          <w:sz w:val="24"/>
          <w:szCs w:val="24"/>
        </w:rPr>
        <w:t xml:space="preserve"> </w:t>
      </w:r>
      <w:r w:rsidRPr="003B3D90">
        <w:rPr>
          <w:rFonts w:ascii="Times New Roman" w:hAnsi="Times New Roman"/>
          <w:sz w:val="24"/>
          <w:szCs w:val="24"/>
        </w:rPr>
        <w:t>(</w:t>
      </w:r>
      <w:r>
        <w:rPr>
          <w:rFonts w:ascii="Times New Roman" w:hAnsi="Times New Roman"/>
          <w:sz w:val="24"/>
          <w:szCs w:val="24"/>
        </w:rPr>
        <w:t>3):</w:t>
      </w:r>
      <w:r w:rsidRPr="003B3D90">
        <w:rPr>
          <w:rFonts w:ascii="Times New Roman" w:hAnsi="Times New Roman"/>
          <w:sz w:val="24"/>
          <w:szCs w:val="24"/>
        </w:rPr>
        <w:t xml:space="preserve"> 653–671.</w:t>
      </w:r>
    </w:p>
    <w:p w:rsidR="005F7BCE" w:rsidRPr="000B7A56" w:rsidRDefault="005F7BCE" w:rsidP="005F7BCE">
      <w:pPr>
        <w:rPr>
          <w:rFonts w:ascii="Times New Roman" w:hAnsi="Times New Roman"/>
          <w:sz w:val="24"/>
          <w:szCs w:val="24"/>
        </w:rPr>
      </w:pPr>
    </w:p>
    <w:p w:rsidR="00600BB9" w:rsidRDefault="00F812AC"/>
    <w:sectPr w:rsidR="00600BB9" w:rsidSect="00330D9F">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AC" w:rsidRDefault="00F812AC" w:rsidP="005F7BCE">
      <w:pPr>
        <w:spacing w:after="0" w:line="240" w:lineRule="auto"/>
      </w:pPr>
      <w:r>
        <w:separator/>
      </w:r>
    </w:p>
  </w:endnote>
  <w:endnote w:type="continuationSeparator" w:id="0">
    <w:p w:rsidR="00F812AC" w:rsidRDefault="00F812AC" w:rsidP="005F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A5" w:rsidRDefault="00F812AC">
    <w:pPr>
      <w:pStyle w:val="Footer"/>
      <w:jc w:val="right"/>
    </w:pPr>
    <w:r w:rsidRPr="00EE485E">
      <w:fldChar w:fldCharType="begin"/>
    </w:r>
    <w:r>
      <w:instrText xml:space="preserve"> PAGE   \* </w:instrText>
    </w:r>
    <w:r>
      <w:instrText xml:space="preserve">MERGEFORMAT </w:instrText>
    </w:r>
    <w:r w:rsidRPr="00EE485E">
      <w:fldChar w:fldCharType="separate"/>
    </w:r>
    <w:r w:rsidRPr="00F812AC">
      <w:rPr>
        <w:rFonts w:ascii="Times New Roman" w:hAnsi="Times New Roman"/>
        <w:noProof/>
        <w:sz w:val="24"/>
        <w:szCs w:val="24"/>
      </w:rPr>
      <w:t>1</w:t>
    </w:r>
    <w:r>
      <w:rPr>
        <w:rFonts w:ascii="Times New Roman" w:hAnsi="Times New Roman"/>
        <w:noProof/>
        <w:sz w:val="24"/>
        <w:szCs w:val="24"/>
      </w:rPr>
      <w:fldChar w:fldCharType="end"/>
    </w:r>
  </w:p>
  <w:p w:rsidR="003619A5" w:rsidRDefault="00F8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AC" w:rsidRDefault="00F812AC" w:rsidP="005F7BCE">
      <w:pPr>
        <w:spacing w:after="0" w:line="240" w:lineRule="auto"/>
      </w:pPr>
      <w:r>
        <w:separator/>
      </w:r>
    </w:p>
  </w:footnote>
  <w:footnote w:type="continuationSeparator" w:id="0">
    <w:p w:rsidR="00F812AC" w:rsidRDefault="00F812AC" w:rsidP="005F7BCE">
      <w:pPr>
        <w:spacing w:after="0" w:line="240" w:lineRule="auto"/>
      </w:pPr>
      <w:r>
        <w:continuationSeparator/>
      </w:r>
    </w:p>
  </w:footnote>
  <w:footnote w:id="1">
    <w:p w:rsidR="005F7BCE" w:rsidRPr="006C7876" w:rsidRDefault="005F7BCE" w:rsidP="005F7BCE">
      <w:pPr>
        <w:pStyle w:val="FootnoteText"/>
        <w:spacing w:line="480" w:lineRule="auto"/>
        <w:jc w:val="both"/>
        <w:rPr>
          <w:rFonts w:ascii="Times New Roman" w:hAnsi="Times New Roman"/>
        </w:rPr>
      </w:pPr>
      <w:r w:rsidRPr="006C7876">
        <w:rPr>
          <w:rStyle w:val="FootnoteReference"/>
          <w:rFonts w:ascii="Times New Roman" w:hAnsi="Times New Roman"/>
        </w:rPr>
        <w:footnoteRef/>
      </w:r>
      <w:r w:rsidRPr="006C7876">
        <w:rPr>
          <w:rFonts w:ascii="Times New Roman" w:hAnsi="Times New Roman"/>
        </w:rPr>
        <w:t xml:space="preserve"> Mainwaring, Espana and Gervasoni 2009. We record electoral volatility over this extended period in order to capture at least two elections per country.</w:t>
      </w:r>
    </w:p>
  </w:footnote>
  <w:footnote w:id="2">
    <w:p w:rsidR="005F7BCE" w:rsidRPr="006C7876" w:rsidRDefault="005F7BCE" w:rsidP="005F7BCE">
      <w:pPr>
        <w:pStyle w:val="FootnoteText"/>
        <w:spacing w:line="480" w:lineRule="auto"/>
        <w:jc w:val="both"/>
        <w:rPr>
          <w:rFonts w:ascii="Times New Roman" w:hAnsi="Times New Roman"/>
          <w:lang w:val="en-US"/>
        </w:rPr>
      </w:pPr>
      <w:r w:rsidRPr="006C7876">
        <w:rPr>
          <w:rStyle w:val="FootnoteReference"/>
          <w:rFonts w:ascii="Times New Roman" w:hAnsi="Times New Roman"/>
        </w:rPr>
        <w:footnoteRef/>
      </w:r>
      <w:r w:rsidRPr="006C7876">
        <w:rPr>
          <w:rFonts w:ascii="Times New Roman" w:hAnsi="Times New Roman"/>
        </w:rPr>
        <w:t xml:space="preserve"> Mainwaring, Espana and Gervasoni 2009, 1.</w:t>
      </w:r>
    </w:p>
  </w:footnote>
  <w:footnote w:id="3">
    <w:p w:rsidR="005F7BCE" w:rsidRPr="006C7876" w:rsidRDefault="005F7BCE" w:rsidP="005F7BCE">
      <w:pPr>
        <w:pStyle w:val="FootnoteText"/>
        <w:spacing w:line="480" w:lineRule="auto"/>
        <w:jc w:val="both"/>
        <w:rPr>
          <w:rFonts w:ascii="Times New Roman" w:hAnsi="Times New Roman"/>
          <w:lang w:val="en-US"/>
        </w:rPr>
      </w:pPr>
      <w:r w:rsidRPr="006C7876">
        <w:rPr>
          <w:rStyle w:val="FootnoteReference"/>
          <w:rFonts w:ascii="Times New Roman" w:hAnsi="Times New Roman"/>
        </w:rPr>
        <w:footnoteRef/>
      </w:r>
      <w:r w:rsidRPr="006C7876">
        <w:rPr>
          <w:rFonts w:ascii="Times New Roman" w:hAnsi="Times New Roman"/>
        </w:rPr>
        <w:t xml:space="preserve"> Clarke and Stone 2008.</w:t>
      </w:r>
    </w:p>
  </w:footnote>
  <w:footnote w:id="4">
    <w:p w:rsidR="005F7BCE" w:rsidRPr="006C7876" w:rsidRDefault="005F7BCE" w:rsidP="005F7BCE">
      <w:pPr>
        <w:pStyle w:val="FootnoteText"/>
        <w:spacing w:line="480" w:lineRule="auto"/>
        <w:rPr>
          <w:lang w:val="en-US"/>
        </w:rPr>
      </w:pPr>
      <w:r w:rsidRPr="006C7876">
        <w:rPr>
          <w:rStyle w:val="FootnoteReference"/>
        </w:rPr>
        <w:footnoteRef/>
      </w:r>
      <w:r w:rsidRPr="006C7876">
        <w:t xml:space="preserve"> </w:t>
      </w:r>
      <w:r w:rsidRPr="006C7876">
        <w:rPr>
          <w:rFonts w:ascii="Times New Roman" w:hAnsi="Times New Roman"/>
        </w:rPr>
        <w:t>Berry, Golder and Milton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visionView w:inkAnnotation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CE"/>
    <w:rsid w:val="00281BB2"/>
    <w:rsid w:val="005F7BCE"/>
    <w:rsid w:val="00EA4519"/>
    <w:rsid w:val="00F8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CE"/>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CE"/>
    <w:rPr>
      <w:rFonts w:ascii="Calibri" w:eastAsia="Times New Roman" w:hAnsi="Calibri" w:cs="Times New Roman"/>
      <w:lang w:eastAsia="en-GB"/>
    </w:rPr>
  </w:style>
  <w:style w:type="paragraph" w:styleId="FootnoteText">
    <w:name w:val="footnote text"/>
    <w:basedOn w:val="Normal"/>
    <w:link w:val="FootnoteTextChar"/>
    <w:uiPriority w:val="99"/>
    <w:unhideWhenUsed/>
    <w:rsid w:val="005F7BCE"/>
    <w:pPr>
      <w:spacing w:after="0" w:line="240" w:lineRule="auto"/>
    </w:pPr>
    <w:rPr>
      <w:sz w:val="20"/>
      <w:szCs w:val="20"/>
    </w:rPr>
  </w:style>
  <w:style w:type="character" w:customStyle="1" w:styleId="FootnoteTextChar">
    <w:name w:val="Footnote Text Char"/>
    <w:basedOn w:val="DefaultParagraphFont"/>
    <w:link w:val="FootnoteText"/>
    <w:uiPriority w:val="99"/>
    <w:rsid w:val="005F7BCE"/>
    <w:rPr>
      <w:rFonts w:ascii="Calibri" w:eastAsia="Times New Roman" w:hAnsi="Calibri" w:cs="Times New Roman"/>
      <w:sz w:val="20"/>
      <w:szCs w:val="20"/>
      <w:lang w:eastAsia="en-GB"/>
    </w:rPr>
  </w:style>
  <w:style w:type="character" w:styleId="FootnoteReference">
    <w:name w:val="footnote reference"/>
    <w:uiPriority w:val="99"/>
    <w:unhideWhenUsed/>
    <w:rsid w:val="005F7BCE"/>
    <w:rPr>
      <w:vertAlign w:val="superscript"/>
    </w:rPr>
  </w:style>
  <w:style w:type="character" w:styleId="Emphasis">
    <w:name w:val="Emphasis"/>
    <w:uiPriority w:val="20"/>
    <w:qFormat/>
    <w:rsid w:val="005F7BCE"/>
    <w:rPr>
      <w:i/>
      <w:iCs/>
    </w:rPr>
  </w:style>
  <w:style w:type="character" w:customStyle="1" w:styleId="st">
    <w:name w:val="st"/>
    <w:basedOn w:val="DefaultParagraphFont"/>
    <w:rsid w:val="005F7BCE"/>
  </w:style>
  <w:style w:type="paragraph" w:styleId="BalloonText">
    <w:name w:val="Balloon Text"/>
    <w:basedOn w:val="Normal"/>
    <w:link w:val="BalloonTextChar"/>
    <w:uiPriority w:val="99"/>
    <w:semiHidden/>
    <w:unhideWhenUsed/>
    <w:rsid w:val="005F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C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CE"/>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CE"/>
    <w:rPr>
      <w:rFonts w:ascii="Calibri" w:eastAsia="Times New Roman" w:hAnsi="Calibri" w:cs="Times New Roman"/>
      <w:lang w:eastAsia="en-GB"/>
    </w:rPr>
  </w:style>
  <w:style w:type="paragraph" w:styleId="FootnoteText">
    <w:name w:val="footnote text"/>
    <w:basedOn w:val="Normal"/>
    <w:link w:val="FootnoteTextChar"/>
    <w:uiPriority w:val="99"/>
    <w:unhideWhenUsed/>
    <w:rsid w:val="005F7BCE"/>
    <w:pPr>
      <w:spacing w:after="0" w:line="240" w:lineRule="auto"/>
    </w:pPr>
    <w:rPr>
      <w:sz w:val="20"/>
      <w:szCs w:val="20"/>
    </w:rPr>
  </w:style>
  <w:style w:type="character" w:customStyle="1" w:styleId="FootnoteTextChar">
    <w:name w:val="Footnote Text Char"/>
    <w:basedOn w:val="DefaultParagraphFont"/>
    <w:link w:val="FootnoteText"/>
    <w:uiPriority w:val="99"/>
    <w:rsid w:val="005F7BCE"/>
    <w:rPr>
      <w:rFonts w:ascii="Calibri" w:eastAsia="Times New Roman" w:hAnsi="Calibri" w:cs="Times New Roman"/>
      <w:sz w:val="20"/>
      <w:szCs w:val="20"/>
      <w:lang w:eastAsia="en-GB"/>
    </w:rPr>
  </w:style>
  <w:style w:type="character" w:styleId="FootnoteReference">
    <w:name w:val="footnote reference"/>
    <w:uiPriority w:val="99"/>
    <w:unhideWhenUsed/>
    <w:rsid w:val="005F7BCE"/>
    <w:rPr>
      <w:vertAlign w:val="superscript"/>
    </w:rPr>
  </w:style>
  <w:style w:type="character" w:styleId="Emphasis">
    <w:name w:val="Emphasis"/>
    <w:uiPriority w:val="20"/>
    <w:qFormat/>
    <w:rsid w:val="005F7BCE"/>
    <w:rPr>
      <w:i/>
      <w:iCs/>
    </w:rPr>
  </w:style>
  <w:style w:type="character" w:customStyle="1" w:styleId="st">
    <w:name w:val="st"/>
    <w:basedOn w:val="DefaultParagraphFont"/>
    <w:rsid w:val="005F7BCE"/>
  </w:style>
  <w:style w:type="paragraph" w:styleId="BalloonText">
    <w:name w:val="Balloon Text"/>
    <w:basedOn w:val="Normal"/>
    <w:link w:val="BalloonTextChar"/>
    <w:uiPriority w:val="99"/>
    <w:semiHidden/>
    <w:unhideWhenUsed/>
    <w:rsid w:val="005F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C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2015-11-19T14:53:00Z</dcterms:created>
  <dcterms:modified xsi:type="dcterms:W3CDTF">2015-11-19T14:54:00Z</dcterms:modified>
</cp:coreProperties>
</file>