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051" w:rsidRPr="00BD3051" w:rsidRDefault="00BD3051" w:rsidP="00BD3051">
      <w:pPr>
        <w:spacing w:after="280"/>
        <w:ind w:firstLine="0"/>
        <w:rPr>
          <w:rFonts w:cs="URWPalladioL-Roma"/>
          <w:b/>
          <w:sz w:val="28"/>
          <w:szCs w:val="24"/>
        </w:rPr>
      </w:pPr>
      <w:bookmarkStart w:id="0" w:name="_GoBack"/>
      <w:bookmarkEnd w:id="0"/>
      <w:r w:rsidRPr="00BD3051">
        <w:rPr>
          <w:rFonts w:cs="URWPalladioL-Roma"/>
          <w:b/>
          <w:sz w:val="28"/>
          <w:szCs w:val="24"/>
        </w:rPr>
        <w:t>Appendix</w:t>
      </w:r>
      <w:r>
        <w:rPr>
          <w:rFonts w:cs="URWPalladioL-Roma"/>
          <w:b/>
          <w:sz w:val="28"/>
          <w:szCs w:val="24"/>
        </w:rPr>
        <w:t xml:space="preserve"> for Juking the Stats</w:t>
      </w:r>
    </w:p>
    <w:p w:rsidR="00BD3051" w:rsidRPr="00BD3051" w:rsidRDefault="00BD3051" w:rsidP="00BD3051">
      <w:pPr>
        <w:spacing w:after="0"/>
        <w:ind w:firstLine="0"/>
        <w:rPr>
          <w:rFonts w:cs="URW Palladio L"/>
          <w:color w:val="000000"/>
          <w:szCs w:val="23"/>
        </w:rPr>
      </w:pPr>
      <w:r w:rsidRPr="00BD3051">
        <w:rPr>
          <w:rFonts w:cs="URW Palladio L"/>
          <w:color w:val="000000"/>
          <w:szCs w:val="23"/>
        </w:rPr>
        <w:t>Contents</w:t>
      </w:r>
    </w:p>
    <w:p w:rsidR="00BD3051" w:rsidRPr="00BD3051" w:rsidRDefault="00BD3051" w:rsidP="00BD3051">
      <w:pPr>
        <w:spacing w:after="0"/>
        <w:ind w:firstLine="0"/>
        <w:rPr>
          <w:rFonts w:cs="URW Palladio L"/>
          <w:color w:val="000000"/>
          <w:szCs w:val="23"/>
        </w:rPr>
      </w:pPr>
    </w:p>
    <w:p w:rsidR="00BD3051" w:rsidRPr="00BD3051" w:rsidRDefault="00BD3051" w:rsidP="00BD3051">
      <w:pPr>
        <w:spacing w:after="0"/>
        <w:ind w:firstLine="0"/>
        <w:rPr>
          <w:rFonts w:cs="URW Palladio L"/>
          <w:color w:val="000000"/>
          <w:szCs w:val="23"/>
        </w:rPr>
      </w:pPr>
      <w:proofErr w:type="gramStart"/>
      <w:r w:rsidRPr="00BD3051">
        <w:rPr>
          <w:rFonts w:cs="URW Palladio L"/>
          <w:color w:val="000000"/>
          <w:szCs w:val="23"/>
        </w:rPr>
        <w:t>Notes on variables, estimation techniques, etc.</w:t>
      </w:r>
      <w:proofErr w:type="gramEnd"/>
      <w:r w:rsidRPr="00BD3051">
        <w:rPr>
          <w:rFonts w:cs="URW Palladio L"/>
          <w:color w:val="000000"/>
          <w:szCs w:val="23"/>
        </w:rPr>
        <w:t xml:space="preserve"> </w:t>
      </w:r>
    </w:p>
    <w:p w:rsidR="00BD3051" w:rsidRPr="00BD3051" w:rsidRDefault="00BD3051" w:rsidP="00BD3051">
      <w:pPr>
        <w:spacing w:after="0"/>
        <w:ind w:firstLine="0"/>
        <w:rPr>
          <w:rFonts w:cs="URW Palladio L"/>
          <w:color w:val="000000"/>
          <w:szCs w:val="24"/>
        </w:rPr>
      </w:pPr>
      <w:r w:rsidRPr="00BD3051">
        <w:rPr>
          <w:rFonts w:cs="URW Palladio L"/>
          <w:color w:val="000000"/>
          <w:szCs w:val="24"/>
        </w:rPr>
        <w:t xml:space="preserve">Appendix Table 1: Dictatorships Cross-Nationally Report Higher GDP per capita </w:t>
      </w:r>
    </w:p>
    <w:p w:rsidR="00BD3051" w:rsidRPr="00BD3051" w:rsidRDefault="00BD3051" w:rsidP="00BD3051">
      <w:pPr>
        <w:spacing w:after="0"/>
        <w:ind w:firstLine="0"/>
        <w:rPr>
          <w:rFonts w:cs="URW Palladio L"/>
          <w:color w:val="000000"/>
          <w:szCs w:val="24"/>
        </w:rPr>
      </w:pPr>
      <w:proofErr w:type="gramStart"/>
      <w:r w:rsidRPr="00BD3051">
        <w:rPr>
          <w:rFonts w:cs="URW Palladio L"/>
          <w:color w:val="000000"/>
          <w:szCs w:val="23"/>
        </w:rPr>
        <w:t>Appendix Table 2.</w:t>
      </w:r>
      <w:proofErr w:type="gramEnd"/>
      <w:r w:rsidRPr="00BD3051">
        <w:rPr>
          <w:rFonts w:cs="URW Palladio L"/>
          <w:color w:val="000000"/>
          <w:szCs w:val="23"/>
        </w:rPr>
        <w:t xml:space="preserve"> Annual Data Summary Statistics</w:t>
      </w:r>
    </w:p>
    <w:p w:rsidR="00BD3051" w:rsidRPr="00BD3051" w:rsidRDefault="00BD3051" w:rsidP="00BD3051">
      <w:pPr>
        <w:spacing w:after="0"/>
        <w:ind w:firstLine="0"/>
        <w:rPr>
          <w:rFonts w:cs="URW Palladio L"/>
          <w:color w:val="000000"/>
          <w:szCs w:val="24"/>
        </w:rPr>
      </w:pPr>
      <w:proofErr w:type="gramStart"/>
      <w:r w:rsidRPr="00BD3051">
        <w:rPr>
          <w:rFonts w:cs="URW Palladio L"/>
          <w:color w:val="000000"/>
          <w:szCs w:val="23"/>
        </w:rPr>
        <w:t>Appendix Table 3.</w:t>
      </w:r>
      <w:proofErr w:type="gramEnd"/>
      <w:r w:rsidRPr="00BD3051">
        <w:rPr>
          <w:rFonts w:cs="URW Palladio L"/>
          <w:color w:val="000000"/>
          <w:szCs w:val="23"/>
        </w:rPr>
        <w:t xml:space="preserve"> Quarterly Data Summary Statistics</w:t>
      </w:r>
    </w:p>
    <w:p w:rsidR="00BD3051" w:rsidRPr="00BD3051" w:rsidRDefault="00BD3051" w:rsidP="00BD3051">
      <w:pPr>
        <w:spacing w:after="0"/>
        <w:ind w:firstLine="0"/>
        <w:rPr>
          <w:szCs w:val="24"/>
        </w:rPr>
      </w:pPr>
      <w:proofErr w:type="gramStart"/>
      <w:r w:rsidRPr="00BD3051">
        <w:rPr>
          <w:szCs w:val="24"/>
        </w:rPr>
        <w:t>Appendix Table 4.</w:t>
      </w:r>
      <w:proofErr w:type="gramEnd"/>
      <w:r w:rsidRPr="00BD3051">
        <w:rPr>
          <w:szCs w:val="24"/>
        </w:rPr>
        <w:t xml:space="preserve"> Robustness Checks on Turnover, Annual Data</w:t>
      </w:r>
    </w:p>
    <w:p w:rsidR="00BD3051" w:rsidRPr="00BD3051" w:rsidRDefault="00BD3051" w:rsidP="00BD3051">
      <w:pPr>
        <w:spacing w:after="0"/>
        <w:ind w:firstLine="0"/>
        <w:rPr>
          <w:szCs w:val="24"/>
        </w:rPr>
      </w:pPr>
      <w:proofErr w:type="gramStart"/>
      <w:r w:rsidRPr="00BD3051">
        <w:rPr>
          <w:szCs w:val="24"/>
        </w:rPr>
        <w:t>Appendix Table 5.</w:t>
      </w:r>
      <w:proofErr w:type="gramEnd"/>
      <w:r w:rsidRPr="00BD3051">
        <w:rPr>
          <w:szCs w:val="24"/>
        </w:rPr>
        <w:t xml:space="preserve"> Turnover and Lagged Turnover Patterns in Growth Differences</w:t>
      </w:r>
    </w:p>
    <w:p w:rsidR="00BD3051" w:rsidRPr="00BD3051" w:rsidRDefault="00BD3051" w:rsidP="00BD3051">
      <w:pPr>
        <w:spacing w:after="0"/>
        <w:ind w:firstLine="0"/>
        <w:rPr>
          <w:szCs w:val="24"/>
        </w:rPr>
      </w:pPr>
      <w:proofErr w:type="gramStart"/>
      <w:r w:rsidRPr="00BD3051">
        <w:rPr>
          <w:szCs w:val="24"/>
        </w:rPr>
        <w:t>Appendix Table 6.</w:t>
      </w:r>
      <w:proofErr w:type="gramEnd"/>
      <w:r w:rsidRPr="00BD3051">
        <w:rPr>
          <w:szCs w:val="24"/>
        </w:rPr>
        <w:t xml:space="preserve"> Results Robust to Separating Types of Turnovers</w:t>
      </w:r>
    </w:p>
    <w:p w:rsidR="00BD3051" w:rsidRPr="00BD3051" w:rsidRDefault="00BD3051" w:rsidP="00BD3051">
      <w:pPr>
        <w:spacing w:after="0"/>
        <w:ind w:firstLine="0"/>
        <w:rPr>
          <w:szCs w:val="24"/>
        </w:rPr>
      </w:pPr>
      <w:proofErr w:type="gramStart"/>
      <w:r w:rsidRPr="00BD3051">
        <w:rPr>
          <w:szCs w:val="24"/>
        </w:rPr>
        <w:t>Appendix Table 7.</w:t>
      </w:r>
      <w:proofErr w:type="gramEnd"/>
      <w:r w:rsidRPr="00BD3051">
        <w:rPr>
          <w:szCs w:val="24"/>
        </w:rPr>
        <w:t xml:space="preserve"> Results Robust to Dropping Officials Aged 65+</w:t>
      </w:r>
    </w:p>
    <w:p w:rsidR="00BD3051" w:rsidRPr="00BD3051" w:rsidRDefault="00BD3051" w:rsidP="00BD3051">
      <w:pPr>
        <w:spacing w:after="0"/>
        <w:ind w:firstLine="0"/>
        <w:rPr>
          <w:szCs w:val="24"/>
        </w:rPr>
      </w:pPr>
      <w:proofErr w:type="gramStart"/>
      <w:r w:rsidRPr="00BD3051">
        <w:rPr>
          <w:szCs w:val="24"/>
        </w:rPr>
        <w:t>Appendix Table 8.</w:t>
      </w:r>
      <w:proofErr w:type="gramEnd"/>
      <w:r w:rsidRPr="00BD3051">
        <w:rPr>
          <w:szCs w:val="24"/>
        </w:rPr>
        <w:t xml:space="preserve"> Results Robust to Including Age</w:t>
      </w:r>
    </w:p>
    <w:p w:rsidR="00BD3051" w:rsidRPr="00BD3051" w:rsidRDefault="00BD3051" w:rsidP="00BD3051">
      <w:pPr>
        <w:spacing w:after="0"/>
        <w:ind w:firstLine="0"/>
        <w:rPr>
          <w:szCs w:val="24"/>
        </w:rPr>
      </w:pPr>
      <w:proofErr w:type="gramStart"/>
      <w:r w:rsidRPr="00BD3051">
        <w:rPr>
          <w:szCs w:val="24"/>
        </w:rPr>
        <w:t>Appendix Figure 1.</w:t>
      </w:r>
      <w:proofErr w:type="gramEnd"/>
      <w:r w:rsidRPr="00BD3051">
        <w:rPr>
          <w:szCs w:val="24"/>
        </w:rPr>
        <w:t xml:space="preserve"> Continuity in Chinese Electricity Production &amp; Gross Output Data</w:t>
      </w:r>
    </w:p>
    <w:p w:rsidR="00BD3051" w:rsidRPr="00BD3051" w:rsidRDefault="00BD3051" w:rsidP="00BD3051">
      <w:pPr>
        <w:spacing w:after="0"/>
        <w:ind w:firstLine="0"/>
        <w:rPr>
          <w:szCs w:val="24"/>
        </w:rPr>
      </w:pPr>
      <w:proofErr w:type="gramStart"/>
      <w:r w:rsidRPr="00BD3051">
        <w:rPr>
          <w:szCs w:val="24"/>
        </w:rPr>
        <w:t>Appendix Figure 2.</w:t>
      </w:r>
      <w:proofErr w:type="gramEnd"/>
      <w:r w:rsidRPr="00BD3051">
        <w:rPr>
          <w:szCs w:val="24"/>
        </w:rPr>
        <w:t xml:space="preserve"> Exports Drop Precipitously in the Second Half of 2008</w:t>
      </w:r>
    </w:p>
    <w:p w:rsidR="00BD3051" w:rsidRPr="00BD3051" w:rsidRDefault="00BD3051" w:rsidP="00BD3051">
      <w:pPr>
        <w:spacing w:after="0"/>
        <w:ind w:firstLine="0"/>
        <w:rPr>
          <w:szCs w:val="24"/>
        </w:rPr>
      </w:pPr>
      <w:proofErr w:type="gramStart"/>
      <w:r w:rsidRPr="00BD3051">
        <w:rPr>
          <w:szCs w:val="24"/>
        </w:rPr>
        <w:t>Appendix Figure 3.</w:t>
      </w:r>
      <w:proofErr w:type="gramEnd"/>
      <w:r w:rsidRPr="00BD3051">
        <w:rPr>
          <w:szCs w:val="24"/>
        </w:rPr>
        <w:t xml:space="preserve"> Rail Freight Traffic Also Declines in 2008 </w:t>
      </w:r>
      <w:r w:rsidRPr="00BD3051">
        <w:rPr>
          <w:i/>
          <w:szCs w:val="24"/>
        </w:rPr>
        <w:t>Q</w:t>
      </w:r>
      <w:r w:rsidRPr="00BD3051">
        <w:rPr>
          <w:szCs w:val="24"/>
        </w:rPr>
        <w:t>4</w:t>
      </w:r>
    </w:p>
    <w:p w:rsidR="00BD3051" w:rsidRPr="00BD3051" w:rsidRDefault="00BD3051" w:rsidP="00BD3051">
      <w:pPr>
        <w:spacing w:after="0"/>
        <w:ind w:firstLine="0"/>
        <w:rPr>
          <w:szCs w:val="24"/>
        </w:rPr>
      </w:pPr>
      <w:proofErr w:type="gramStart"/>
      <w:r w:rsidRPr="00BD3051">
        <w:rPr>
          <w:rFonts w:cs="URW Palladio L"/>
          <w:color w:val="000000"/>
          <w:szCs w:val="23"/>
        </w:rPr>
        <w:t>Appendix Figure 4.</w:t>
      </w:r>
      <w:proofErr w:type="gramEnd"/>
      <w:r w:rsidRPr="00BD3051">
        <w:rPr>
          <w:rFonts w:cs="URW Palladio L"/>
          <w:color w:val="000000"/>
          <w:szCs w:val="23"/>
        </w:rPr>
        <w:t xml:space="preserve"> Provincial GDP – Electricity Production Growth Differential</w:t>
      </w:r>
    </w:p>
    <w:p w:rsidR="00BD3051" w:rsidRPr="00BD3051" w:rsidRDefault="00BD3051" w:rsidP="00BD3051">
      <w:pPr>
        <w:spacing w:after="0"/>
        <w:ind w:firstLine="0"/>
        <w:rPr>
          <w:rFonts w:cs="URW Palladio L"/>
          <w:color w:val="000000"/>
          <w:szCs w:val="23"/>
        </w:rPr>
      </w:pPr>
      <w:r w:rsidRPr="00BD3051">
        <w:rPr>
          <w:rFonts w:cs="URW Palladio L"/>
          <w:color w:val="000000"/>
          <w:szCs w:val="23"/>
        </w:rPr>
        <w:t>Appendix Figure 5: Map of Provincial Electricity Importers and Exporters</w:t>
      </w:r>
    </w:p>
    <w:p w:rsidR="00BD3051" w:rsidRPr="00BD3051" w:rsidRDefault="00BD3051" w:rsidP="00BD3051">
      <w:pPr>
        <w:spacing w:after="0"/>
        <w:ind w:firstLine="0"/>
        <w:rPr>
          <w:rFonts w:cs="URW Palladio L"/>
          <w:color w:val="000000"/>
          <w:szCs w:val="24"/>
        </w:rPr>
      </w:pPr>
      <w:proofErr w:type="gramStart"/>
      <w:r w:rsidRPr="00BD3051">
        <w:rPr>
          <w:rFonts w:cs="URW Palladio L"/>
          <w:color w:val="000000"/>
          <w:szCs w:val="23"/>
        </w:rPr>
        <w:t>Appendix Figure 6.</w:t>
      </w:r>
      <w:proofErr w:type="gramEnd"/>
      <w:r w:rsidRPr="00BD3051">
        <w:rPr>
          <w:rFonts w:cs="URW Palladio L"/>
          <w:color w:val="000000"/>
          <w:szCs w:val="23"/>
        </w:rPr>
        <w:t xml:space="preserve"> Map of Inter-Provincial Electricity Infrastructure</w:t>
      </w:r>
    </w:p>
    <w:p w:rsidR="00BD3051" w:rsidRPr="00BD3051" w:rsidRDefault="00BD3051" w:rsidP="00BD3051">
      <w:pPr>
        <w:spacing w:after="0"/>
        <w:rPr>
          <w:rFonts w:cs="URW Palladio L"/>
          <w:color w:val="000000"/>
          <w:szCs w:val="23"/>
        </w:rPr>
      </w:pPr>
    </w:p>
    <w:p w:rsidR="00BD3051" w:rsidRPr="00BD3051" w:rsidRDefault="00BD3051" w:rsidP="00BD3051">
      <w:pPr>
        <w:ind w:firstLine="0"/>
        <w:rPr>
          <w:rFonts w:cs="URW Palladio L"/>
          <w:color w:val="000000"/>
          <w:szCs w:val="23"/>
        </w:rPr>
      </w:pPr>
      <w:r w:rsidRPr="00BD3051">
        <w:rPr>
          <w:rFonts w:cs="URW Palladio L"/>
          <w:color w:val="000000"/>
          <w:szCs w:val="23"/>
        </w:rPr>
        <w:t>On the Chinese national-level GDP growth series:</w:t>
      </w:r>
    </w:p>
    <w:p w:rsidR="00BD3051" w:rsidRPr="00BD3051" w:rsidRDefault="00BD3051" w:rsidP="00BD3051">
      <w:pPr>
        <w:rPr>
          <w:rFonts w:cs="URW Palladio L"/>
          <w:color w:val="000000"/>
          <w:szCs w:val="23"/>
        </w:rPr>
      </w:pPr>
      <w:r w:rsidRPr="00BD3051">
        <w:rPr>
          <w:rFonts w:cs="URW Palladio L"/>
          <w:color w:val="000000"/>
          <w:szCs w:val="23"/>
        </w:rPr>
        <w:t>The GDP series is quarterly data representing year-on-year growth rates for that quarter. Where we have official statements about the growth rate, that is 2008 and 2009, we use those. For other years, the quarterly growth rate is estimated by adjusting the released data as follows: taking the released data - which is accumulated (1Q with 1Q, 1-6 months with 1-6 months, 1-9 with 1-9, and 1-12 with 1-12) and separating out the growth rate from that quarter based on an average quarterly GDP share for each quarter (.204, .232, .246, and .318, for the four quarters respectively).</w:t>
      </w:r>
      <w:r w:rsidRPr="00BD3051">
        <w:rPr>
          <w:rFonts w:cs="URW Palladio L"/>
          <w:color w:val="000000"/>
          <w:szCs w:val="23"/>
          <w:vertAlign w:val="superscript"/>
        </w:rPr>
        <w:footnoteReference w:id="1"/>
      </w:r>
    </w:p>
    <w:p w:rsidR="00BD3051" w:rsidRPr="00BD3051" w:rsidRDefault="00BD3051" w:rsidP="00BD3051">
      <w:pPr>
        <w:ind w:firstLine="0"/>
        <w:rPr>
          <w:rFonts w:cs="URW Palladio L"/>
          <w:color w:val="000000"/>
          <w:szCs w:val="23"/>
        </w:rPr>
      </w:pPr>
      <w:r w:rsidRPr="00BD3051">
        <w:rPr>
          <w:rFonts w:cs="URW Palladio L"/>
          <w:color w:val="000000"/>
          <w:szCs w:val="23"/>
        </w:rPr>
        <w:t>On provincial-level units:</w:t>
      </w:r>
    </w:p>
    <w:p w:rsidR="00BD3051" w:rsidRPr="00BD3051" w:rsidRDefault="00BD3051" w:rsidP="00BD3051">
      <w:pPr>
        <w:rPr>
          <w:rFonts w:cs="URW Palladio L"/>
          <w:color w:val="000000"/>
          <w:szCs w:val="23"/>
        </w:rPr>
      </w:pPr>
      <w:r w:rsidRPr="00BD3051">
        <w:rPr>
          <w:rFonts w:cs="URW Palladio L"/>
          <w:color w:val="000000"/>
          <w:szCs w:val="23"/>
        </w:rPr>
        <w:t>The term “provincial-level units” is used here rather than provinces due to China’s different kinds of these units, namely 22 provinces, 4 municipalities (i.e. the cities of Beijing, Tianjin, and Shanghai plus Chongqing and a large area surrounding that city), and 5 minority-dominated Autonomous Regions. Officially, China has 34 provincial-level units, the 31 described and analyzed here plus Hong Kong and Macao Special Administrative Regions and Taiwan.</w:t>
      </w:r>
    </w:p>
    <w:p w:rsidR="00BD3051" w:rsidRPr="00BD3051" w:rsidRDefault="00BD3051" w:rsidP="00BD3051">
      <w:pPr>
        <w:ind w:firstLine="0"/>
        <w:rPr>
          <w:rFonts w:cs="URW Palladio L"/>
          <w:color w:val="000000"/>
          <w:szCs w:val="23"/>
        </w:rPr>
      </w:pPr>
      <w:r w:rsidRPr="00BD3051">
        <w:rPr>
          <w:rFonts w:cs="URW Palladio L"/>
          <w:color w:val="000000"/>
          <w:szCs w:val="23"/>
        </w:rPr>
        <w:lastRenderedPageBreak/>
        <w:t>On the quarterly data analysis:</w:t>
      </w:r>
    </w:p>
    <w:p w:rsidR="00BD3051" w:rsidRPr="00BD3051" w:rsidRDefault="00BD3051" w:rsidP="00BD3051">
      <w:pPr>
        <w:rPr>
          <w:rFonts w:cs="URW Palladio L"/>
          <w:color w:val="000000"/>
          <w:szCs w:val="23"/>
        </w:rPr>
      </w:pPr>
      <w:r w:rsidRPr="00BD3051">
        <w:rPr>
          <w:rFonts w:cs="URW Palladio L"/>
          <w:color w:val="000000"/>
          <w:szCs w:val="23"/>
        </w:rPr>
        <w:t xml:space="preserve">For the quarterly analysis, the ultimate dependent variable is the difference between a reported GDP growth series estimate and an electricity growth figure. The creation of this variable, however, is more complicated than the annual data series for two reasons: data availability and the nature of the data that are available. Estimates of electricity </w:t>
      </w:r>
      <w:r w:rsidRPr="00BD3051">
        <w:rPr>
          <w:rFonts w:cs="URW Palladio L"/>
          <w:i/>
          <w:iCs/>
          <w:color w:val="000000"/>
          <w:szCs w:val="23"/>
        </w:rPr>
        <w:t>production</w:t>
      </w:r>
      <w:r w:rsidRPr="00BD3051">
        <w:rPr>
          <w:rFonts w:cs="URW Palladio L"/>
          <w:color w:val="000000"/>
          <w:szCs w:val="23"/>
        </w:rPr>
        <w:t>—not consumption—levels and growth by province are available on a monthly basis.</w:t>
      </w:r>
      <w:r w:rsidRPr="00BD3051">
        <w:rPr>
          <w:rFonts w:cs="URW Palladio L"/>
          <w:color w:val="000000"/>
          <w:szCs w:val="23"/>
          <w:vertAlign w:val="superscript"/>
        </w:rPr>
        <w:footnoteReference w:id="2"/>
      </w:r>
      <w:r w:rsidRPr="00BD3051">
        <w:rPr>
          <w:rFonts w:cs="URW Palladio L"/>
          <w:color w:val="000000"/>
          <w:szCs w:val="23"/>
        </w:rPr>
        <w:t xml:space="preserve"> The electricity production growth figures are year-on-year growth by month. A simple, three-month moving average of that growth series is used as the electricity growth data point for each quarter, that is, the value on the 3rd, 6th, 9th, and 12</w:t>
      </w:r>
      <w:r w:rsidRPr="00BD3051">
        <w:rPr>
          <w:rFonts w:cs="URW Palladio L"/>
          <w:color w:val="000000"/>
          <w:szCs w:val="23"/>
          <w:vertAlign w:val="superscript"/>
        </w:rPr>
        <w:t>th</w:t>
      </w:r>
      <w:r w:rsidRPr="00BD3051">
        <w:rPr>
          <w:rFonts w:cs="URW Palladio L"/>
          <w:color w:val="000000"/>
          <w:szCs w:val="23"/>
        </w:rPr>
        <w:t xml:space="preserve"> month is taken as the quarterly value.</w:t>
      </w:r>
    </w:p>
    <w:p w:rsidR="00BD3051" w:rsidRPr="00BD3051" w:rsidRDefault="00BD3051" w:rsidP="00BD3051">
      <w:pPr>
        <w:rPr>
          <w:rFonts w:cs="URW Palladio L"/>
          <w:color w:val="000000"/>
          <w:szCs w:val="23"/>
        </w:rPr>
      </w:pPr>
      <w:r w:rsidRPr="00BD3051">
        <w:rPr>
          <w:rFonts w:cs="URW Palladio L"/>
          <w:color w:val="000000"/>
          <w:szCs w:val="23"/>
        </w:rPr>
        <w:t xml:space="preserve">Provincial quarterly GDP growth estimates are not centralized. National level compilations of the quarterly GDP growth data are available only for 2007 </w:t>
      </w:r>
      <w:r w:rsidRPr="00BD3051">
        <w:rPr>
          <w:rFonts w:cs="URW Palladio L"/>
          <w:i/>
          <w:iCs/>
          <w:color w:val="000000"/>
          <w:szCs w:val="23"/>
        </w:rPr>
        <w:t>Q</w:t>
      </w:r>
      <w:r w:rsidRPr="00BD3051">
        <w:rPr>
          <w:rFonts w:cs="URW Palladio L"/>
          <w:color w:val="000000"/>
          <w:szCs w:val="23"/>
        </w:rPr>
        <w:t xml:space="preserve">2 to 2009 </w:t>
      </w:r>
      <w:r w:rsidRPr="00BD3051">
        <w:rPr>
          <w:rFonts w:cs="URW Palladio L"/>
          <w:i/>
          <w:iCs/>
          <w:color w:val="000000"/>
          <w:szCs w:val="23"/>
        </w:rPr>
        <w:t>Q</w:t>
      </w:r>
      <w:r w:rsidRPr="00BD3051">
        <w:rPr>
          <w:rFonts w:cs="URW Palladio L"/>
          <w:color w:val="000000"/>
          <w:szCs w:val="23"/>
        </w:rPr>
        <w:t xml:space="preserve">2. For the previous province-quarters, data was compiled through a number of resources including each province’s statistical website, databases of economic news such as </w:t>
      </w:r>
      <w:proofErr w:type="spellStart"/>
      <w:r w:rsidRPr="00BD3051">
        <w:rPr>
          <w:rFonts w:cs="URW Palladio L"/>
          <w:color w:val="000000"/>
          <w:szCs w:val="23"/>
        </w:rPr>
        <w:t>ChinaINFOBANK</w:t>
      </w:r>
      <w:proofErr w:type="spellEnd"/>
      <w:r w:rsidRPr="00BD3051">
        <w:rPr>
          <w:rFonts w:cs="URW Palladio L"/>
          <w:color w:val="000000"/>
          <w:szCs w:val="23"/>
        </w:rPr>
        <w:t>, etc. The economic growth data that are reported are cumulative figures rather than the annualized, seasonally-adjusted quarter-over-quarter figures produced by the Bureau of Economic Analysis of the United States Department of Commerce. That is, the GDP growth estimate for the first quarter (</w:t>
      </w:r>
      <w:r w:rsidRPr="00BD3051">
        <w:rPr>
          <w:rFonts w:cs="URW Palladio L"/>
          <w:i/>
          <w:iCs/>
          <w:color w:val="000000"/>
          <w:szCs w:val="23"/>
        </w:rPr>
        <w:t>Q</w:t>
      </w:r>
      <w:r w:rsidRPr="00BD3051">
        <w:rPr>
          <w:rFonts w:cs="URW Palladio L"/>
          <w:color w:val="000000"/>
          <w:szCs w:val="23"/>
        </w:rPr>
        <w:t xml:space="preserve">1) for a given province represents an estimate of the year-on-year growth rate for the first quarter compared with the previous year’s </w:t>
      </w:r>
      <w:r w:rsidRPr="00BD3051">
        <w:rPr>
          <w:rFonts w:cs="URW Palladio L"/>
          <w:i/>
          <w:iCs/>
          <w:color w:val="000000"/>
          <w:szCs w:val="23"/>
        </w:rPr>
        <w:t>Q</w:t>
      </w:r>
      <w:r w:rsidRPr="00BD3051">
        <w:rPr>
          <w:rFonts w:cs="URW Palladio L"/>
          <w:color w:val="000000"/>
          <w:szCs w:val="23"/>
        </w:rPr>
        <w:t xml:space="preserve">1 growth rate, while the </w:t>
      </w:r>
      <w:r w:rsidRPr="00BD3051">
        <w:rPr>
          <w:rFonts w:cs="URW Palladio L"/>
          <w:i/>
          <w:iCs/>
          <w:color w:val="000000"/>
          <w:szCs w:val="23"/>
        </w:rPr>
        <w:t>Q</w:t>
      </w:r>
      <w:r w:rsidRPr="00BD3051">
        <w:rPr>
          <w:rFonts w:cs="URW Palladio L"/>
          <w:color w:val="000000"/>
          <w:szCs w:val="23"/>
        </w:rPr>
        <w:t xml:space="preserve">2 data point compares the combined result from </w:t>
      </w:r>
      <w:r w:rsidRPr="00BD3051">
        <w:rPr>
          <w:rFonts w:cs="URW Palladio L"/>
          <w:i/>
          <w:iCs/>
          <w:color w:val="000000"/>
          <w:szCs w:val="23"/>
        </w:rPr>
        <w:t>Q</w:t>
      </w:r>
      <w:r w:rsidRPr="00BD3051">
        <w:rPr>
          <w:rFonts w:cs="URW Palladio L"/>
          <w:color w:val="000000"/>
          <w:szCs w:val="23"/>
        </w:rPr>
        <w:t xml:space="preserve">1 and </w:t>
      </w:r>
      <w:r w:rsidRPr="00BD3051">
        <w:rPr>
          <w:rFonts w:cs="URW Palladio L"/>
          <w:i/>
          <w:iCs/>
          <w:color w:val="000000"/>
          <w:szCs w:val="23"/>
        </w:rPr>
        <w:t>Q</w:t>
      </w:r>
      <w:r w:rsidRPr="00BD3051">
        <w:rPr>
          <w:rFonts w:cs="URW Palladio L"/>
          <w:color w:val="000000"/>
          <w:szCs w:val="23"/>
        </w:rPr>
        <w:t xml:space="preserve">2 of year </w:t>
      </w:r>
      <w:r w:rsidRPr="00BD3051">
        <w:rPr>
          <w:rFonts w:cs="URW Palladio L"/>
          <w:i/>
          <w:iCs/>
          <w:color w:val="000000"/>
          <w:szCs w:val="23"/>
        </w:rPr>
        <w:t xml:space="preserve">t </w:t>
      </w:r>
      <w:r w:rsidRPr="00BD3051">
        <w:rPr>
          <w:rFonts w:cs="URW Palladio L"/>
          <w:color w:val="000000"/>
          <w:szCs w:val="23"/>
        </w:rPr>
        <w:t xml:space="preserve">with </w:t>
      </w:r>
      <w:r w:rsidRPr="00BD3051">
        <w:rPr>
          <w:rFonts w:cs="URW Palladio L"/>
          <w:i/>
          <w:iCs/>
          <w:color w:val="000000"/>
          <w:szCs w:val="23"/>
        </w:rPr>
        <w:t>Q</w:t>
      </w:r>
      <w:r w:rsidRPr="00BD3051">
        <w:rPr>
          <w:rFonts w:cs="URW Palladio L"/>
          <w:color w:val="000000"/>
          <w:szCs w:val="23"/>
        </w:rPr>
        <w:t xml:space="preserve">1 and </w:t>
      </w:r>
      <w:r w:rsidRPr="00BD3051">
        <w:rPr>
          <w:rFonts w:cs="URW Palladio L"/>
          <w:i/>
          <w:iCs/>
          <w:color w:val="000000"/>
          <w:szCs w:val="23"/>
        </w:rPr>
        <w:t>Q</w:t>
      </w:r>
      <w:r w:rsidRPr="00BD3051">
        <w:rPr>
          <w:rFonts w:cs="URW Palladio L"/>
          <w:color w:val="000000"/>
          <w:szCs w:val="23"/>
        </w:rPr>
        <w:t xml:space="preserve">2 of year </w:t>
      </w:r>
      <w:r w:rsidRPr="00BD3051">
        <w:rPr>
          <w:rFonts w:cs="URW Palladio L"/>
          <w:i/>
          <w:iCs/>
          <w:color w:val="000000"/>
          <w:szCs w:val="23"/>
        </w:rPr>
        <w:t xml:space="preserve">t - </w:t>
      </w:r>
      <w:r w:rsidRPr="00BD3051">
        <w:rPr>
          <w:rFonts w:cs="URW Palladio L"/>
          <w:color w:val="000000"/>
          <w:szCs w:val="23"/>
        </w:rPr>
        <w:t xml:space="preserve">1. For the </w:t>
      </w:r>
      <w:r w:rsidRPr="00BD3051">
        <w:rPr>
          <w:rFonts w:cs="URW Palladio L"/>
          <w:i/>
          <w:iCs/>
          <w:color w:val="000000"/>
          <w:szCs w:val="23"/>
        </w:rPr>
        <w:t>Q</w:t>
      </w:r>
      <w:r w:rsidRPr="00BD3051">
        <w:rPr>
          <w:rFonts w:cs="URW Palladio L"/>
          <w:color w:val="000000"/>
          <w:szCs w:val="23"/>
        </w:rPr>
        <w:t>3 estimate, the first nine months of the given year are compared with the previous year’s first nine months. Quarter 4 estimates compare the whole year. These cumulative growth rates are then transformed into growth rates for the quarter by giving equal weight to each quarter in the decompositions.</w:t>
      </w:r>
      <w:r w:rsidRPr="00BD3051">
        <w:rPr>
          <w:rFonts w:cs="URW Palladio L"/>
          <w:color w:val="000000"/>
          <w:szCs w:val="23"/>
          <w:vertAlign w:val="superscript"/>
        </w:rPr>
        <w:footnoteReference w:id="3"/>
      </w:r>
    </w:p>
    <w:p w:rsidR="00BD3051" w:rsidRPr="00BD3051" w:rsidRDefault="00BD3051" w:rsidP="00BD3051">
      <w:pPr>
        <w:ind w:firstLine="0"/>
        <w:rPr>
          <w:rFonts w:cs="URW Palladio L"/>
          <w:color w:val="000000"/>
          <w:szCs w:val="23"/>
        </w:rPr>
      </w:pPr>
      <w:r w:rsidRPr="00BD3051">
        <w:rPr>
          <w:rFonts w:cs="URW Palladio L"/>
          <w:color w:val="000000"/>
          <w:szCs w:val="23"/>
        </w:rPr>
        <w:t>On political turnover:</w:t>
      </w:r>
    </w:p>
    <w:p w:rsidR="00BD3051" w:rsidRPr="00BD3051" w:rsidRDefault="00BD3051" w:rsidP="00BD3051">
      <w:pPr>
        <w:rPr>
          <w:rFonts w:cs="URW Palladio L"/>
          <w:color w:val="000000"/>
          <w:szCs w:val="23"/>
        </w:rPr>
      </w:pPr>
      <w:r w:rsidRPr="00BD3051">
        <w:rPr>
          <w:rFonts w:cs="URW Palladio L"/>
          <w:color w:val="000000"/>
          <w:szCs w:val="23"/>
        </w:rPr>
        <w:t>Using China Vitae’s database of political leader biographies and domestic news sources when the record was incomplete, a dataset of provincial party secretaries and governmental leaders was assembled. “Governmental leaders” translates to Governors for provinces, Chairmen for Autonomous Regions, and Mayors of Municipalities.</w:t>
      </w:r>
    </w:p>
    <w:p w:rsidR="00BD3051" w:rsidRPr="00BD3051" w:rsidRDefault="00BD3051" w:rsidP="00BD3051">
      <w:pPr>
        <w:ind w:firstLine="0"/>
        <w:rPr>
          <w:rFonts w:cs="URW Palladio L"/>
          <w:color w:val="000000"/>
          <w:szCs w:val="23"/>
        </w:rPr>
      </w:pPr>
      <w:r w:rsidRPr="00BD3051">
        <w:rPr>
          <w:rFonts w:cs="URW Palladio L"/>
          <w:color w:val="000000"/>
          <w:szCs w:val="23"/>
        </w:rPr>
        <w:lastRenderedPageBreak/>
        <w:t>On the cross-national analysis:</w:t>
      </w:r>
    </w:p>
    <w:p w:rsidR="00BD3051" w:rsidRPr="00BD3051" w:rsidRDefault="00BD3051" w:rsidP="00BD3051">
      <w:pPr>
        <w:rPr>
          <w:rFonts w:cs="URW Palladio L"/>
          <w:color w:val="000000"/>
          <w:szCs w:val="23"/>
        </w:rPr>
      </w:pPr>
      <w:r w:rsidRPr="00BD3051">
        <w:rPr>
          <w:rFonts w:cs="URW Palladio L"/>
          <w:color w:val="000000"/>
          <w:szCs w:val="23"/>
        </w:rPr>
        <w:t>In footnote 18 above, the cross-national claims are stated to be robust to the use of the DD data from Cheibub, Gandhi, and Vreeland. Those results are presented below.</w:t>
      </w:r>
    </w:p>
    <w:p w:rsidR="00BD3051" w:rsidRPr="00BD3051" w:rsidRDefault="00BD3051" w:rsidP="00BD3051">
      <w:pPr>
        <w:rPr>
          <w:rFonts w:cs="URW Palladio L"/>
          <w:color w:val="000000"/>
          <w:szCs w:val="23"/>
        </w:rPr>
      </w:pPr>
      <w:r w:rsidRPr="00BD3051">
        <w:rPr>
          <w:rFonts w:cs="URW Palladio L"/>
          <w:color w:val="000000"/>
          <w:szCs w:val="23"/>
        </w:rPr>
        <w:t xml:space="preserve">The correlations between GDP per capita and Electricity Consumption per capita (both logged) is 0.726 for dictatorships and 0.874 for democracies; without logging the variables, those figures are 0.695 and 0.786, for dictatorships and democracies respectively. </w:t>
      </w:r>
    </w:p>
    <w:p w:rsidR="00BD3051" w:rsidRPr="00BD3051" w:rsidRDefault="00BD3051" w:rsidP="00BD3051">
      <w:pPr>
        <w:rPr>
          <w:rFonts w:cs="URW Palladio L"/>
          <w:color w:val="000000"/>
          <w:szCs w:val="23"/>
        </w:rPr>
      </w:pPr>
      <w:r w:rsidRPr="00BD3051">
        <w:rPr>
          <w:rFonts w:cs="URW Palladio L"/>
          <w:color w:val="000000"/>
          <w:szCs w:val="23"/>
        </w:rPr>
        <w:t xml:space="preserve">The </w:t>
      </w:r>
      <w:proofErr w:type="spellStart"/>
      <w:r w:rsidRPr="00BD3051">
        <w:rPr>
          <w:rFonts w:cs="URW Palladio L"/>
          <w:color w:val="000000"/>
          <w:szCs w:val="23"/>
        </w:rPr>
        <w:t>GDP</w:t>
      </w:r>
      <w:proofErr w:type="gramStart"/>
      <w:r w:rsidRPr="00BD3051">
        <w:rPr>
          <w:rFonts w:cs="URW Palladio L"/>
          <w:color w:val="000000"/>
          <w:szCs w:val="23"/>
        </w:rPr>
        <w:t>:Electricity</w:t>
      </w:r>
      <w:proofErr w:type="spellEnd"/>
      <w:proofErr w:type="gramEnd"/>
      <w:r w:rsidRPr="00BD3051">
        <w:rPr>
          <w:rFonts w:cs="URW Palladio L"/>
          <w:color w:val="000000"/>
          <w:szCs w:val="23"/>
        </w:rPr>
        <w:t xml:space="preserve"> ratio is similarly much higher in dictatorships than democracies using the DD data, as noted in footnote 19. For dictatorships, the mean was $4.12 for every kilowatt-hour of electricity consumption compared with less than $2.98 for democracies, p-value &lt; 0.0001.</w:t>
      </w:r>
    </w:p>
    <w:p w:rsidR="00BD3051" w:rsidRPr="00BD3051" w:rsidRDefault="00BD3051" w:rsidP="00BD3051">
      <w:pPr>
        <w:rPr>
          <w:rFonts w:cs="URW Palladio L"/>
          <w:color w:val="000000"/>
          <w:szCs w:val="23"/>
        </w:rPr>
      </w:pPr>
      <w:r w:rsidRPr="00BD3051">
        <w:rPr>
          <w:rFonts w:cs="URW Palladio L"/>
          <w:color w:val="000000"/>
          <w:szCs w:val="23"/>
        </w:rPr>
        <w:t>For the regression analysis noted in footnote 20, using the DD data, dictatorships report greater changes in GDP per capita after controlling for changes in electricity consumption. Using the DD data, the coefficient of that analysis is $46. These two regressions are presented below in Appendix Table 1.</w:t>
      </w:r>
    </w:p>
    <w:p w:rsidR="00BD3051" w:rsidRPr="00BD3051" w:rsidRDefault="00BD3051" w:rsidP="00BD3051">
      <w:pPr>
        <w:rPr>
          <w:rFonts w:cs="URW Palladio L"/>
          <w:color w:val="000000"/>
          <w:szCs w:val="23"/>
        </w:rPr>
      </w:pPr>
    </w:p>
    <w:p w:rsidR="00BD3051" w:rsidRPr="00BD3051" w:rsidRDefault="00BD3051" w:rsidP="00BD3051">
      <w:pPr>
        <w:spacing w:line="480" w:lineRule="auto"/>
        <w:rPr>
          <w:rFonts w:cs="URW Palladio L"/>
          <w:color w:val="000000"/>
          <w:szCs w:val="24"/>
        </w:rPr>
      </w:pPr>
      <w:r w:rsidRPr="00BD3051">
        <w:rPr>
          <w:szCs w:val="24"/>
        </w:rPr>
        <w:br w:type="page"/>
      </w:r>
    </w:p>
    <w:p w:rsidR="00BD3051" w:rsidRPr="00BD3051" w:rsidRDefault="00BD3051" w:rsidP="00BD3051">
      <w:pPr>
        <w:ind w:firstLine="0"/>
        <w:rPr>
          <w:rFonts w:cs="URW Palladio L"/>
          <w:color w:val="000000"/>
          <w:szCs w:val="24"/>
        </w:rPr>
      </w:pPr>
      <w:proofErr w:type="gramStart"/>
      <w:r w:rsidRPr="00BD3051">
        <w:rPr>
          <w:rFonts w:cs="URW Palladio L"/>
          <w:color w:val="000000"/>
          <w:szCs w:val="24"/>
        </w:rPr>
        <w:lastRenderedPageBreak/>
        <w:t>Appendix Table 1.</w:t>
      </w:r>
      <w:proofErr w:type="gramEnd"/>
      <w:r w:rsidRPr="00BD3051">
        <w:rPr>
          <w:rFonts w:cs="URW Palladio L"/>
          <w:color w:val="000000"/>
          <w:szCs w:val="24"/>
        </w:rPr>
        <w:t xml:space="preserve"> Dictatorships Cross-Nationally Report Higher GDP per capita </w:t>
      </w:r>
    </w:p>
    <w:tbl>
      <w:tblPr>
        <w:tblW w:w="0" w:type="auto"/>
        <w:jc w:val="center"/>
        <w:tblLayout w:type="fixed"/>
        <w:tblCellMar>
          <w:left w:w="75" w:type="dxa"/>
          <w:right w:w="75" w:type="dxa"/>
        </w:tblCellMar>
        <w:tblLook w:val="0000" w:firstRow="0" w:lastRow="0" w:firstColumn="0" w:lastColumn="0" w:noHBand="0" w:noVBand="0"/>
      </w:tblPr>
      <w:tblGrid>
        <w:gridCol w:w="3312"/>
        <w:gridCol w:w="2880"/>
        <w:gridCol w:w="2880"/>
      </w:tblGrid>
      <w:tr w:rsidR="00BD3051" w:rsidRPr="00BD3051" w:rsidTr="006C11ED">
        <w:trPr>
          <w:jc w:val="center"/>
        </w:trPr>
        <w:tc>
          <w:tcPr>
            <w:tcW w:w="3312"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DV: ∆GDP per capita</w:t>
            </w:r>
          </w:p>
        </w:tc>
        <w:tc>
          <w:tcPr>
            <w:tcW w:w="2880"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A1.1</w:t>
            </w:r>
          </w:p>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Geddes &amp; Wright</w:t>
            </w:r>
          </w:p>
        </w:tc>
        <w:tc>
          <w:tcPr>
            <w:tcW w:w="2880"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A1.2</w:t>
            </w:r>
          </w:p>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DD Data</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 xml:space="preserve">∆ Electricity Consumption </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0.48***</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0.48***</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i/>
                <w:szCs w:val="24"/>
              </w:rPr>
            </w:pPr>
            <w:r w:rsidRPr="00BD3051">
              <w:rPr>
                <w:rFonts w:cs="Times New Roman"/>
                <w:i/>
                <w:szCs w:val="24"/>
              </w:rPr>
              <w:t xml:space="preserve">  per capita, kwh</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(0.10)</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(0.10)</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Dictatorship</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27.37**</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46.57**</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(13.00)</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(22.60)</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Constant</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92.12</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81.55</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(63.77)</w:t>
            </w:r>
          </w:p>
        </w:tc>
        <w:tc>
          <w:tcPr>
            <w:tcW w:w="2880" w:type="dxa"/>
            <w:tcBorders>
              <w:top w:val="nil"/>
              <w:left w:val="nil"/>
              <w:bottom w:val="nil"/>
              <w:right w:val="nil"/>
            </w:tcBorders>
          </w:tcPr>
          <w:p w:rsidR="00BD3051" w:rsidRPr="00BD3051" w:rsidRDefault="00BD3051" w:rsidP="00BD3051">
            <w:pPr>
              <w:widowControl w:val="0"/>
              <w:tabs>
                <w:tab w:val="decimal" w:pos="1226"/>
              </w:tabs>
              <w:autoSpaceDE w:val="0"/>
              <w:autoSpaceDN w:val="0"/>
              <w:adjustRightInd w:val="0"/>
              <w:spacing w:after="0"/>
              <w:ind w:firstLine="0"/>
              <w:rPr>
                <w:rFonts w:cs="Times New Roman"/>
                <w:szCs w:val="24"/>
              </w:rPr>
            </w:pPr>
            <w:r w:rsidRPr="00BD3051">
              <w:rPr>
                <w:rFonts w:cs="Times New Roman"/>
                <w:szCs w:val="24"/>
              </w:rPr>
              <w:t>(65.93)</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Observations</w:t>
            </w: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4,001</w:t>
            </w: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3,946</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R-squared</w:t>
            </w: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0.10</w:t>
            </w: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0.10</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 of Countries</w:t>
            </w: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122</w:t>
            </w: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122</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Country FE</w:t>
            </w: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r>
      <w:tr w:rsidR="00BD3051" w:rsidRPr="00BD3051" w:rsidTr="006C11ED">
        <w:tblPrEx>
          <w:tblBorders>
            <w:bottom w:val="single" w:sz="6" w:space="0" w:color="auto"/>
          </w:tblBorders>
        </w:tblPrEx>
        <w:trPr>
          <w:jc w:val="center"/>
        </w:trPr>
        <w:tc>
          <w:tcPr>
            <w:tcW w:w="3312"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Year FE</w:t>
            </w:r>
          </w:p>
        </w:tc>
        <w:tc>
          <w:tcPr>
            <w:tcW w:w="2880"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c>
          <w:tcPr>
            <w:tcW w:w="2880"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r>
    </w:tbl>
    <w:p w:rsidR="00BD3051" w:rsidRPr="00BD3051" w:rsidRDefault="00BD3051" w:rsidP="00BD3051">
      <w:pPr>
        <w:widowControl w:val="0"/>
        <w:autoSpaceDE w:val="0"/>
        <w:autoSpaceDN w:val="0"/>
        <w:adjustRightInd w:val="0"/>
        <w:spacing w:after="0"/>
        <w:ind w:firstLine="0"/>
        <w:rPr>
          <w:rFonts w:cs="Times New Roman"/>
          <w:szCs w:val="24"/>
        </w:rPr>
      </w:pPr>
    </w:p>
    <w:p w:rsidR="00BD3051" w:rsidRPr="00BD3051" w:rsidRDefault="00BD3051" w:rsidP="00BD3051">
      <w:pPr>
        <w:widowControl w:val="0"/>
        <w:autoSpaceDE w:val="0"/>
        <w:autoSpaceDN w:val="0"/>
        <w:adjustRightInd w:val="0"/>
        <w:spacing w:after="0"/>
        <w:ind w:firstLine="0"/>
        <w:rPr>
          <w:rFonts w:cs="Times New Roman"/>
          <w:szCs w:val="24"/>
        </w:rPr>
      </w:pPr>
      <w:proofErr w:type="spellStart"/>
      <w:proofErr w:type="gramStart"/>
      <w:r w:rsidRPr="00BD3051">
        <w:rPr>
          <w:rFonts w:cs="Times New Roman"/>
          <w:szCs w:val="24"/>
        </w:rPr>
        <w:t>n.b</w:t>
      </w:r>
      <w:proofErr w:type="gramEnd"/>
      <w:r w:rsidRPr="00BD3051">
        <w:rPr>
          <w:rFonts w:cs="Times New Roman"/>
          <w:szCs w:val="24"/>
        </w:rPr>
        <w:t>.</w:t>
      </w:r>
      <w:proofErr w:type="spellEnd"/>
      <w:r w:rsidRPr="00BD3051">
        <w:rPr>
          <w:rFonts w:cs="Times New Roman"/>
          <w:szCs w:val="24"/>
        </w:rPr>
        <w:t xml:space="preserve"> DV: ∆GDP per capita, annual data from </w:t>
      </w:r>
      <w:r w:rsidRPr="00BD3051">
        <w:t>1960 to 2008 for nondemocracies as coded using the relevant data set</w:t>
      </w:r>
      <w:r w:rsidRPr="00BD3051">
        <w:rPr>
          <w:rFonts w:cs="Times New Roman"/>
          <w:szCs w:val="24"/>
        </w:rPr>
        <w:t xml:space="preserve">. </w:t>
      </w:r>
      <w:proofErr w:type="gramStart"/>
      <w:r w:rsidRPr="00BD3051">
        <w:rPr>
          <w:rFonts w:cs="Times New Roman"/>
          <w:szCs w:val="24"/>
        </w:rPr>
        <w:t>Robust standard errors in parentheses.</w:t>
      </w:r>
      <w:proofErr w:type="gramEnd"/>
      <w:r w:rsidRPr="00BD3051">
        <w:rPr>
          <w:rFonts w:cs="Times New Roman"/>
          <w:szCs w:val="24"/>
        </w:rPr>
        <w:t xml:space="preserve"> </w:t>
      </w:r>
      <w:proofErr w:type="gramStart"/>
      <w:r w:rsidRPr="00BD3051">
        <w:rPr>
          <w:rFonts w:cs="Times New Roman"/>
          <w:szCs w:val="24"/>
        </w:rPr>
        <w:t>*** p&lt;0.01, ** p&lt;0.05, * p&lt;0.1.</w:t>
      </w:r>
      <w:proofErr w:type="gramEnd"/>
      <w:r w:rsidRPr="00BD3051">
        <w:rPr>
          <w:rFonts w:cs="Times New Roman"/>
          <w:szCs w:val="24"/>
        </w:rPr>
        <w:t xml:space="preserve"> </w:t>
      </w:r>
    </w:p>
    <w:p w:rsidR="00BD3051" w:rsidRPr="00BD3051" w:rsidRDefault="00BD3051" w:rsidP="00BD3051">
      <w:pPr>
        <w:spacing w:line="480" w:lineRule="auto"/>
        <w:rPr>
          <w:rFonts w:cs="URW Palladio L"/>
          <w:color w:val="000000"/>
          <w:szCs w:val="23"/>
        </w:rPr>
      </w:pPr>
      <w:r w:rsidRPr="00BD3051">
        <w:br w:type="page"/>
      </w:r>
    </w:p>
    <w:p w:rsidR="00BD3051" w:rsidRPr="00BD3051" w:rsidRDefault="00BD3051" w:rsidP="00BD3051">
      <w:pPr>
        <w:ind w:firstLine="0"/>
        <w:rPr>
          <w:rFonts w:cs="URW Palladio L"/>
          <w:color w:val="000000"/>
          <w:szCs w:val="23"/>
        </w:rPr>
      </w:pPr>
      <w:proofErr w:type="gramStart"/>
      <w:r w:rsidRPr="00BD3051">
        <w:rPr>
          <w:rFonts w:cs="URW Palladio L"/>
          <w:color w:val="000000"/>
          <w:szCs w:val="23"/>
        </w:rPr>
        <w:lastRenderedPageBreak/>
        <w:t>Appendix Table 2.</w:t>
      </w:r>
      <w:proofErr w:type="gramEnd"/>
      <w:r w:rsidRPr="00BD3051">
        <w:rPr>
          <w:rFonts w:cs="URW Palladio L"/>
          <w:color w:val="000000"/>
          <w:szCs w:val="23"/>
        </w:rPr>
        <w:t xml:space="preserve"> Annual Data Summary Statistics</w:t>
      </w:r>
    </w:p>
    <w:tbl>
      <w:tblPr>
        <w:tblW w:w="90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6"/>
        <w:gridCol w:w="1296"/>
        <w:gridCol w:w="1296"/>
        <w:gridCol w:w="1296"/>
        <w:gridCol w:w="1296"/>
        <w:gridCol w:w="1296"/>
      </w:tblGrid>
      <w:tr w:rsidR="00BD3051" w:rsidRPr="00BD3051" w:rsidTr="006C11ED">
        <w:trPr>
          <w:trHeight w:val="576"/>
          <w:jc w:val="center"/>
        </w:trPr>
        <w:tc>
          <w:tcPr>
            <w:tcW w:w="2616" w:type="dxa"/>
            <w:tcBorders>
              <w:top w:val="single" w:sz="4" w:space="0" w:color="auto"/>
              <w:bottom w:val="single" w:sz="4" w:space="0" w:color="auto"/>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Count</w:t>
            </w:r>
          </w:p>
        </w:tc>
        <w:tc>
          <w:tcPr>
            <w:tcW w:w="1296"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Mean</w:t>
            </w:r>
          </w:p>
        </w:tc>
        <w:tc>
          <w:tcPr>
            <w:tcW w:w="1296"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roofErr w:type="spellStart"/>
            <w:r w:rsidRPr="00BD3051">
              <w:rPr>
                <w:rFonts w:ascii="Times New Roman" w:hAnsi="Times New Roman" w:cs="Times New Roman"/>
                <w:szCs w:val="24"/>
              </w:rPr>
              <w:t>Std</w:t>
            </w:r>
            <w:proofErr w:type="spellEnd"/>
            <w:r w:rsidRPr="00BD3051">
              <w:rPr>
                <w:rFonts w:ascii="Times New Roman" w:hAnsi="Times New Roman" w:cs="Times New Roman"/>
                <w:szCs w:val="24"/>
              </w:rPr>
              <w:t xml:space="preserve"> Dev</w:t>
            </w:r>
          </w:p>
        </w:tc>
        <w:tc>
          <w:tcPr>
            <w:tcW w:w="1296"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Min</w:t>
            </w:r>
          </w:p>
        </w:tc>
        <w:tc>
          <w:tcPr>
            <w:tcW w:w="1296"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Max</w:t>
            </w:r>
          </w:p>
        </w:tc>
      </w:tr>
      <w:tr w:rsidR="00BD3051" w:rsidRPr="00BD3051" w:rsidTr="006C11ED">
        <w:trPr>
          <w:trHeight w:val="576"/>
          <w:jc w:val="center"/>
        </w:trPr>
        <w:tc>
          <w:tcPr>
            <w:tcW w:w="2616" w:type="dxa"/>
            <w:tcBorders>
              <w:top w:val="single" w:sz="4" w:space="0" w:color="auto"/>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GDP - Electricity Consumption Growth</w:t>
            </w:r>
          </w:p>
        </w:tc>
        <w:tc>
          <w:tcPr>
            <w:tcW w:w="1296" w:type="dxa"/>
            <w:tcBorders>
              <w:top w:val="single" w:sz="4" w:space="0" w:color="auto"/>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299</w:t>
            </w:r>
          </w:p>
        </w:tc>
        <w:tc>
          <w:tcPr>
            <w:tcW w:w="1296" w:type="dxa"/>
            <w:tcBorders>
              <w:top w:val="single" w:sz="4" w:space="0" w:color="auto"/>
            </w:tcBorders>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0.47</w:t>
            </w:r>
          </w:p>
        </w:tc>
        <w:tc>
          <w:tcPr>
            <w:tcW w:w="1296" w:type="dxa"/>
            <w:tcBorders>
              <w:top w:val="single" w:sz="4" w:space="0" w:color="auto"/>
            </w:tcBorders>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5.62</w:t>
            </w:r>
          </w:p>
        </w:tc>
        <w:tc>
          <w:tcPr>
            <w:tcW w:w="1296" w:type="dxa"/>
            <w:tcBorders>
              <w:top w:val="single" w:sz="4" w:space="0" w:color="auto"/>
            </w:tcBorders>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-17.49</w:t>
            </w:r>
          </w:p>
        </w:tc>
        <w:tc>
          <w:tcPr>
            <w:tcW w:w="1296" w:type="dxa"/>
            <w:tcBorders>
              <w:top w:val="single" w:sz="4" w:space="0" w:color="auto"/>
            </w:tcBorders>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15.28</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Turnover</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435</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0.37</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0.48</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1.00</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roofErr w:type="spellStart"/>
            <w:r w:rsidRPr="00BD3051">
              <w:rPr>
                <w:rFonts w:ascii="Times New Roman" w:hAnsi="Times New Roman" w:cs="Times New Roman"/>
                <w:szCs w:val="24"/>
              </w:rPr>
              <w:t>Gov</w:t>
            </w:r>
            <w:proofErr w:type="spellEnd"/>
            <w:r w:rsidRPr="00BD3051">
              <w:rPr>
                <w:rFonts w:ascii="Times New Roman" w:hAnsi="Times New Roman" w:cs="Times New Roman"/>
                <w:szCs w:val="24"/>
              </w:rPr>
              <w:t xml:space="preserve"> to PS Promotion</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465</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0.05</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0.23</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1.00</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Other Turnover</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465</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0.30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0.46</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1.00</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Industrial Growth</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439</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113.28</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4.70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97.20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138.50</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GDP per capita, logged</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465</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9.33</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0.77</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7.61</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11.28</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 xml:space="preserve">Service Sector </w:t>
            </w:r>
          </w:p>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 of GDP)</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465</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0.38</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0.07</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0.26</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0.76</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Service Sector Growth</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465</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111.41</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2.51</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105.10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134.90</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Construction Growth</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435</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112.63</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7.19</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84.80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157.30</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Net Electricity Exports</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330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-8.79</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214.68</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-852.03</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954.44</w:t>
            </w:r>
          </w:p>
        </w:tc>
      </w:tr>
      <w:tr w:rsidR="00BD3051" w:rsidRPr="00BD3051" w:rsidTr="006C11ED">
        <w:trPr>
          <w:trHeight w:val="576"/>
          <w:jc w:val="center"/>
        </w:trPr>
        <w:tc>
          <w:tcPr>
            <w:tcW w:w="2616" w:type="dxa"/>
            <w:tcBorders>
              <w:top w:val="nil"/>
              <w:bottom w:val="nil"/>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GDP Growth</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464</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11.53</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2.53</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4.80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23.80</w:t>
            </w:r>
          </w:p>
        </w:tc>
      </w:tr>
      <w:tr w:rsidR="00BD3051" w:rsidRPr="00BD3051" w:rsidTr="006C11ED">
        <w:trPr>
          <w:trHeight w:val="576"/>
          <w:jc w:val="center"/>
        </w:trPr>
        <w:tc>
          <w:tcPr>
            <w:tcW w:w="2616" w:type="dxa"/>
            <w:tcBorders>
              <w:top w:val="nil"/>
              <w:bottom w:val="single" w:sz="4" w:space="0" w:color="auto"/>
              <w:righ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Electricity Consumption Growth</w:t>
            </w:r>
          </w:p>
        </w:tc>
        <w:tc>
          <w:tcPr>
            <w:tcW w:w="1296" w:type="dxa"/>
            <w:tcBorders>
              <w:left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11.50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6.17</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-6.00</w:t>
            </w:r>
          </w:p>
        </w:tc>
        <w:tc>
          <w:tcPr>
            <w:tcW w:w="1296" w:type="dxa"/>
            <w:vAlign w:val="center"/>
          </w:tcPr>
          <w:p w:rsidR="00BD3051" w:rsidRPr="00BD3051" w:rsidRDefault="00BD3051" w:rsidP="00BD3051">
            <w:pPr>
              <w:widowControl w:val="0"/>
              <w:tabs>
                <w:tab w:val="decimal" w:pos="498"/>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32.48</w:t>
            </w:r>
          </w:p>
        </w:tc>
      </w:tr>
    </w:tbl>
    <w:p w:rsidR="00BD3051" w:rsidRPr="00BD3051" w:rsidRDefault="00BD3051" w:rsidP="00BD3051">
      <w:pPr>
        <w:rPr>
          <w:rFonts w:cs="URW Palladio L"/>
          <w:color w:val="000000"/>
          <w:szCs w:val="23"/>
        </w:rPr>
      </w:pPr>
    </w:p>
    <w:p w:rsidR="00BD3051" w:rsidRPr="00BD3051" w:rsidRDefault="00BD3051" w:rsidP="00BD3051">
      <w:pPr>
        <w:widowControl w:val="0"/>
        <w:autoSpaceDE w:val="0"/>
        <w:autoSpaceDN w:val="0"/>
        <w:adjustRightInd w:val="0"/>
        <w:spacing w:after="0"/>
        <w:ind w:firstLine="0"/>
        <w:rPr>
          <w:rFonts w:cs="Times New Roman"/>
          <w:szCs w:val="24"/>
        </w:rPr>
      </w:pPr>
      <w:proofErr w:type="spellStart"/>
      <w:proofErr w:type="gramStart"/>
      <w:r w:rsidRPr="00BD3051">
        <w:rPr>
          <w:rFonts w:cs="Times New Roman"/>
          <w:szCs w:val="24"/>
        </w:rPr>
        <w:t>n.b.</w:t>
      </w:r>
      <w:proofErr w:type="spellEnd"/>
      <w:proofErr w:type="gramEnd"/>
      <w:r w:rsidRPr="00BD3051">
        <w:rPr>
          <w:rFonts w:cs="Times New Roman"/>
          <w:szCs w:val="24"/>
        </w:rPr>
        <w:t xml:space="preserve"> Only 30 provinces are included in the annual analysis as Tibet is omitted due to missing electricity consumption data. </w:t>
      </w:r>
      <w:proofErr w:type="gramStart"/>
      <w:r w:rsidRPr="00BD3051">
        <w:rPr>
          <w:rFonts w:cs="Times New Roman"/>
          <w:szCs w:val="24"/>
        </w:rPr>
        <w:t>Annual data for 30 provinces from 2000 to 2009.</w:t>
      </w:r>
      <w:proofErr w:type="gramEnd"/>
      <w:r w:rsidRPr="00BD3051">
        <w:rPr>
          <w:rFonts w:cs="Times New Roman"/>
          <w:szCs w:val="24"/>
        </w:rPr>
        <w:t xml:space="preserve"> </w:t>
      </w:r>
    </w:p>
    <w:p w:rsidR="00BD3051" w:rsidRPr="00BD3051" w:rsidRDefault="00BD3051" w:rsidP="00BD3051">
      <w:pPr>
        <w:spacing w:after="0"/>
        <w:ind w:firstLine="0"/>
        <w:rPr>
          <w:rFonts w:cs="URW Palladio L"/>
          <w:color w:val="000000"/>
          <w:szCs w:val="23"/>
        </w:rPr>
      </w:pPr>
      <w:r w:rsidRPr="00BD3051">
        <w:br w:type="page"/>
      </w:r>
    </w:p>
    <w:p w:rsidR="00BD3051" w:rsidRPr="00BD3051" w:rsidRDefault="00BD3051" w:rsidP="00BD3051">
      <w:pPr>
        <w:ind w:firstLine="0"/>
        <w:rPr>
          <w:rFonts w:cs="URW Palladio L"/>
          <w:color w:val="000000"/>
          <w:szCs w:val="23"/>
        </w:rPr>
      </w:pPr>
      <w:proofErr w:type="gramStart"/>
      <w:r w:rsidRPr="00BD3051">
        <w:rPr>
          <w:rFonts w:cs="URW Palladio L"/>
          <w:color w:val="000000"/>
          <w:szCs w:val="23"/>
        </w:rPr>
        <w:lastRenderedPageBreak/>
        <w:t>Appendix Table 3.</w:t>
      </w:r>
      <w:proofErr w:type="gramEnd"/>
      <w:r w:rsidRPr="00BD3051">
        <w:rPr>
          <w:rFonts w:cs="URW Palladio L"/>
          <w:color w:val="000000"/>
          <w:szCs w:val="23"/>
        </w:rPr>
        <w:t xml:space="preserve"> Quarterly Data Summary Statistics</w:t>
      </w:r>
    </w:p>
    <w:tbl>
      <w:tblPr>
        <w:tblW w:w="9360"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870"/>
        <w:gridCol w:w="1298"/>
        <w:gridCol w:w="1298"/>
        <w:gridCol w:w="1298"/>
        <w:gridCol w:w="1298"/>
        <w:gridCol w:w="1298"/>
      </w:tblGrid>
      <w:tr w:rsidR="00BD3051" w:rsidRPr="00BD3051" w:rsidTr="006C11ED">
        <w:trPr>
          <w:trHeight w:val="720"/>
        </w:trPr>
        <w:tc>
          <w:tcPr>
            <w:tcW w:w="2230" w:type="dxa"/>
            <w:tcBorders>
              <w:top w:val="single" w:sz="4" w:space="0" w:color="auto"/>
              <w:bottom w:val="single" w:sz="4" w:space="0" w:color="auto"/>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008"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count</w:t>
            </w:r>
          </w:p>
        </w:tc>
        <w:tc>
          <w:tcPr>
            <w:tcW w:w="1008"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mean</w:t>
            </w:r>
          </w:p>
        </w:tc>
        <w:tc>
          <w:tcPr>
            <w:tcW w:w="1008"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proofErr w:type="spellStart"/>
            <w:r w:rsidRPr="00BD3051">
              <w:rPr>
                <w:rFonts w:cs="Times New Roman"/>
                <w:szCs w:val="24"/>
              </w:rPr>
              <w:t>sd</w:t>
            </w:r>
            <w:proofErr w:type="spellEnd"/>
          </w:p>
        </w:tc>
        <w:tc>
          <w:tcPr>
            <w:tcW w:w="1008"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min</w:t>
            </w:r>
          </w:p>
        </w:tc>
        <w:tc>
          <w:tcPr>
            <w:tcW w:w="1008" w:type="dxa"/>
            <w:tcBorders>
              <w:top w:val="single" w:sz="4" w:space="0" w:color="auto"/>
              <w:bottom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max</w:t>
            </w:r>
          </w:p>
        </w:tc>
      </w:tr>
      <w:tr w:rsidR="00BD3051" w:rsidRPr="00BD3051" w:rsidTr="006C11ED">
        <w:trPr>
          <w:trHeight w:val="720"/>
        </w:trPr>
        <w:tc>
          <w:tcPr>
            <w:tcW w:w="2230" w:type="dxa"/>
            <w:tcBorders>
              <w:top w:val="single" w:sz="4" w:space="0" w:color="auto"/>
            </w:tcBorders>
            <w:vAlign w:val="center"/>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 xml:space="preserve">GDP – Electricity Production Growth </w:t>
            </w:r>
          </w:p>
        </w:tc>
        <w:tc>
          <w:tcPr>
            <w:tcW w:w="1008" w:type="dxa"/>
            <w:tcBorders>
              <w:top w:val="single" w:sz="4" w:space="0" w:color="auto"/>
            </w:tcBorders>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828</w:t>
            </w:r>
          </w:p>
        </w:tc>
        <w:tc>
          <w:tcPr>
            <w:tcW w:w="1008" w:type="dxa"/>
            <w:tcBorders>
              <w:top w:val="single" w:sz="4" w:space="0" w:color="auto"/>
            </w:tcBorders>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-0.35</w:t>
            </w:r>
          </w:p>
        </w:tc>
        <w:tc>
          <w:tcPr>
            <w:tcW w:w="1008" w:type="dxa"/>
            <w:tcBorders>
              <w:top w:val="single" w:sz="4" w:space="0" w:color="auto"/>
            </w:tcBorders>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11.18</w:t>
            </w:r>
          </w:p>
        </w:tc>
        <w:tc>
          <w:tcPr>
            <w:tcW w:w="1008" w:type="dxa"/>
            <w:tcBorders>
              <w:top w:val="single" w:sz="4" w:space="0" w:color="auto"/>
            </w:tcBorders>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-52.97</w:t>
            </w:r>
          </w:p>
        </w:tc>
        <w:tc>
          <w:tcPr>
            <w:tcW w:w="1008" w:type="dxa"/>
            <w:tcBorders>
              <w:top w:val="single" w:sz="4" w:space="0" w:color="auto"/>
            </w:tcBorders>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44.50</w:t>
            </w:r>
          </w:p>
        </w:tc>
      </w:tr>
      <w:tr w:rsidR="00BD3051" w:rsidRPr="00BD3051" w:rsidTr="006C11ED">
        <w:trPr>
          <w:trHeight w:val="720"/>
        </w:trPr>
        <w:tc>
          <w:tcPr>
            <w:tcW w:w="2230" w:type="dxa"/>
            <w:vAlign w:val="center"/>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Turnover</w:t>
            </w:r>
          </w:p>
        </w:tc>
        <w:tc>
          <w:tcPr>
            <w:tcW w:w="1008" w:type="dxa"/>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704</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0.43</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0.50</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0.00</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1.00</w:t>
            </w:r>
          </w:p>
        </w:tc>
      </w:tr>
      <w:tr w:rsidR="00BD3051" w:rsidRPr="00BD3051" w:rsidTr="006C11ED">
        <w:trPr>
          <w:trHeight w:val="720"/>
        </w:trPr>
        <w:tc>
          <w:tcPr>
            <w:tcW w:w="2230" w:type="dxa"/>
            <w:vAlign w:val="center"/>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Turnover, lagged</w:t>
            </w:r>
          </w:p>
        </w:tc>
        <w:tc>
          <w:tcPr>
            <w:tcW w:w="1008" w:type="dxa"/>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828</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0.43</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0.49</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0.00</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1.00</w:t>
            </w:r>
          </w:p>
        </w:tc>
      </w:tr>
      <w:tr w:rsidR="00BD3051" w:rsidRPr="00BD3051" w:rsidTr="006C11ED">
        <w:trPr>
          <w:trHeight w:val="720"/>
        </w:trPr>
        <w:tc>
          <w:tcPr>
            <w:tcW w:w="2230" w:type="dxa"/>
            <w:vAlign w:val="center"/>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GDP Growth</w:t>
            </w:r>
          </w:p>
        </w:tc>
        <w:tc>
          <w:tcPr>
            <w:tcW w:w="1008" w:type="dxa"/>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863</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12.15</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3.03</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-15.10</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28.00</w:t>
            </w:r>
          </w:p>
        </w:tc>
      </w:tr>
      <w:tr w:rsidR="00BD3051" w:rsidRPr="00BD3051" w:rsidTr="006C11ED">
        <w:trPr>
          <w:trHeight w:val="720"/>
        </w:trPr>
        <w:tc>
          <w:tcPr>
            <w:tcW w:w="2230" w:type="dxa"/>
            <w:vAlign w:val="center"/>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Electricity Prod. Growth</w:t>
            </w:r>
          </w:p>
          <w:p w:rsidR="00BD3051" w:rsidRPr="00BD3051" w:rsidRDefault="00BD3051" w:rsidP="00BD3051">
            <w:pPr>
              <w:widowControl w:val="0"/>
              <w:autoSpaceDE w:val="0"/>
              <w:autoSpaceDN w:val="0"/>
              <w:adjustRightInd w:val="0"/>
              <w:spacing w:after="0"/>
              <w:ind w:firstLine="0"/>
              <w:rPr>
                <w:rFonts w:cs="Times New Roman"/>
                <w:i/>
                <w:szCs w:val="24"/>
              </w:rPr>
            </w:pPr>
            <w:r w:rsidRPr="00BD3051">
              <w:rPr>
                <w:rFonts w:cs="Times New Roman"/>
                <w:i/>
                <w:szCs w:val="24"/>
              </w:rPr>
              <w:t xml:space="preserve">  (3m moving avg.)</w:t>
            </w:r>
          </w:p>
        </w:tc>
        <w:tc>
          <w:tcPr>
            <w:tcW w:w="1008" w:type="dxa"/>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828</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12.69</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11.46</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-32.90</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64.77</w:t>
            </w:r>
          </w:p>
        </w:tc>
      </w:tr>
      <w:tr w:rsidR="00BD3051" w:rsidRPr="00BD3051" w:rsidTr="006C11ED">
        <w:trPr>
          <w:trHeight w:val="720"/>
        </w:trPr>
        <w:tc>
          <w:tcPr>
            <w:tcW w:w="2230" w:type="dxa"/>
            <w:vAlign w:val="center"/>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Industrial Growth</w:t>
            </w:r>
          </w:p>
        </w:tc>
        <w:tc>
          <w:tcPr>
            <w:tcW w:w="1008" w:type="dxa"/>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827</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18.58</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7.27</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-19.20</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69.40</w:t>
            </w:r>
          </w:p>
        </w:tc>
      </w:tr>
      <w:tr w:rsidR="00BD3051" w:rsidRPr="00BD3051" w:rsidTr="006C11ED">
        <w:trPr>
          <w:trHeight w:val="720"/>
        </w:trPr>
        <w:tc>
          <w:tcPr>
            <w:tcW w:w="2230" w:type="dxa"/>
            <w:vAlign w:val="center"/>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Electricity Exports</w:t>
            </w:r>
          </w:p>
        </w:tc>
        <w:tc>
          <w:tcPr>
            <w:tcW w:w="1008" w:type="dxa"/>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695</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7.53</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191.65</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-662.08</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771.74</w:t>
            </w:r>
          </w:p>
        </w:tc>
      </w:tr>
      <w:tr w:rsidR="00BD3051" w:rsidRPr="00BD3051" w:rsidTr="006C11ED">
        <w:trPr>
          <w:trHeight w:val="720"/>
        </w:trPr>
        <w:tc>
          <w:tcPr>
            <w:tcW w:w="2230" w:type="dxa"/>
            <w:vAlign w:val="center"/>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GDP per capita</w:t>
            </w:r>
          </w:p>
          <w:p w:rsidR="00BD3051" w:rsidRPr="00BD3051" w:rsidRDefault="00BD3051" w:rsidP="00BD3051">
            <w:pPr>
              <w:widowControl w:val="0"/>
              <w:autoSpaceDE w:val="0"/>
              <w:autoSpaceDN w:val="0"/>
              <w:adjustRightInd w:val="0"/>
              <w:spacing w:after="0"/>
              <w:ind w:firstLine="0"/>
              <w:rPr>
                <w:rFonts w:cs="Times New Roman"/>
                <w:i/>
                <w:szCs w:val="24"/>
              </w:rPr>
            </w:pPr>
            <w:r w:rsidRPr="00BD3051">
              <w:rPr>
                <w:rFonts w:cs="Times New Roman"/>
                <w:szCs w:val="24"/>
              </w:rPr>
              <w:t xml:space="preserve">  </w:t>
            </w:r>
            <w:r w:rsidRPr="00BD3051">
              <w:rPr>
                <w:rFonts w:cs="Times New Roman"/>
                <w:i/>
                <w:szCs w:val="24"/>
              </w:rPr>
              <w:t>(logged)</w:t>
            </w:r>
          </w:p>
        </w:tc>
        <w:tc>
          <w:tcPr>
            <w:tcW w:w="1008" w:type="dxa"/>
            <w:vAlign w:val="center"/>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704</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9.42</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0.58</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8.09</w:t>
            </w:r>
          </w:p>
        </w:tc>
        <w:tc>
          <w:tcPr>
            <w:tcW w:w="1008" w:type="dxa"/>
            <w:vAlign w:val="center"/>
          </w:tcPr>
          <w:p w:rsidR="00BD3051" w:rsidRPr="00BD3051" w:rsidRDefault="00BD3051" w:rsidP="00BD3051">
            <w:pPr>
              <w:widowControl w:val="0"/>
              <w:tabs>
                <w:tab w:val="decimal" w:pos="499"/>
              </w:tabs>
              <w:autoSpaceDE w:val="0"/>
              <w:autoSpaceDN w:val="0"/>
              <w:adjustRightInd w:val="0"/>
              <w:spacing w:after="0"/>
              <w:ind w:firstLine="0"/>
              <w:rPr>
                <w:rFonts w:cs="Times New Roman"/>
                <w:szCs w:val="24"/>
              </w:rPr>
            </w:pPr>
            <w:r w:rsidRPr="00BD3051">
              <w:rPr>
                <w:rFonts w:cs="Times New Roman"/>
                <w:szCs w:val="24"/>
              </w:rPr>
              <w:t>11.10</w:t>
            </w:r>
          </w:p>
        </w:tc>
      </w:tr>
    </w:tbl>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p w:rsidR="00BD3051" w:rsidRPr="00BD3051" w:rsidRDefault="00BD3051" w:rsidP="00BD3051">
      <w:pPr>
        <w:spacing w:line="480" w:lineRule="auto"/>
        <w:ind w:firstLine="0"/>
        <w:rPr>
          <w:rFonts w:cs="URW Palladio L"/>
          <w:color w:val="000000"/>
          <w:szCs w:val="23"/>
        </w:rPr>
      </w:pPr>
      <w:proofErr w:type="spellStart"/>
      <w:proofErr w:type="gramStart"/>
      <w:r w:rsidRPr="00BD3051">
        <w:t>n.b</w:t>
      </w:r>
      <w:proofErr w:type="gramEnd"/>
      <w:r w:rsidRPr="00BD3051">
        <w:t>.</w:t>
      </w:r>
      <w:proofErr w:type="spellEnd"/>
      <w:r w:rsidRPr="00BD3051">
        <w:t xml:space="preserve"> Quarterly data for each province from 2001 to 2008. </w:t>
      </w:r>
      <w:r w:rsidRPr="00BD3051">
        <w:br w:type="page"/>
      </w:r>
    </w:p>
    <w:p w:rsidR="00BD3051" w:rsidRPr="00BD3051" w:rsidRDefault="00BD3051" w:rsidP="00BD3051">
      <w:pPr>
        <w:ind w:firstLine="0"/>
        <w:rPr>
          <w:rFonts w:cs="URW Palladio L"/>
          <w:color w:val="000000"/>
          <w:szCs w:val="23"/>
        </w:rPr>
      </w:pPr>
      <w:proofErr w:type="gramStart"/>
      <w:r w:rsidRPr="00BD3051">
        <w:rPr>
          <w:rFonts w:cs="URW Palladio L"/>
          <w:color w:val="000000"/>
          <w:szCs w:val="23"/>
        </w:rPr>
        <w:lastRenderedPageBreak/>
        <w:t>Appendix Table 4.</w:t>
      </w:r>
      <w:proofErr w:type="gramEnd"/>
      <w:r w:rsidRPr="00BD3051">
        <w:rPr>
          <w:rFonts w:cs="URW Palladio L"/>
          <w:color w:val="000000"/>
          <w:szCs w:val="23"/>
        </w:rPr>
        <w:t xml:space="preserve"> Robustness Checks on Turnover, Annual Data</w:t>
      </w:r>
    </w:p>
    <w:tbl>
      <w:tblPr>
        <w:tblW w:w="9360" w:type="dxa"/>
        <w:jc w:val="center"/>
        <w:tblLayout w:type="fixed"/>
        <w:tblCellMar>
          <w:left w:w="75" w:type="dxa"/>
          <w:right w:w="75" w:type="dxa"/>
        </w:tblCellMar>
        <w:tblLook w:val="0000" w:firstRow="0" w:lastRow="0" w:firstColumn="0" w:lastColumn="0" w:noHBand="0" w:noVBand="0"/>
      </w:tblPr>
      <w:tblGrid>
        <w:gridCol w:w="2924"/>
        <w:gridCol w:w="1609"/>
        <w:gridCol w:w="1609"/>
        <w:gridCol w:w="1609"/>
        <w:gridCol w:w="1609"/>
      </w:tblGrid>
      <w:tr w:rsidR="00BD3051" w:rsidRPr="00BD3051" w:rsidTr="006C11ED">
        <w:trPr>
          <w:jc w:val="center"/>
        </w:trPr>
        <w:tc>
          <w:tcPr>
            <w:tcW w:w="2880"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Model A4.1</w:t>
            </w:r>
          </w:p>
        </w:tc>
        <w:tc>
          <w:tcPr>
            <w:tcW w:w="1584"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Model A4.2</w:t>
            </w:r>
          </w:p>
        </w:tc>
        <w:tc>
          <w:tcPr>
            <w:tcW w:w="1584"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Model A4.3</w:t>
            </w:r>
          </w:p>
        </w:tc>
        <w:tc>
          <w:tcPr>
            <w:tcW w:w="1584"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Model A4.4</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Turnover</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0.94*</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0.99*</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0.98*</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0.94*</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(0.52)</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(0.51)</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(0.52)</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(0.51)</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Industrial Growth</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-0.18***</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(0.06)</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 xml:space="preserve">Service Sector </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-12.35**</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i/>
                <w:szCs w:val="24"/>
              </w:rPr>
            </w:pPr>
            <w:r w:rsidRPr="00BD3051">
              <w:rPr>
                <w:rFonts w:cs="Times New Roman"/>
                <w:szCs w:val="24"/>
              </w:rPr>
              <w:t xml:space="preserve">  </w:t>
            </w:r>
            <w:r w:rsidRPr="00BD3051">
              <w:rPr>
                <w:rFonts w:cs="Times New Roman"/>
                <w:i/>
                <w:szCs w:val="24"/>
              </w:rPr>
              <w:t>(% of GDP)</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(5.66)</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Service Sector Growth</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0.25</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0.28</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(0.17)</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(0.17)</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GDP per capita, logged</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8.16**</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7.94**</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(3.48)</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(3.67)</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Construction Growth</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-0.03</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-0.02</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(0.06)</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(0.06)</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Constant</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23.58***</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-100.52***</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2.33</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-100.31**</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(7.19)</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(34.08)</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(6.86)</w:t>
            </w:r>
          </w:p>
        </w:tc>
        <w:tc>
          <w:tcPr>
            <w:tcW w:w="1584" w:type="dxa"/>
            <w:tcBorders>
              <w:top w:val="nil"/>
              <w:left w:val="nil"/>
              <w:bottom w:val="nil"/>
              <w:right w:val="nil"/>
            </w:tcBorders>
          </w:tcPr>
          <w:p w:rsidR="00BD3051" w:rsidRPr="00BD3051" w:rsidRDefault="00BD3051" w:rsidP="00BD3051">
            <w:pPr>
              <w:widowControl w:val="0"/>
              <w:tabs>
                <w:tab w:val="decimal" w:pos="644"/>
              </w:tabs>
              <w:autoSpaceDE w:val="0"/>
              <w:autoSpaceDN w:val="0"/>
              <w:adjustRightInd w:val="0"/>
              <w:spacing w:after="0"/>
              <w:ind w:firstLine="0"/>
              <w:rPr>
                <w:rFonts w:cs="Times New Roman"/>
                <w:szCs w:val="24"/>
              </w:rPr>
            </w:pPr>
            <w:r w:rsidRPr="00BD3051">
              <w:rPr>
                <w:rFonts w:cs="Times New Roman"/>
                <w:szCs w:val="24"/>
              </w:rPr>
              <w:t>(37.02)</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Observations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299</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299</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296</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296</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R-squared</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0.28</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0.29</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0.26</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0.28</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 of Provinces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30</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30</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30</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30</w:t>
            </w:r>
          </w:p>
        </w:tc>
      </w:tr>
      <w:tr w:rsidR="00BD3051" w:rsidRPr="00BD3051" w:rsidTr="006C11ED">
        <w:trPr>
          <w:jc w:val="center"/>
        </w:trPr>
        <w:tc>
          <w:tcPr>
            <w:tcW w:w="2880"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Province FE</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r>
      <w:tr w:rsidR="00BD3051" w:rsidRPr="00BD3051" w:rsidTr="006C11ED">
        <w:tblPrEx>
          <w:tblBorders>
            <w:bottom w:val="single" w:sz="6" w:space="0" w:color="auto"/>
          </w:tblBorders>
        </w:tblPrEx>
        <w:trPr>
          <w:jc w:val="center"/>
        </w:trPr>
        <w:tc>
          <w:tcPr>
            <w:tcW w:w="2880"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rPr>
                <w:rFonts w:cs="Times New Roman"/>
                <w:szCs w:val="24"/>
              </w:rPr>
            </w:pPr>
            <w:r w:rsidRPr="00BD3051">
              <w:rPr>
                <w:rFonts w:cs="Times New Roman"/>
                <w:szCs w:val="24"/>
              </w:rPr>
              <w:t>Year FE</w:t>
            </w:r>
          </w:p>
        </w:tc>
        <w:tc>
          <w:tcPr>
            <w:tcW w:w="1584"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c>
          <w:tcPr>
            <w:tcW w:w="1584"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c>
          <w:tcPr>
            <w:tcW w:w="1584"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c>
          <w:tcPr>
            <w:tcW w:w="1584"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cs="Times New Roman"/>
                <w:szCs w:val="24"/>
              </w:rPr>
            </w:pPr>
            <w:r w:rsidRPr="00BD3051">
              <w:rPr>
                <w:rFonts w:cs="Times New Roman"/>
                <w:szCs w:val="24"/>
              </w:rPr>
              <w:t>YES</w:t>
            </w:r>
          </w:p>
        </w:tc>
      </w:tr>
    </w:tbl>
    <w:p w:rsidR="00BD3051" w:rsidRPr="00BD3051" w:rsidRDefault="00BD3051" w:rsidP="00BD3051">
      <w:pPr>
        <w:widowControl w:val="0"/>
        <w:autoSpaceDE w:val="0"/>
        <w:autoSpaceDN w:val="0"/>
        <w:adjustRightInd w:val="0"/>
        <w:spacing w:after="0"/>
        <w:ind w:firstLine="0"/>
        <w:jc w:val="center"/>
        <w:rPr>
          <w:rFonts w:cs="Times New Roman"/>
          <w:szCs w:val="24"/>
        </w:rPr>
      </w:pPr>
    </w:p>
    <w:p w:rsidR="00BD3051" w:rsidRPr="00BD3051" w:rsidRDefault="00BD3051" w:rsidP="00BD3051">
      <w:pPr>
        <w:widowControl w:val="0"/>
        <w:autoSpaceDE w:val="0"/>
        <w:autoSpaceDN w:val="0"/>
        <w:adjustRightInd w:val="0"/>
        <w:spacing w:after="0"/>
        <w:ind w:firstLine="0"/>
        <w:rPr>
          <w:rFonts w:cs="Times New Roman"/>
          <w:szCs w:val="24"/>
        </w:rPr>
      </w:pPr>
      <w:proofErr w:type="spellStart"/>
      <w:proofErr w:type="gramStart"/>
      <w:r w:rsidRPr="00BD3051">
        <w:rPr>
          <w:rFonts w:cs="Times New Roman"/>
          <w:szCs w:val="24"/>
        </w:rPr>
        <w:t>n.b</w:t>
      </w:r>
      <w:proofErr w:type="gramEnd"/>
      <w:r w:rsidRPr="00BD3051">
        <w:rPr>
          <w:rFonts w:cs="Times New Roman"/>
          <w:szCs w:val="24"/>
        </w:rPr>
        <w:t>.</w:t>
      </w:r>
      <w:proofErr w:type="spellEnd"/>
      <w:r w:rsidRPr="00BD3051">
        <w:rPr>
          <w:rFonts w:cs="Times New Roman"/>
          <w:szCs w:val="24"/>
        </w:rPr>
        <w:t xml:space="preserve"> Dependent variable is Provincial GDP Growth – Electricity Consumption Growth, annual data from 2000 to 2009.</w:t>
      </w:r>
      <w:r w:rsidRPr="00BD3051">
        <w:rPr>
          <w:rFonts w:ascii="Times New Roman" w:hAnsi="Times New Roman" w:cs="Times New Roman"/>
          <w:szCs w:val="24"/>
        </w:rPr>
        <w:t xml:space="preserve"> </w:t>
      </w:r>
      <w:proofErr w:type="gramStart"/>
      <w:r w:rsidRPr="00BD3051">
        <w:rPr>
          <w:rFonts w:cs="Times New Roman"/>
          <w:szCs w:val="24"/>
        </w:rPr>
        <w:t>Robust standard errors in parentheses *** p&lt;0.01, ** p&lt;0.05, * p&lt;0.1.</w:t>
      </w:r>
      <w:proofErr w:type="gramEnd"/>
      <w:r w:rsidRPr="00BD3051">
        <w:rPr>
          <w:rFonts w:cs="Times New Roman"/>
          <w:szCs w:val="24"/>
        </w:rPr>
        <w:t xml:space="preserve"> Only 30 provinces are included as Tibet is omitted due to missing electricity consumption data. </w:t>
      </w:r>
    </w:p>
    <w:p w:rsidR="00BD3051" w:rsidRPr="00BD3051" w:rsidRDefault="00BD3051" w:rsidP="00BD3051">
      <w:pPr>
        <w:ind w:firstLine="0"/>
        <w:rPr>
          <w:rFonts w:cs="URW Palladio L"/>
          <w:color w:val="000000"/>
          <w:szCs w:val="24"/>
        </w:rPr>
      </w:pPr>
    </w:p>
    <w:p w:rsidR="00BD3051" w:rsidRPr="00BD3051" w:rsidRDefault="00BD3051" w:rsidP="00BD3051">
      <w:pPr>
        <w:ind w:firstLine="0"/>
        <w:rPr>
          <w:rFonts w:cs="URW Palladio L"/>
          <w:color w:val="000000"/>
          <w:szCs w:val="23"/>
        </w:rPr>
      </w:pPr>
    </w:p>
    <w:p w:rsidR="00BD3051" w:rsidRPr="00BD3051" w:rsidRDefault="00BD3051" w:rsidP="00BD3051">
      <w:pPr>
        <w:spacing w:line="480" w:lineRule="auto"/>
      </w:pPr>
      <w:r w:rsidRPr="00BD3051">
        <w:br w:type="page"/>
      </w:r>
    </w:p>
    <w:p w:rsidR="00BD3051" w:rsidRPr="00BD3051" w:rsidRDefault="00BD3051" w:rsidP="00BD3051">
      <w:pPr>
        <w:spacing w:after="0"/>
        <w:ind w:firstLine="0"/>
        <w:rPr>
          <w:szCs w:val="24"/>
        </w:rPr>
      </w:pPr>
      <w:proofErr w:type="gramStart"/>
      <w:r w:rsidRPr="00BD3051">
        <w:rPr>
          <w:szCs w:val="24"/>
        </w:rPr>
        <w:lastRenderedPageBreak/>
        <w:t>Appendix Table 5.</w:t>
      </w:r>
      <w:proofErr w:type="gramEnd"/>
      <w:r w:rsidRPr="00BD3051">
        <w:rPr>
          <w:szCs w:val="24"/>
        </w:rPr>
        <w:t xml:space="preserve"> Turnover and Lagged Turnover Patterns in Growth Differences</w:t>
      </w:r>
    </w:p>
    <w:p w:rsidR="00BD3051" w:rsidRPr="00BD3051" w:rsidRDefault="00BD3051" w:rsidP="00BD3051">
      <w:pPr>
        <w:spacing w:after="0"/>
        <w:ind w:firstLine="0"/>
        <w:rPr>
          <w:szCs w:val="24"/>
        </w:rPr>
      </w:pPr>
    </w:p>
    <w:p w:rsidR="00BD3051" w:rsidRPr="00BD3051" w:rsidRDefault="00BD3051" w:rsidP="00BD3051">
      <w:pPr>
        <w:spacing w:after="0"/>
        <w:ind w:firstLine="0"/>
      </w:pPr>
      <w:r w:rsidRPr="00BD3051">
        <w:t>GDP Growth – Electricity Production Growth, quarterly data</w:t>
      </w:r>
      <w:r w:rsidRPr="00BD3051">
        <w:rPr>
          <w:vertAlign w:val="superscript"/>
        </w:rPr>
        <w:footnoteReference w:id="4"/>
      </w:r>
    </w:p>
    <w:tbl>
      <w:tblPr>
        <w:tblStyle w:val="TableGrid1"/>
        <w:tblW w:w="0" w:type="auto"/>
        <w:tblLook w:val="04A0" w:firstRow="1" w:lastRow="0" w:firstColumn="1" w:lastColumn="0" w:noHBand="0" w:noVBand="1"/>
      </w:tblPr>
      <w:tblGrid>
        <w:gridCol w:w="2880"/>
        <w:gridCol w:w="2880"/>
        <w:gridCol w:w="2880"/>
      </w:tblGrid>
      <w:tr w:rsidR="00BD3051" w:rsidRPr="00BD3051" w:rsidTr="006C11ED">
        <w:tc>
          <w:tcPr>
            <w:tcW w:w="2880" w:type="dxa"/>
          </w:tcPr>
          <w:p w:rsidR="00BD3051" w:rsidRPr="00BD3051" w:rsidRDefault="00BD3051" w:rsidP="00BD3051"/>
        </w:tc>
        <w:tc>
          <w:tcPr>
            <w:tcW w:w="2880" w:type="dxa"/>
          </w:tcPr>
          <w:p w:rsidR="00BD3051" w:rsidRPr="00BD3051" w:rsidRDefault="00BD3051" w:rsidP="00BD3051">
            <w:r w:rsidRPr="00BD3051">
              <w:t>Turnover=0</w:t>
            </w:r>
          </w:p>
        </w:tc>
        <w:tc>
          <w:tcPr>
            <w:tcW w:w="2880" w:type="dxa"/>
          </w:tcPr>
          <w:p w:rsidR="00BD3051" w:rsidRPr="00BD3051" w:rsidRDefault="00BD3051" w:rsidP="00BD3051">
            <w:r w:rsidRPr="00BD3051">
              <w:t>Turnover=1</w:t>
            </w:r>
          </w:p>
        </w:tc>
      </w:tr>
      <w:tr w:rsidR="00BD3051" w:rsidRPr="00BD3051" w:rsidTr="006C11ED">
        <w:tc>
          <w:tcPr>
            <w:tcW w:w="2880" w:type="dxa"/>
          </w:tcPr>
          <w:p w:rsidR="00BD3051" w:rsidRPr="00BD3051" w:rsidRDefault="00BD3051" w:rsidP="00BD3051">
            <w:r w:rsidRPr="00BD3051">
              <w:t>Lag Turnover=0</w:t>
            </w:r>
          </w:p>
        </w:tc>
        <w:tc>
          <w:tcPr>
            <w:tcW w:w="2880" w:type="dxa"/>
          </w:tcPr>
          <w:p w:rsidR="00BD3051" w:rsidRPr="00BD3051" w:rsidRDefault="00BD3051" w:rsidP="00BD3051">
            <w:r w:rsidRPr="00BD3051">
              <w:t>-1.49</w:t>
            </w:r>
          </w:p>
        </w:tc>
        <w:tc>
          <w:tcPr>
            <w:tcW w:w="2880" w:type="dxa"/>
          </w:tcPr>
          <w:p w:rsidR="00BD3051" w:rsidRPr="00BD3051" w:rsidRDefault="00BD3051" w:rsidP="00BD3051">
            <w:r w:rsidRPr="00BD3051">
              <w:t>-0.07</w:t>
            </w:r>
          </w:p>
        </w:tc>
      </w:tr>
      <w:tr w:rsidR="00BD3051" w:rsidRPr="00BD3051" w:rsidTr="006C11ED">
        <w:tc>
          <w:tcPr>
            <w:tcW w:w="2880" w:type="dxa"/>
          </w:tcPr>
          <w:p w:rsidR="00BD3051" w:rsidRPr="00BD3051" w:rsidRDefault="00BD3051" w:rsidP="00BD3051">
            <w:r w:rsidRPr="00BD3051">
              <w:t>Lag Turnover=1</w:t>
            </w:r>
          </w:p>
        </w:tc>
        <w:tc>
          <w:tcPr>
            <w:tcW w:w="2880" w:type="dxa"/>
          </w:tcPr>
          <w:p w:rsidR="00BD3051" w:rsidRPr="00BD3051" w:rsidRDefault="00BD3051" w:rsidP="00BD3051">
            <w:r w:rsidRPr="00BD3051">
              <w:t>-2.94</w:t>
            </w:r>
          </w:p>
        </w:tc>
        <w:tc>
          <w:tcPr>
            <w:tcW w:w="2880" w:type="dxa"/>
          </w:tcPr>
          <w:p w:rsidR="00BD3051" w:rsidRPr="00BD3051" w:rsidRDefault="00BD3051" w:rsidP="00BD3051">
            <w:r w:rsidRPr="00BD3051">
              <w:t>-1.34</w:t>
            </w:r>
          </w:p>
        </w:tc>
      </w:tr>
    </w:tbl>
    <w:p w:rsidR="00BD3051" w:rsidRPr="00BD3051" w:rsidRDefault="00BD3051" w:rsidP="00BD3051"/>
    <w:p w:rsidR="00BD3051" w:rsidRPr="00BD3051" w:rsidRDefault="00BD3051" w:rsidP="00BD3051">
      <w:pPr>
        <w:ind w:firstLine="0"/>
      </w:pPr>
      <w:proofErr w:type="spellStart"/>
      <w:proofErr w:type="gramStart"/>
      <w:r w:rsidRPr="00BD3051">
        <w:t>n.b.</w:t>
      </w:r>
      <w:proofErr w:type="spellEnd"/>
      <w:proofErr w:type="gramEnd"/>
      <w:r w:rsidRPr="00BD3051">
        <w:t xml:space="preserve"> The following two-by-two table summarizes the results in a reasonable fashion. During normal periods (i.e. no turnover this term or prior), GDP growth is on average about 1.5% lower than electricity production growth. When a turnover occurs, the difference evaporates to essentially zero (-0.07). The following year, it explodes to -3%. Finally, during tumultuous moments (both this year and the previous year saw turnovers) the growth differential is about the same as what occurs during normal times. </w:t>
      </w:r>
    </w:p>
    <w:p w:rsidR="00BD3051" w:rsidRPr="00BD3051" w:rsidRDefault="00BD3051" w:rsidP="00BD3051">
      <w:pPr>
        <w:ind w:firstLine="0"/>
        <w:rPr>
          <w:rFonts w:cs="URW Palladio L"/>
          <w:color w:val="000000"/>
          <w:szCs w:val="23"/>
        </w:rPr>
      </w:pPr>
      <w:r w:rsidRPr="00BD3051">
        <w:rPr>
          <w:rFonts w:cs="URW Palladio L"/>
          <w:color w:val="000000"/>
          <w:szCs w:val="23"/>
        </w:rPr>
        <w:t xml:space="preserve"> </w:t>
      </w:r>
    </w:p>
    <w:p w:rsidR="00BD3051" w:rsidRPr="00BD3051" w:rsidRDefault="00BD3051" w:rsidP="00BD3051">
      <w:pPr>
        <w:spacing w:line="480" w:lineRule="auto"/>
      </w:pPr>
      <w:r w:rsidRPr="00BD3051">
        <w:br w:type="page"/>
      </w:r>
    </w:p>
    <w:p w:rsidR="00BD3051" w:rsidRPr="00BD3051" w:rsidRDefault="00BD3051" w:rsidP="00BD3051">
      <w:pPr>
        <w:ind w:firstLine="0"/>
        <w:rPr>
          <w:rFonts w:cs="URW Palladio L"/>
          <w:color w:val="000000"/>
          <w:szCs w:val="23"/>
        </w:rPr>
      </w:pPr>
      <w:proofErr w:type="gramStart"/>
      <w:r w:rsidRPr="00BD3051">
        <w:rPr>
          <w:rFonts w:cs="URW Palladio L"/>
          <w:color w:val="000000"/>
          <w:szCs w:val="23"/>
        </w:rPr>
        <w:lastRenderedPageBreak/>
        <w:t>Appendix Table 6.</w:t>
      </w:r>
      <w:proofErr w:type="gramEnd"/>
      <w:r w:rsidRPr="00BD3051">
        <w:rPr>
          <w:rFonts w:cs="URW Palladio L"/>
          <w:color w:val="000000"/>
          <w:szCs w:val="23"/>
        </w:rPr>
        <w:t xml:space="preserve"> Results Robust to Separating Types of Turnovers</w:t>
      </w:r>
    </w:p>
    <w:tbl>
      <w:tblPr>
        <w:tblW w:w="0" w:type="auto"/>
        <w:jc w:val="center"/>
        <w:tblLayout w:type="fixed"/>
        <w:tblCellMar>
          <w:left w:w="75" w:type="dxa"/>
          <w:right w:w="75" w:type="dxa"/>
        </w:tblCellMar>
        <w:tblLook w:val="0000" w:firstRow="0" w:lastRow="0" w:firstColumn="0" w:lastColumn="0" w:noHBand="0" w:noVBand="0"/>
      </w:tblPr>
      <w:tblGrid>
        <w:gridCol w:w="3312"/>
        <w:gridCol w:w="1440"/>
        <w:gridCol w:w="1440"/>
        <w:gridCol w:w="1440"/>
        <w:gridCol w:w="1440"/>
      </w:tblGrid>
      <w:tr w:rsidR="00BD3051" w:rsidRPr="00BD3051" w:rsidTr="006C11ED">
        <w:trPr>
          <w:jc w:val="center"/>
        </w:trPr>
        <w:tc>
          <w:tcPr>
            <w:tcW w:w="3312" w:type="dxa"/>
            <w:tcBorders>
              <w:top w:val="single" w:sz="4" w:space="0" w:color="auto"/>
              <w:left w:val="nil"/>
              <w:bottom w:val="single" w:sz="6" w:space="0" w:color="auto"/>
              <w:right w:val="nil"/>
            </w:tcBorders>
          </w:tcPr>
          <w:p w:rsidR="00BD3051" w:rsidRPr="00BD3051" w:rsidRDefault="00BD3051" w:rsidP="00BD3051">
            <w:pPr>
              <w:spacing w:after="0"/>
              <w:ind w:firstLine="0"/>
            </w:pPr>
          </w:p>
        </w:tc>
        <w:tc>
          <w:tcPr>
            <w:tcW w:w="1440" w:type="dxa"/>
            <w:tcBorders>
              <w:top w:val="single" w:sz="4" w:space="0" w:color="auto"/>
              <w:left w:val="nil"/>
              <w:bottom w:val="single" w:sz="6" w:space="0" w:color="auto"/>
              <w:right w:val="nil"/>
            </w:tcBorders>
          </w:tcPr>
          <w:p w:rsidR="00BD3051" w:rsidRPr="00BD3051" w:rsidRDefault="00BD3051" w:rsidP="00BD3051">
            <w:pPr>
              <w:spacing w:after="0"/>
              <w:ind w:firstLine="0"/>
            </w:pPr>
            <w:r w:rsidRPr="00BD3051">
              <w:t>Model A6.1</w:t>
            </w:r>
          </w:p>
        </w:tc>
        <w:tc>
          <w:tcPr>
            <w:tcW w:w="1440" w:type="dxa"/>
            <w:tcBorders>
              <w:top w:val="single" w:sz="4" w:space="0" w:color="auto"/>
              <w:left w:val="nil"/>
              <w:bottom w:val="single" w:sz="6" w:space="0" w:color="auto"/>
              <w:right w:val="nil"/>
            </w:tcBorders>
          </w:tcPr>
          <w:p w:rsidR="00BD3051" w:rsidRPr="00BD3051" w:rsidRDefault="00BD3051" w:rsidP="00BD3051">
            <w:pPr>
              <w:spacing w:after="0"/>
              <w:ind w:firstLine="0"/>
            </w:pPr>
            <w:r w:rsidRPr="00BD3051">
              <w:t>Model A6.2</w:t>
            </w:r>
          </w:p>
        </w:tc>
        <w:tc>
          <w:tcPr>
            <w:tcW w:w="1440" w:type="dxa"/>
            <w:tcBorders>
              <w:top w:val="single" w:sz="4" w:space="0" w:color="auto"/>
              <w:left w:val="nil"/>
              <w:bottom w:val="single" w:sz="6" w:space="0" w:color="auto"/>
              <w:right w:val="nil"/>
            </w:tcBorders>
          </w:tcPr>
          <w:p w:rsidR="00BD3051" w:rsidRPr="00BD3051" w:rsidRDefault="00BD3051" w:rsidP="00BD3051">
            <w:pPr>
              <w:spacing w:after="0"/>
              <w:ind w:firstLine="0"/>
            </w:pPr>
            <w:r w:rsidRPr="00BD3051">
              <w:t>Model A6.3</w:t>
            </w:r>
          </w:p>
        </w:tc>
        <w:tc>
          <w:tcPr>
            <w:tcW w:w="1440" w:type="dxa"/>
            <w:tcBorders>
              <w:top w:val="single" w:sz="4" w:space="0" w:color="auto"/>
              <w:left w:val="nil"/>
              <w:bottom w:val="single" w:sz="6" w:space="0" w:color="auto"/>
              <w:right w:val="nil"/>
            </w:tcBorders>
          </w:tcPr>
          <w:p w:rsidR="00BD3051" w:rsidRPr="00BD3051" w:rsidRDefault="00BD3051" w:rsidP="00BD3051">
            <w:pPr>
              <w:spacing w:after="0"/>
              <w:ind w:firstLine="0"/>
            </w:pPr>
            <w:r w:rsidRPr="00BD3051">
              <w:t>Model A6.4</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spacing w:after="0"/>
              <w:ind w:firstLine="0"/>
            </w:pP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roofErr w:type="spellStart"/>
            <w:r w:rsidRPr="00BD3051">
              <w:t>Gov</w:t>
            </w:r>
            <w:proofErr w:type="spellEnd"/>
            <w:r w:rsidRPr="00BD3051">
              <w:t xml:space="preserve"> to PS promotion</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0.12</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0.16</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0.24</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0.37</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(0.86)</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(0.87)</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(0.88)</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(0.84)</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Other Turnovers</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1.18**</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1.10**</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1.02*</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1.14**</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(0.55)</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(0.53)</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(0.52)</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(0.54)</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Industrial Growth</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-0.15**</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-0.22***</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-0.18***</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(0.07)</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(0.08)</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(0.07)</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GDP per capita, logged</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11.04***</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2.05**</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(3.01)</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(0.84)</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Service Sector (% of GDP)</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-6.12</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(5.08)</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Constant</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-0.83</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15.71**</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-74.49**</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3.09</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(0.95)</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(7.61)</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(28.82)</w:t>
            </w:r>
          </w:p>
        </w:tc>
        <w:tc>
          <w:tcPr>
            <w:tcW w:w="1440" w:type="dxa"/>
            <w:tcBorders>
              <w:top w:val="nil"/>
              <w:left w:val="nil"/>
              <w:bottom w:val="nil"/>
              <w:right w:val="nil"/>
            </w:tcBorders>
          </w:tcPr>
          <w:p w:rsidR="00BD3051" w:rsidRPr="00BD3051" w:rsidRDefault="00BD3051" w:rsidP="00BD3051">
            <w:pPr>
              <w:tabs>
                <w:tab w:val="decimal" w:pos="497"/>
              </w:tabs>
              <w:spacing w:after="0"/>
              <w:ind w:firstLine="0"/>
            </w:pPr>
            <w:r w:rsidRPr="00BD3051">
              <w:t>(10.78)</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spacing w:after="0"/>
              <w:ind w:firstLine="0"/>
            </w:pPr>
          </w:p>
        </w:tc>
        <w:tc>
          <w:tcPr>
            <w:tcW w:w="1440" w:type="dxa"/>
            <w:tcBorders>
              <w:top w:val="nil"/>
              <w:left w:val="nil"/>
              <w:bottom w:val="nil"/>
              <w:right w:val="nil"/>
            </w:tcBorders>
          </w:tcPr>
          <w:p w:rsidR="00BD3051" w:rsidRPr="00BD3051" w:rsidRDefault="00BD3051" w:rsidP="00BD3051">
            <w:pPr>
              <w:spacing w:after="0"/>
              <w:ind w:firstLine="0"/>
            </w:pP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Observations</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299</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299</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299</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299</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R-squared</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0.27</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0.28</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0.30</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0.29</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Number of Provinces</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30</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30</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30</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30</w:t>
            </w:r>
          </w:p>
        </w:tc>
      </w:tr>
      <w:tr w:rsidR="00BD3051" w:rsidRPr="00BD3051" w:rsidTr="006C11ED">
        <w:trPr>
          <w:jc w:val="center"/>
        </w:trPr>
        <w:tc>
          <w:tcPr>
            <w:tcW w:w="3312" w:type="dxa"/>
            <w:tcBorders>
              <w:top w:val="nil"/>
              <w:left w:val="nil"/>
              <w:bottom w:val="nil"/>
              <w:right w:val="nil"/>
            </w:tcBorders>
          </w:tcPr>
          <w:p w:rsidR="00BD3051" w:rsidRPr="00BD3051" w:rsidRDefault="00BD3051" w:rsidP="00BD3051">
            <w:pPr>
              <w:spacing w:after="0"/>
              <w:ind w:firstLine="0"/>
            </w:pPr>
            <w:r w:rsidRPr="00BD3051">
              <w:t>Province FE</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YES</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YES</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YES</w:t>
            </w:r>
          </w:p>
        </w:tc>
        <w:tc>
          <w:tcPr>
            <w:tcW w:w="1440" w:type="dxa"/>
            <w:tcBorders>
              <w:top w:val="nil"/>
              <w:left w:val="nil"/>
              <w:bottom w:val="nil"/>
              <w:right w:val="nil"/>
            </w:tcBorders>
          </w:tcPr>
          <w:p w:rsidR="00BD3051" w:rsidRPr="00BD3051" w:rsidRDefault="00BD3051" w:rsidP="00BD3051">
            <w:pPr>
              <w:spacing w:after="0"/>
              <w:ind w:firstLine="0"/>
              <w:jc w:val="center"/>
            </w:pPr>
            <w:r w:rsidRPr="00BD3051">
              <w:t>NO</w:t>
            </w:r>
          </w:p>
        </w:tc>
      </w:tr>
      <w:tr w:rsidR="00BD3051" w:rsidRPr="00BD3051" w:rsidTr="006C11ED">
        <w:tblPrEx>
          <w:tblBorders>
            <w:bottom w:val="single" w:sz="6" w:space="0" w:color="auto"/>
          </w:tblBorders>
        </w:tblPrEx>
        <w:trPr>
          <w:jc w:val="center"/>
        </w:trPr>
        <w:tc>
          <w:tcPr>
            <w:tcW w:w="3312" w:type="dxa"/>
            <w:tcBorders>
              <w:top w:val="nil"/>
              <w:left w:val="nil"/>
              <w:bottom w:val="single" w:sz="6" w:space="0" w:color="auto"/>
              <w:right w:val="nil"/>
            </w:tcBorders>
          </w:tcPr>
          <w:p w:rsidR="00BD3051" w:rsidRPr="00BD3051" w:rsidRDefault="00BD3051" w:rsidP="00BD3051">
            <w:pPr>
              <w:spacing w:after="0"/>
              <w:ind w:firstLine="0"/>
            </w:pPr>
            <w:r w:rsidRPr="00BD3051">
              <w:t>Year FE</w:t>
            </w:r>
          </w:p>
        </w:tc>
        <w:tc>
          <w:tcPr>
            <w:tcW w:w="1440" w:type="dxa"/>
            <w:tcBorders>
              <w:top w:val="nil"/>
              <w:left w:val="nil"/>
              <w:bottom w:val="single" w:sz="6" w:space="0" w:color="auto"/>
              <w:right w:val="nil"/>
            </w:tcBorders>
          </w:tcPr>
          <w:p w:rsidR="00BD3051" w:rsidRPr="00BD3051" w:rsidRDefault="00BD3051" w:rsidP="00BD3051">
            <w:pPr>
              <w:spacing w:after="0"/>
              <w:ind w:firstLine="0"/>
              <w:jc w:val="center"/>
            </w:pPr>
            <w:r w:rsidRPr="00BD3051">
              <w:t>YES</w:t>
            </w:r>
          </w:p>
        </w:tc>
        <w:tc>
          <w:tcPr>
            <w:tcW w:w="1440" w:type="dxa"/>
            <w:tcBorders>
              <w:top w:val="nil"/>
              <w:left w:val="nil"/>
              <w:bottom w:val="single" w:sz="6" w:space="0" w:color="auto"/>
              <w:right w:val="nil"/>
            </w:tcBorders>
          </w:tcPr>
          <w:p w:rsidR="00BD3051" w:rsidRPr="00BD3051" w:rsidRDefault="00BD3051" w:rsidP="00BD3051">
            <w:pPr>
              <w:spacing w:after="0"/>
              <w:ind w:firstLine="0"/>
              <w:jc w:val="center"/>
            </w:pPr>
            <w:r w:rsidRPr="00BD3051">
              <w:t>YES</w:t>
            </w:r>
          </w:p>
        </w:tc>
        <w:tc>
          <w:tcPr>
            <w:tcW w:w="1440" w:type="dxa"/>
            <w:tcBorders>
              <w:top w:val="nil"/>
              <w:left w:val="nil"/>
              <w:bottom w:val="single" w:sz="6" w:space="0" w:color="auto"/>
              <w:right w:val="nil"/>
            </w:tcBorders>
          </w:tcPr>
          <w:p w:rsidR="00BD3051" w:rsidRPr="00BD3051" w:rsidRDefault="00BD3051" w:rsidP="00BD3051">
            <w:pPr>
              <w:spacing w:after="0"/>
              <w:ind w:firstLine="0"/>
              <w:jc w:val="center"/>
            </w:pPr>
            <w:r w:rsidRPr="00BD3051">
              <w:t>YES</w:t>
            </w:r>
          </w:p>
        </w:tc>
        <w:tc>
          <w:tcPr>
            <w:tcW w:w="1440" w:type="dxa"/>
            <w:tcBorders>
              <w:top w:val="nil"/>
              <w:left w:val="nil"/>
              <w:bottom w:val="single" w:sz="6" w:space="0" w:color="auto"/>
              <w:right w:val="nil"/>
            </w:tcBorders>
          </w:tcPr>
          <w:p w:rsidR="00BD3051" w:rsidRPr="00BD3051" w:rsidRDefault="00BD3051" w:rsidP="00BD3051">
            <w:pPr>
              <w:spacing w:after="0"/>
              <w:ind w:firstLine="0"/>
              <w:jc w:val="center"/>
            </w:pPr>
            <w:r w:rsidRPr="00BD3051">
              <w:t>YES</w:t>
            </w:r>
          </w:p>
        </w:tc>
      </w:tr>
    </w:tbl>
    <w:p w:rsidR="00BD3051" w:rsidRPr="00BD3051" w:rsidRDefault="00BD3051" w:rsidP="00BD3051">
      <w:pPr>
        <w:spacing w:after="0"/>
        <w:ind w:firstLine="0"/>
      </w:pPr>
    </w:p>
    <w:p w:rsidR="00BD3051" w:rsidRPr="00BD3051" w:rsidRDefault="00BD3051" w:rsidP="00BD3051">
      <w:pPr>
        <w:widowControl w:val="0"/>
        <w:autoSpaceDE w:val="0"/>
        <w:autoSpaceDN w:val="0"/>
        <w:adjustRightInd w:val="0"/>
        <w:spacing w:after="0"/>
        <w:ind w:firstLine="0"/>
        <w:rPr>
          <w:rFonts w:cs="Times New Roman"/>
          <w:szCs w:val="24"/>
        </w:rPr>
      </w:pPr>
      <w:proofErr w:type="spellStart"/>
      <w:proofErr w:type="gramStart"/>
      <w:r w:rsidRPr="00BD3051">
        <w:rPr>
          <w:rFonts w:cs="Times New Roman"/>
          <w:szCs w:val="24"/>
        </w:rPr>
        <w:t>n.b</w:t>
      </w:r>
      <w:proofErr w:type="gramEnd"/>
      <w:r w:rsidRPr="00BD3051">
        <w:rPr>
          <w:rFonts w:cs="Times New Roman"/>
          <w:szCs w:val="24"/>
        </w:rPr>
        <w:t>.</w:t>
      </w:r>
      <w:proofErr w:type="spellEnd"/>
      <w:r w:rsidRPr="00BD3051">
        <w:rPr>
          <w:rFonts w:cs="Times New Roman"/>
          <w:szCs w:val="24"/>
        </w:rPr>
        <w:t xml:space="preserve"> Dependent variable is Provincial GDP Growth – Electricity Consumption Growth, annual data from 2000 to 2009.</w:t>
      </w:r>
      <w:r w:rsidRPr="00BD3051">
        <w:rPr>
          <w:rFonts w:ascii="Times New Roman" w:hAnsi="Times New Roman" w:cs="Times New Roman"/>
          <w:szCs w:val="24"/>
        </w:rPr>
        <w:t xml:space="preserve"> </w:t>
      </w:r>
      <w:proofErr w:type="gramStart"/>
      <w:r w:rsidRPr="00BD3051">
        <w:rPr>
          <w:rFonts w:cs="Times New Roman"/>
          <w:szCs w:val="24"/>
        </w:rPr>
        <w:t>Robust standard errors in parentheses *** p&lt;0.01, ** p&lt;0.05, * p&lt;0.1.</w:t>
      </w:r>
      <w:proofErr w:type="gramEnd"/>
      <w:r w:rsidRPr="00BD3051">
        <w:rPr>
          <w:rFonts w:cs="Times New Roman"/>
          <w:szCs w:val="24"/>
        </w:rPr>
        <w:t xml:space="preserve"> Only 30 provinces are included as Tibet is omitted due to missing electricity consumption data. </w:t>
      </w:r>
    </w:p>
    <w:p w:rsidR="00BD3051" w:rsidRPr="00BD3051" w:rsidRDefault="00BD3051" w:rsidP="00BD3051">
      <w:pPr>
        <w:spacing w:after="0"/>
        <w:ind w:firstLine="0"/>
        <w:rPr>
          <w:rFonts w:cs="URW Palladio L"/>
          <w:color w:val="000000"/>
          <w:szCs w:val="23"/>
        </w:rPr>
      </w:pPr>
      <w:r w:rsidRPr="00BD3051">
        <w:br w:type="page"/>
      </w:r>
    </w:p>
    <w:p w:rsidR="00BD3051" w:rsidRPr="00BD3051" w:rsidRDefault="00BD3051" w:rsidP="00BD3051">
      <w:pPr>
        <w:ind w:firstLine="0"/>
        <w:rPr>
          <w:rFonts w:cs="URW Palladio L"/>
          <w:color w:val="000000"/>
          <w:szCs w:val="23"/>
        </w:rPr>
      </w:pPr>
      <w:proofErr w:type="gramStart"/>
      <w:r w:rsidRPr="00BD3051">
        <w:rPr>
          <w:rFonts w:cs="URW Palladio L"/>
          <w:color w:val="000000"/>
          <w:szCs w:val="23"/>
        </w:rPr>
        <w:lastRenderedPageBreak/>
        <w:t>Appendix Table 7.</w:t>
      </w:r>
      <w:proofErr w:type="gramEnd"/>
      <w:r w:rsidRPr="00BD3051">
        <w:rPr>
          <w:rFonts w:cs="URW Palladio L"/>
          <w:color w:val="000000"/>
          <w:szCs w:val="23"/>
        </w:rPr>
        <w:t xml:space="preserve"> Results Robust to Dropping Officials Aged 65+</w:t>
      </w:r>
    </w:p>
    <w:tbl>
      <w:tblPr>
        <w:tblW w:w="0" w:type="auto"/>
        <w:jc w:val="center"/>
        <w:tblLayout w:type="fixed"/>
        <w:tblCellMar>
          <w:left w:w="75" w:type="dxa"/>
          <w:right w:w="75" w:type="dxa"/>
        </w:tblCellMar>
        <w:tblLook w:val="0000" w:firstRow="0" w:lastRow="0" w:firstColumn="0" w:lastColumn="0" w:noHBand="0" w:noVBand="0"/>
      </w:tblPr>
      <w:tblGrid>
        <w:gridCol w:w="2592"/>
        <w:gridCol w:w="1584"/>
        <w:gridCol w:w="1584"/>
        <w:gridCol w:w="1584"/>
        <w:gridCol w:w="1584"/>
      </w:tblGrid>
      <w:tr w:rsidR="00BD3051" w:rsidRPr="00BD3051" w:rsidTr="006C11ED">
        <w:trPr>
          <w:jc w:val="center"/>
        </w:trPr>
        <w:tc>
          <w:tcPr>
            <w:tcW w:w="2592"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584"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Model A7.1</w:t>
            </w:r>
          </w:p>
        </w:tc>
        <w:tc>
          <w:tcPr>
            <w:tcW w:w="1584"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 xml:space="preserve">Model A7.2 </w:t>
            </w:r>
          </w:p>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No 65+ Officials</w:t>
            </w:r>
          </w:p>
        </w:tc>
        <w:tc>
          <w:tcPr>
            <w:tcW w:w="1584"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Model A7.3</w:t>
            </w:r>
          </w:p>
        </w:tc>
        <w:tc>
          <w:tcPr>
            <w:tcW w:w="1584"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 xml:space="preserve">Model A7.4 </w:t>
            </w:r>
          </w:p>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No 65+ Officials</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Turnover</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1.02*</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1.02*</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1.01*</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1.21**</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(0.52)</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(0.55)</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(0.53)</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(0.55)</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Industry  Growth</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-0.22***</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-0.18***</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(0.07)</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(0.07)</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GDP per capita</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10.07***</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1.91**</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 xml:space="preserve">  (logged)</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(2.43)</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(0.76)</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Service Share</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-7.10</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-3.27</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 xml:space="preserve">  (% of GDP)</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(5.92)</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(5.98)</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Young Leader</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-2.16</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-2.28*</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(1.31)</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(1.26)</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65+ Leader</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-0.72</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(0.96)</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Constant</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-0.79</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-0.81</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-63.50**</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3.97</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(0.96)</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(0.99)</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(24.29)</w:t>
            </w:r>
          </w:p>
        </w:tc>
        <w:tc>
          <w:tcPr>
            <w:tcW w:w="1584" w:type="dxa"/>
            <w:tcBorders>
              <w:top w:val="nil"/>
              <w:left w:val="nil"/>
              <w:bottom w:val="nil"/>
              <w:right w:val="nil"/>
            </w:tcBorders>
          </w:tcPr>
          <w:p w:rsidR="00BD3051" w:rsidRPr="00BD3051" w:rsidRDefault="00BD3051" w:rsidP="00BD3051">
            <w:pPr>
              <w:widowControl w:val="0"/>
              <w:tabs>
                <w:tab w:val="decimal" w:pos="703"/>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(9.28)</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Observations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299</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282</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299</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282</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R-squared</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0.27</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0.29</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0.31</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0.31</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Number of Provinces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Province FE</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584"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NO</w:t>
            </w:r>
          </w:p>
        </w:tc>
      </w:tr>
      <w:tr w:rsidR="00BD3051" w:rsidRPr="00BD3051" w:rsidTr="006C11ED">
        <w:tblPrEx>
          <w:tblBorders>
            <w:bottom w:val="single" w:sz="6" w:space="0" w:color="auto"/>
          </w:tblBorders>
        </w:tblPrEx>
        <w:trPr>
          <w:jc w:val="center"/>
        </w:trPr>
        <w:tc>
          <w:tcPr>
            <w:tcW w:w="2592"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Year FE</w:t>
            </w:r>
          </w:p>
        </w:tc>
        <w:tc>
          <w:tcPr>
            <w:tcW w:w="1584"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584"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584"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584"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r>
    </w:tbl>
    <w:p w:rsidR="00BD3051" w:rsidRPr="00BD3051" w:rsidRDefault="00BD3051" w:rsidP="00BD3051">
      <w:pPr>
        <w:ind w:firstLine="0"/>
        <w:jc w:val="center"/>
        <w:rPr>
          <w:rFonts w:ascii="Times New Roman" w:hAnsi="Times New Roman" w:cs="Times New Roman"/>
          <w:color w:val="000000"/>
          <w:szCs w:val="24"/>
        </w:rPr>
      </w:pPr>
    </w:p>
    <w:p w:rsidR="00BD3051" w:rsidRPr="00BD3051" w:rsidRDefault="00BD3051" w:rsidP="00BD3051">
      <w:pPr>
        <w:widowControl w:val="0"/>
        <w:autoSpaceDE w:val="0"/>
        <w:autoSpaceDN w:val="0"/>
        <w:adjustRightInd w:val="0"/>
        <w:spacing w:after="0"/>
        <w:ind w:firstLine="0"/>
        <w:rPr>
          <w:rFonts w:cs="Times New Roman"/>
          <w:szCs w:val="24"/>
        </w:rPr>
      </w:pPr>
      <w:proofErr w:type="spellStart"/>
      <w:proofErr w:type="gramStart"/>
      <w:r w:rsidRPr="00BD3051">
        <w:rPr>
          <w:rFonts w:cs="Times New Roman"/>
          <w:szCs w:val="24"/>
        </w:rPr>
        <w:t>n.b</w:t>
      </w:r>
      <w:proofErr w:type="gramEnd"/>
      <w:r w:rsidRPr="00BD3051">
        <w:rPr>
          <w:rFonts w:cs="Times New Roman"/>
          <w:szCs w:val="24"/>
        </w:rPr>
        <w:t>.</w:t>
      </w:r>
      <w:proofErr w:type="spellEnd"/>
      <w:r w:rsidRPr="00BD3051">
        <w:rPr>
          <w:rFonts w:cs="Times New Roman"/>
          <w:szCs w:val="24"/>
        </w:rPr>
        <w:t xml:space="preserve"> Dependent variable is Provincial GDP Growth – Electricity Consumption Growth, annual data from 2000 to 2009.</w:t>
      </w:r>
      <w:r w:rsidRPr="00BD3051">
        <w:rPr>
          <w:rFonts w:ascii="Times New Roman" w:hAnsi="Times New Roman" w:cs="Times New Roman"/>
          <w:szCs w:val="24"/>
        </w:rPr>
        <w:t xml:space="preserve"> </w:t>
      </w:r>
      <w:proofErr w:type="gramStart"/>
      <w:r w:rsidRPr="00BD3051">
        <w:rPr>
          <w:rFonts w:cs="Times New Roman"/>
          <w:szCs w:val="24"/>
        </w:rPr>
        <w:t>Robust standard errors in parentheses *** p&lt;0.01, ** p&lt;0.05, * p&lt;0.1.</w:t>
      </w:r>
      <w:proofErr w:type="gramEnd"/>
      <w:r w:rsidRPr="00BD3051">
        <w:rPr>
          <w:rFonts w:cs="Times New Roman"/>
          <w:szCs w:val="24"/>
        </w:rPr>
        <w:t xml:space="preserve"> Only 30 provinces are included as Tibet is omitted due to missing electricity consumption data. </w:t>
      </w:r>
    </w:p>
    <w:p w:rsidR="00BD3051" w:rsidRPr="00BD3051" w:rsidRDefault="00BD3051" w:rsidP="00BD3051">
      <w:pPr>
        <w:ind w:firstLine="0"/>
        <w:rPr>
          <w:rFonts w:cs="URW Palladio L"/>
          <w:color w:val="000000"/>
          <w:szCs w:val="23"/>
        </w:rPr>
      </w:pPr>
    </w:p>
    <w:p w:rsidR="00BD3051" w:rsidRPr="00BD3051" w:rsidRDefault="00BD3051" w:rsidP="00BD3051">
      <w:pPr>
        <w:spacing w:line="480" w:lineRule="auto"/>
      </w:pPr>
      <w:r w:rsidRPr="00BD3051">
        <w:br w:type="page"/>
      </w:r>
    </w:p>
    <w:p w:rsidR="00BD3051" w:rsidRPr="00BD3051" w:rsidRDefault="00BD3051" w:rsidP="00BD3051">
      <w:pPr>
        <w:ind w:firstLine="0"/>
        <w:rPr>
          <w:rFonts w:cs="URW Palladio L"/>
          <w:color w:val="000000"/>
          <w:szCs w:val="23"/>
        </w:rPr>
      </w:pPr>
      <w:proofErr w:type="gramStart"/>
      <w:r w:rsidRPr="00BD3051">
        <w:rPr>
          <w:rFonts w:cs="URW Palladio L"/>
          <w:color w:val="000000"/>
          <w:szCs w:val="23"/>
        </w:rPr>
        <w:lastRenderedPageBreak/>
        <w:t>Appendix Table 8.</w:t>
      </w:r>
      <w:proofErr w:type="gramEnd"/>
      <w:r w:rsidRPr="00BD3051">
        <w:rPr>
          <w:rFonts w:cs="URW Palladio L"/>
          <w:color w:val="000000"/>
          <w:szCs w:val="23"/>
        </w:rPr>
        <w:t xml:space="preserve"> Results Robust to Including Age</w:t>
      </w:r>
    </w:p>
    <w:p w:rsidR="00BD3051" w:rsidRPr="00BD3051" w:rsidRDefault="00BD3051" w:rsidP="00BD3051">
      <w:pPr>
        <w:widowControl w:val="0"/>
        <w:autoSpaceDE w:val="0"/>
        <w:autoSpaceDN w:val="0"/>
        <w:adjustRightInd w:val="0"/>
        <w:spacing w:after="0"/>
        <w:ind w:firstLine="0"/>
      </w:pPr>
    </w:p>
    <w:tbl>
      <w:tblPr>
        <w:tblW w:w="0" w:type="auto"/>
        <w:jc w:val="center"/>
        <w:tblLayout w:type="fixed"/>
        <w:tblCellMar>
          <w:left w:w="75" w:type="dxa"/>
          <w:right w:w="75" w:type="dxa"/>
        </w:tblCellMar>
        <w:tblLook w:val="0000" w:firstRow="0" w:lastRow="0" w:firstColumn="0" w:lastColumn="0" w:noHBand="0" w:noVBand="0"/>
      </w:tblPr>
      <w:tblGrid>
        <w:gridCol w:w="2592"/>
        <w:gridCol w:w="1296"/>
        <w:gridCol w:w="1296"/>
        <w:gridCol w:w="1296"/>
        <w:gridCol w:w="1296"/>
      </w:tblGrid>
      <w:tr w:rsidR="00BD3051" w:rsidRPr="00BD3051" w:rsidTr="006C11ED">
        <w:trPr>
          <w:jc w:val="center"/>
        </w:trPr>
        <w:tc>
          <w:tcPr>
            <w:tcW w:w="2592"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Model A8.1</w:t>
            </w:r>
          </w:p>
        </w:tc>
        <w:tc>
          <w:tcPr>
            <w:tcW w:w="1296"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Model A8.2</w:t>
            </w:r>
          </w:p>
        </w:tc>
        <w:tc>
          <w:tcPr>
            <w:tcW w:w="1296"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Model A8.3</w:t>
            </w:r>
          </w:p>
        </w:tc>
        <w:tc>
          <w:tcPr>
            <w:tcW w:w="1296" w:type="dxa"/>
            <w:tcBorders>
              <w:top w:val="single" w:sz="4" w:space="0" w:color="auto"/>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Model A8.4</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Turnover</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1.16*</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1.12**</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1.07*</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1.13**</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(0.60)</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(0.54)</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(0.61)</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(0.54)</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Average Age</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1.51</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(2.49)</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vertAlign w:val="superscript"/>
              </w:rPr>
            </w:pPr>
            <w:r w:rsidRPr="00BD3051">
              <w:rPr>
                <w:rFonts w:ascii="Times New Roman" w:hAnsi="Times New Roman" w:cs="Times New Roman"/>
                <w:szCs w:val="24"/>
              </w:rPr>
              <w:t>(Average Age)</w:t>
            </w:r>
            <w:r w:rsidRPr="00BD3051">
              <w:rPr>
                <w:rFonts w:ascii="Times New Roman" w:hAnsi="Times New Roman" w:cs="Times New Roman"/>
                <w:szCs w:val="24"/>
                <w:vertAlign w:val="superscript"/>
              </w:rPr>
              <w:t>2</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-0.01</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(0.02)</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Party Secretary’s Age</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0.07</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(0.09)</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Governor’s Age</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0.02</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(0.09)</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65+ Leader</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-1.06</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(1.11)</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Young Leader</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-2.52*</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(1.46)</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Constant</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-46.37</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-4.72</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-2.06</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-0.65</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(70.95)</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(5.60)</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(5.26)</w:t>
            </w:r>
          </w:p>
        </w:tc>
        <w:tc>
          <w:tcPr>
            <w:tcW w:w="1296" w:type="dxa"/>
            <w:tcBorders>
              <w:top w:val="nil"/>
              <w:left w:val="nil"/>
              <w:bottom w:val="nil"/>
              <w:right w:val="nil"/>
            </w:tcBorders>
          </w:tcPr>
          <w:p w:rsidR="00BD3051" w:rsidRPr="00BD3051" w:rsidRDefault="00BD3051" w:rsidP="00BD3051">
            <w:pPr>
              <w:widowControl w:val="0"/>
              <w:tabs>
                <w:tab w:val="decimal" w:pos="562"/>
              </w:tabs>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(0.96)</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Observations</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299</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299</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299</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299</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R-squared</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0.27</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0.27</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0.27</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0.28</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Number of Provinces</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30</w:t>
            </w:r>
          </w:p>
        </w:tc>
      </w:tr>
      <w:tr w:rsidR="00BD3051" w:rsidRPr="00BD3051" w:rsidTr="006C11ED">
        <w:trPr>
          <w:jc w:val="center"/>
        </w:trPr>
        <w:tc>
          <w:tcPr>
            <w:tcW w:w="2592"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Province FE</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296" w:type="dxa"/>
            <w:tcBorders>
              <w:top w:val="nil"/>
              <w:left w:val="nil"/>
              <w:bottom w:val="nil"/>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r>
      <w:tr w:rsidR="00BD3051" w:rsidRPr="00BD3051" w:rsidTr="006C11ED">
        <w:tblPrEx>
          <w:tblBorders>
            <w:bottom w:val="single" w:sz="6" w:space="0" w:color="auto"/>
          </w:tblBorders>
        </w:tblPrEx>
        <w:trPr>
          <w:jc w:val="center"/>
        </w:trPr>
        <w:tc>
          <w:tcPr>
            <w:tcW w:w="2592"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rPr>
                <w:rFonts w:ascii="Times New Roman" w:hAnsi="Times New Roman" w:cs="Times New Roman"/>
                <w:szCs w:val="24"/>
              </w:rPr>
            </w:pPr>
            <w:r w:rsidRPr="00BD3051">
              <w:rPr>
                <w:rFonts w:ascii="Times New Roman" w:hAnsi="Times New Roman" w:cs="Times New Roman"/>
                <w:szCs w:val="24"/>
              </w:rPr>
              <w:t>Year FE</w:t>
            </w:r>
          </w:p>
        </w:tc>
        <w:tc>
          <w:tcPr>
            <w:tcW w:w="1296"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296"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296"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c>
          <w:tcPr>
            <w:tcW w:w="1296" w:type="dxa"/>
            <w:tcBorders>
              <w:top w:val="nil"/>
              <w:left w:val="nil"/>
              <w:bottom w:val="single" w:sz="6" w:space="0" w:color="auto"/>
              <w:right w:val="nil"/>
            </w:tcBorders>
          </w:tcPr>
          <w:p w:rsidR="00BD3051" w:rsidRPr="00BD3051" w:rsidRDefault="00BD3051" w:rsidP="00BD3051">
            <w:pPr>
              <w:widowControl w:val="0"/>
              <w:autoSpaceDE w:val="0"/>
              <w:autoSpaceDN w:val="0"/>
              <w:adjustRightInd w:val="0"/>
              <w:spacing w:after="0"/>
              <w:ind w:firstLine="0"/>
              <w:jc w:val="center"/>
              <w:rPr>
                <w:rFonts w:ascii="Times New Roman" w:hAnsi="Times New Roman" w:cs="Times New Roman"/>
                <w:szCs w:val="24"/>
              </w:rPr>
            </w:pPr>
            <w:r w:rsidRPr="00BD3051">
              <w:rPr>
                <w:rFonts w:ascii="Times New Roman" w:hAnsi="Times New Roman" w:cs="Times New Roman"/>
                <w:szCs w:val="24"/>
              </w:rPr>
              <w:t>YES</w:t>
            </w:r>
          </w:p>
        </w:tc>
      </w:tr>
    </w:tbl>
    <w:p w:rsidR="00BD3051" w:rsidRPr="00BD3051" w:rsidRDefault="00BD3051" w:rsidP="00BD3051">
      <w:pPr>
        <w:spacing w:after="0"/>
        <w:ind w:firstLine="0"/>
        <w:rPr>
          <w:rFonts w:ascii="Times New Roman" w:hAnsi="Times New Roman" w:cs="Times New Roman"/>
          <w:szCs w:val="24"/>
        </w:rPr>
      </w:pPr>
    </w:p>
    <w:p w:rsidR="00BD3051" w:rsidRPr="00BD3051" w:rsidRDefault="00BD3051" w:rsidP="00BD3051">
      <w:pPr>
        <w:widowControl w:val="0"/>
        <w:autoSpaceDE w:val="0"/>
        <w:autoSpaceDN w:val="0"/>
        <w:adjustRightInd w:val="0"/>
        <w:spacing w:after="0"/>
        <w:ind w:firstLine="0"/>
        <w:rPr>
          <w:rFonts w:cs="Times New Roman"/>
          <w:szCs w:val="24"/>
        </w:rPr>
      </w:pPr>
      <w:proofErr w:type="spellStart"/>
      <w:proofErr w:type="gramStart"/>
      <w:r w:rsidRPr="00BD3051">
        <w:rPr>
          <w:rFonts w:cs="Times New Roman"/>
          <w:szCs w:val="24"/>
        </w:rPr>
        <w:t>n.b</w:t>
      </w:r>
      <w:proofErr w:type="gramEnd"/>
      <w:r w:rsidRPr="00BD3051">
        <w:rPr>
          <w:rFonts w:cs="Times New Roman"/>
          <w:szCs w:val="24"/>
        </w:rPr>
        <w:t>.</w:t>
      </w:r>
      <w:proofErr w:type="spellEnd"/>
      <w:r w:rsidRPr="00BD3051">
        <w:rPr>
          <w:rFonts w:cs="Times New Roman"/>
          <w:szCs w:val="24"/>
        </w:rPr>
        <w:t xml:space="preserve"> Dependent variable is Provincial GDP Growth – Electricity Consumption Growth, annual data from 2000 to 2009.</w:t>
      </w:r>
      <w:r w:rsidRPr="00BD3051">
        <w:rPr>
          <w:rFonts w:ascii="Times New Roman" w:hAnsi="Times New Roman" w:cs="Times New Roman"/>
          <w:szCs w:val="24"/>
        </w:rPr>
        <w:t xml:space="preserve"> </w:t>
      </w:r>
      <w:proofErr w:type="gramStart"/>
      <w:r w:rsidRPr="00BD3051">
        <w:rPr>
          <w:rFonts w:cs="Times New Roman"/>
          <w:szCs w:val="24"/>
        </w:rPr>
        <w:t>Robust standard errors in parentheses *** p&lt;0.01, ** p&lt;0.05, * p&lt;0.1.</w:t>
      </w:r>
      <w:proofErr w:type="gramEnd"/>
      <w:r w:rsidRPr="00BD3051">
        <w:rPr>
          <w:rFonts w:cs="Times New Roman"/>
          <w:szCs w:val="24"/>
        </w:rPr>
        <w:t xml:space="preserve"> Only 30 provinces are included as Tibet is omitted due to missing electricity consumption data. </w:t>
      </w:r>
    </w:p>
    <w:p w:rsidR="00BD3051" w:rsidRPr="00BD3051" w:rsidRDefault="00BD3051" w:rsidP="00BD3051">
      <w:pPr>
        <w:spacing w:after="0"/>
        <w:ind w:firstLine="0"/>
        <w:rPr>
          <w:rFonts w:cs="URW Palladio L"/>
          <w:color w:val="000000"/>
          <w:szCs w:val="23"/>
        </w:rPr>
      </w:pPr>
      <w:r w:rsidRPr="00BD3051">
        <w:rPr>
          <w:rFonts w:ascii="Times New Roman" w:hAnsi="Times New Roman" w:cs="Times New Roman"/>
          <w:szCs w:val="24"/>
        </w:rPr>
        <w:t xml:space="preserve"> </w:t>
      </w:r>
    </w:p>
    <w:p w:rsidR="00BD3051" w:rsidRPr="00BD3051" w:rsidRDefault="00BD3051" w:rsidP="00BD3051">
      <w:pPr>
        <w:ind w:firstLine="0"/>
        <w:rPr>
          <w:rFonts w:cs="URW Palladio L"/>
          <w:color w:val="000000"/>
          <w:szCs w:val="23"/>
        </w:rPr>
      </w:pPr>
    </w:p>
    <w:p w:rsidR="00BD3051" w:rsidRPr="00BD3051" w:rsidRDefault="00BD3051" w:rsidP="00BD3051">
      <w:pPr>
        <w:spacing w:line="480" w:lineRule="auto"/>
      </w:pPr>
      <w:r w:rsidRPr="00BD3051">
        <w:br w:type="page"/>
      </w:r>
    </w:p>
    <w:p w:rsidR="00BD3051" w:rsidRPr="00BD3051" w:rsidRDefault="00BD3051" w:rsidP="00BD3051">
      <w:pPr>
        <w:spacing w:line="480" w:lineRule="auto"/>
        <w:ind w:firstLine="0"/>
      </w:pPr>
      <w:proofErr w:type="gramStart"/>
      <w:r w:rsidRPr="00BD3051">
        <w:lastRenderedPageBreak/>
        <w:t>Appendix Figure 1.</w:t>
      </w:r>
      <w:proofErr w:type="gramEnd"/>
      <w:r w:rsidRPr="00BD3051">
        <w:t xml:space="preserve"> Continuity in Chinese Electricity Production &amp; Gross Output Data</w:t>
      </w:r>
    </w:p>
    <w:p w:rsidR="00BD3051" w:rsidRPr="00BD3051" w:rsidRDefault="00BD3051" w:rsidP="00BD3051">
      <w:pPr>
        <w:spacing w:line="480" w:lineRule="auto"/>
        <w:ind w:firstLine="0"/>
      </w:pPr>
      <w:r w:rsidRPr="00BD3051">
        <w:rPr>
          <w:noProof/>
        </w:rPr>
        <w:drawing>
          <wp:inline distT="0" distB="0" distL="0" distR="0" wp14:anchorId="34E05DDA" wp14:editId="1E7D3BE7">
            <wp:extent cx="5943600" cy="4323594"/>
            <wp:effectExtent l="0" t="0" r="0" b="1270"/>
            <wp:docPr id="3" name="Picture 3" descr="C:\Users\jw799\Documents\Papers\Juking the Stats\Data\Diverge\monthl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799\Documents\Papers\Juking the Stats\Data\Diverge\monthly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23594"/>
                    </a:xfrm>
                    <a:prstGeom prst="rect">
                      <a:avLst/>
                    </a:prstGeom>
                    <a:noFill/>
                    <a:ln>
                      <a:noFill/>
                    </a:ln>
                  </pic:spPr>
                </pic:pic>
              </a:graphicData>
            </a:graphic>
          </wp:inline>
        </w:drawing>
      </w:r>
      <w:r w:rsidRPr="00BD3051">
        <w:br w:type="page"/>
      </w:r>
    </w:p>
    <w:p w:rsidR="00BD3051" w:rsidRPr="00BD3051" w:rsidRDefault="00BD3051" w:rsidP="00BD3051">
      <w:pPr>
        <w:spacing w:line="480" w:lineRule="auto"/>
        <w:ind w:firstLine="0"/>
      </w:pPr>
      <w:proofErr w:type="gramStart"/>
      <w:r w:rsidRPr="00BD3051">
        <w:lastRenderedPageBreak/>
        <w:t>Appendix Figure 2.</w:t>
      </w:r>
      <w:proofErr w:type="gramEnd"/>
      <w:r w:rsidRPr="00BD3051">
        <w:t xml:space="preserve"> Exports Drop Precipitously in the Second Half of 2008</w:t>
      </w:r>
    </w:p>
    <w:p w:rsidR="00BD3051" w:rsidRPr="00BD3051" w:rsidRDefault="00BD3051" w:rsidP="00BD3051">
      <w:pPr>
        <w:spacing w:line="480" w:lineRule="auto"/>
        <w:ind w:firstLine="0"/>
      </w:pPr>
      <w:r w:rsidRPr="00BD3051">
        <w:rPr>
          <w:noProof/>
        </w:rPr>
        <w:drawing>
          <wp:inline distT="0" distB="0" distL="0" distR="0" wp14:anchorId="72DDF8B4" wp14:editId="489B0BC0">
            <wp:extent cx="5943600"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s3mma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19905"/>
                    </a:xfrm>
                    <a:prstGeom prst="rect">
                      <a:avLst/>
                    </a:prstGeom>
                  </pic:spPr>
                </pic:pic>
              </a:graphicData>
            </a:graphic>
          </wp:inline>
        </w:drawing>
      </w:r>
    </w:p>
    <w:p w:rsidR="00BD3051" w:rsidRPr="00BD3051" w:rsidRDefault="00BD3051" w:rsidP="00BD3051">
      <w:pPr>
        <w:ind w:firstLine="0"/>
        <w:rPr>
          <w:rFonts w:cs="URW Palladio L"/>
          <w:color w:val="000000"/>
          <w:szCs w:val="23"/>
        </w:rPr>
      </w:pPr>
    </w:p>
    <w:p w:rsidR="00BD3051" w:rsidRPr="00BD3051" w:rsidRDefault="00BD3051" w:rsidP="00BD3051">
      <w:pPr>
        <w:ind w:firstLine="0"/>
        <w:rPr>
          <w:rFonts w:cs="URW Palladio L"/>
          <w:color w:val="000000"/>
          <w:szCs w:val="23"/>
        </w:rPr>
      </w:pPr>
      <w:proofErr w:type="spellStart"/>
      <w:proofErr w:type="gramStart"/>
      <w:r w:rsidRPr="00BD3051">
        <w:rPr>
          <w:rFonts w:cs="URW Palladio L"/>
          <w:color w:val="000000"/>
          <w:szCs w:val="23"/>
        </w:rPr>
        <w:t>n.b</w:t>
      </w:r>
      <w:proofErr w:type="gramEnd"/>
      <w:r w:rsidRPr="00BD3051">
        <w:rPr>
          <w:rFonts w:cs="URW Palladio L"/>
          <w:color w:val="000000"/>
          <w:szCs w:val="23"/>
        </w:rPr>
        <w:t>.</w:t>
      </w:r>
      <w:proofErr w:type="spellEnd"/>
      <w:r w:rsidRPr="00BD3051">
        <w:rPr>
          <w:rFonts w:cs="URW Palladio L"/>
          <w:color w:val="000000"/>
          <w:szCs w:val="23"/>
        </w:rPr>
        <w:t xml:space="preserve"> </w:t>
      </w:r>
      <w:r w:rsidRPr="00BD3051">
        <w:rPr>
          <w:rFonts w:cs="URW Palladio L"/>
          <w:i/>
          <w:iCs/>
          <w:color w:val="000000"/>
          <w:szCs w:val="23"/>
        </w:rPr>
        <w:t>Levels</w:t>
      </w:r>
      <w:r w:rsidRPr="00BD3051">
        <w:rPr>
          <w:rFonts w:cs="URW Palladio L"/>
          <w:color w:val="000000"/>
          <w:szCs w:val="23"/>
        </w:rPr>
        <w:t xml:space="preserve">—not growth—of Exports. </w:t>
      </w:r>
      <w:proofErr w:type="gramStart"/>
      <w:r w:rsidRPr="00BD3051">
        <w:rPr>
          <w:rFonts w:cs="URW Palladio L"/>
          <w:color w:val="000000"/>
          <w:szCs w:val="23"/>
        </w:rPr>
        <w:t>Data from the National Bureau of Statistics.</w:t>
      </w:r>
      <w:proofErr w:type="gramEnd"/>
      <w:r w:rsidRPr="00BD3051">
        <w:rPr>
          <w:rFonts w:cs="URW Palladio L"/>
          <w:color w:val="000000"/>
          <w:szCs w:val="23"/>
        </w:rPr>
        <w:t xml:space="preserve"> The line represents a 3-month moving average while the actual values are plotted.</w:t>
      </w:r>
      <w:r w:rsidRPr="00BD3051">
        <w:rPr>
          <w:rFonts w:cs="URW Palladio L"/>
          <w:color w:val="000000"/>
          <w:szCs w:val="23"/>
        </w:rPr>
        <w:br w:type="page"/>
      </w:r>
    </w:p>
    <w:p w:rsidR="00BD3051" w:rsidRPr="00BD3051" w:rsidRDefault="00BD3051" w:rsidP="00BD3051">
      <w:pPr>
        <w:spacing w:line="480" w:lineRule="auto"/>
        <w:ind w:firstLine="0"/>
      </w:pPr>
      <w:proofErr w:type="gramStart"/>
      <w:r w:rsidRPr="00BD3051">
        <w:lastRenderedPageBreak/>
        <w:t>Appendix Figure 3.</w:t>
      </w:r>
      <w:proofErr w:type="gramEnd"/>
      <w:r w:rsidRPr="00BD3051">
        <w:t xml:space="preserve"> Rail Freight Traffic Also Declines in 2008 </w:t>
      </w:r>
      <w:r w:rsidRPr="00BD3051">
        <w:rPr>
          <w:i/>
        </w:rPr>
        <w:t>Q</w:t>
      </w:r>
      <w:r w:rsidRPr="00BD3051">
        <w:t>4</w:t>
      </w:r>
    </w:p>
    <w:p w:rsidR="00BD3051" w:rsidRPr="00BD3051" w:rsidRDefault="00BD3051" w:rsidP="00BD3051">
      <w:pPr>
        <w:spacing w:line="480" w:lineRule="auto"/>
        <w:ind w:firstLine="0"/>
      </w:pPr>
      <w:r w:rsidRPr="00BD3051">
        <w:rPr>
          <w:noProof/>
        </w:rPr>
        <w:drawing>
          <wp:inline distT="0" distB="0" distL="0" distR="0" wp14:anchorId="7A9F5363" wp14:editId="4D4EF6F3">
            <wp:extent cx="5943600" cy="4319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6mma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19905"/>
                    </a:xfrm>
                    <a:prstGeom prst="rect">
                      <a:avLst/>
                    </a:prstGeom>
                  </pic:spPr>
                </pic:pic>
              </a:graphicData>
            </a:graphic>
          </wp:inline>
        </w:drawing>
      </w:r>
    </w:p>
    <w:p w:rsidR="00BD3051" w:rsidRPr="00BD3051" w:rsidRDefault="00BD3051" w:rsidP="00BD3051">
      <w:pPr>
        <w:ind w:firstLine="0"/>
        <w:rPr>
          <w:rFonts w:cs="URW Palladio L"/>
          <w:color w:val="000000"/>
          <w:szCs w:val="23"/>
        </w:rPr>
      </w:pPr>
    </w:p>
    <w:p w:rsidR="00BD3051" w:rsidRPr="00BD3051" w:rsidRDefault="00BD3051" w:rsidP="00BD3051">
      <w:pPr>
        <w:ind w:firstLine="0"/>
        <w:rPr>
          <w:rFonts w:cs="URW Palladio L"/>
          <w:color w:val="000000"/>
          <w:szCs w:val="23"/>
        </w:rPr>
      </w:pPr>
      <w:proofErr w:type="spellStart"/>
      <w:proofErr w:type="gramStart"/>
      <w:r w:rsidRPr="00BD3051">
        <w:rPr>
          <w:rFonts w:cs="URW Palladio L"/>
          <w:color w:val="000000"/>
          <w:szCs w:val="23"/>
        </w:rPr>
        <w:t>n.b</w:t>
      </w:r>
      <w:proofErr w:type="gramEnd"/>
      <w:r w:rsidRPr="00BD3051">
        <w:rPr>
          <w:rFonts w:cs="URW Palladio L"/>
          <w:color w:val="000000"/>
          <w:szCs w:val="23"/>
        </w:rPr>
        <w:t>.</w:t>
      </w:r>
      <w:proofErr w:type="spellEnd"/>
      <w:r w:rsidRPr="00BD3051">
        <w:rPr>
          <w:rFonts w:cs="URW Palladio L"/>
          <w:color w:val="000000"/>
          <w:szCs w:val="23"/>
        </w:rPr>
        <w:t xml:space="preserve"> </w:t>
      </w:r>
      <w:r w:rsidRPr="00BD3051">
        <w:rPr>
          <w:rFonts w:cs="URW Palladio L"/>
          <w:i/>
          <w:iCs/>
          <w:color w:val="000000"/>
          <w:szCs w:val="23"/>
        </w:rPr>
        <w:t>Levels</w:t>
      </w:r>
      <w:r w:rsidRPr="00BD3051">
        <w:rPr>
          <w:rFonts w:cs="URW Palladio L"/>
          <w:color w:val="000000"/>
          <w:szCs w:val="23"/>
        </w:rPr>
        <w:t xml:space="preserve">—not growth—of Freight Traffic. </w:t>
      </w:r>
      <w:proofErr w:type="gramStart"/>
      <w:r w:rsidRPr="00BD3051">
        <w:rPr>
          <w:rFonts w:cs="URW Palladio L"/>
          <w:color w:val="000000"/>
          <w:szCs w:val="23"/>
        </w:rPr>
        <w:t>Data from the National Bureau of Statistics.</w:t>
      </w:r>
      <w:proofErr w:type="gramEnd"/>
      <w:r w:rsidRPr="00BD3051">
        <w:rPr>
          <w:rFonts w:cs="URW Palladio L"/>
          <w:color w:val="000000"/>
          <w:szCs w:val="23"/>
        </w:rPr>
        <w:t xml:space="preserve"> The line represents a moving average while the actual values are plotted. Whereas in that figure the line representing exports connects the values of a 3 month moving average of the series, here a six month moving average is used in order to smooth out the large drops in freight traffic at Chinese New Year.</w:t>
      </w:r>
      <w:r w:rsidRPr="00BD3051">
        <w:rPr>
          <w:rFonts w:cs="URW Palladio L"/>
          <w:color w:val="000000"/>
          <w:szCs w:val="23"/>
        </w:rPr>
        <w:br w:type="page"/>
      </w:r>
    </w:p>
    <w:p w:rsidR="00BD3051" w:rsidRPr="00BD3051" w:rsidRDefault="00BD3051" w:rsidP="00BD3051">
      <w:pPr>
        <w:spacing w:line="480" w:lineRule="auto"/>
        <w:ind w:firstLine="0"/>
        <w:rPr>
          <w:rFonts w:cs="URW Palladio L"/>
          <w:color w:val="000000"/>
          <w:szCs w:val="23"/>
        </w:rPr>
      </w:pPr>
      <w:proofErr w:type="gramStart"/>
      <w:r w:rsidRPr="00BD3051">
        <w:rPr>
          <w:rFonts w:cs="URW Palladio L"/>
          <w:color w:val="000000"/>
          <w:szCs w:val="23"/>
        </w:rPr>
        <w:lastRenderedPageBreak/>
        <w:t>Appendix Figure 4.</w:t>
      </w:r>
      <w:proofErr w:type="gramEnd"/>
      <w:r w:rsidRPr="00BD3051">
        <w:rPr>
          <w:rFonts w:cs="URW Palladio L"/>
          <w:color w:val="000000"/>
          <w:szCs w:val="23"/>
        </w:rPr>
        <w:t xml:space="preserve"> Provincial GDP – Electricity Production Growth Differential</w:t>
      </w:r>
    </w:p>
    <w:p w:rsidR="00BD3051" w:rsidRPr="00BD3051" w:rsidRDefault="00BD3051" w:rsidP="00BD3051">
      <w:pPr>
        <w:spacing w:line="480" w:lineRule="auto"/>
        <w:ind w:firstLine="0"/>
        <w:rPr>
          <w:rFonts w:cs="URW Palladio L"/>
          <w:color w:val="000000"/>
          <w:szCs w:val="23"/>
        </w:rPr>
      </w:pPr>
      <w:r w:rsidRPr="00BD3051">
        <w:rPr>
          <w:rFonts w:cs="URW Palladio L"/>
          <w:noProof/>
          <w:color w:val="000000"/>
          <w:szCs w:val="23"/>
        </w:rPr>
        <w:drawing>
          <wp:inline distT="0" distB="0" distL="0" distR="0" wp14:anchorId="767A3893" wp14:editId="49D964A0">
            <wp:extent cx="5943600" cy="4325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rlydiff.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25620"/>
                    </a:xfrm>
                    <a:prstGeom prst="rect">
                      <a:avLst/>
                    </a:prstGeom>
                  </pic:spPr>
                </pic:pic>
              </a:graphicData>
            </a:graphic>
          </wp:inline>
        </w:drawing>
      </w:r>
      <w:r w:rsidRPr="00BD3051">
        <w:rPr>
          <w:rFonts w:cs="URW Palladio L"/>
          <w:color w:val="000000"/>
          <w:szCs w:val="23"/>
        </w:rPr>
        <w:br w:type="page"/>
      </w:r>
    </w:p>
    <w:p w:rsidR="00BD3051" w:rsidRPr="00BD3051" w:rsidRDefault="00BD3051" w:rsidP="00BD3051">
      <w:pPr>
        <w:ind w:firstLine="0"/>
        <w:rPr>
          <w:rFonts w:cs="URW Palladio L"/>
          <w:color w:val="000000"/>
          <w:szCs w:val="23"/>
        </w:rPr>
      </w:pPr>
      <w:r w:rsidRPr="00BD3051">
        <w:rPr>
          <w:rFonts w:cs="URW Palladio L"/>
          <w:color w:val="000000"/>
          <w:szCs w:val="23"/>
        </w:rPr>
        <w:lastRenderedPageBreak/>
        <w:t>Appendix Figure 5: Map of Provincial Electricity Importers and Exporters</w:t>
      </w:r>
    </w:p>
    <w:p w:rsidR="00BD3051" w:rsidRPr="00BD3051" w:rsidRDefault="00BD3051" w:rsidP="00BD3051">
      <w:pPr>
        <w:ind w:firstLine="0"/>
        <w:rPr>
          <w:rFonts w:cs="URW Palladio L"/>
          <w:color w:val="000000"/>
          <w:szCs w:val="23"/>
        </w:rPr>
      </w:pPr>
    </w:p>
    <w:p w:rsidR="00BD3051" w:rsidRPr="00BD3051" w:rsidRDefault="00BD3051" w:rsidP="00BD3051">
      <w:pPr>
        <w:ind w:firstLine="0"/>
        <w:rPr>
          <w:rFonts w:cs="URW Palladio L"/>
          <w:color w:val="000000"/>
          <w:szCs w:val="23"/>
        </w:rPr>
      </w:pPr>
      <w:r w:rsidRPr="00BD3051">
        <w:rPr>
          <w:rFonts w:cs="URW Palladio L"/>
          <w:noProof/>
          <w:color w:val="000000"/>
          <w:szCs w:val="23"/>
        </w:rPr>
        <w:drawing>
          <wp:inline distT="0" distB="0" distL="0" distR="0" wp14:anchorId="653B16F6" wp14:editId="26ECCE3C">
            <wp:extent cx="5943600" cy="4692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692015"/>
                    </a:xfrm>
                    <a:prstGeom prst="rect">
                      <a:avLst/>
                    </a:prstGeom>
                  </pic:spPr>
                </pic:pic>
              </a:graphicData>
            </a:graphic>
          </wp:inline>
        </w:drawing>
      </w:r>
    </w:p>
    <w:p w:rsidR="00BD3051" w:rsidRPr="00BD3051" w:rsidRDefault="00BD3051" w:rsidP="00BD3051">
      <w:pPr>
        <w:spacing w:line="480" w:lineRule="auto"/>
        <w:rPr>
          <w:rFonts w:cs="URW Palladio L"/>
          <w:color w:val="000000"/>
          <w:szCs w:val="23"/>
        </w:rPr>
      </w:pPr>
      <w:r w:rsidRPr="00BD3051">
        <w:br w:type="page"/>
      </w:r>
    </w:p>
    <w:p w:rsidR="00BD3051" w:rsidRPr="00BD3051" w:rsidRDefault="00BD3051" w:rsidP="00BD3051">
      <w:pPr>
        <w:ind w:firstLine="0"/>
        <w:rPr>
          <w:rFonts w:cs="URW Palladio L"/>
          <w:color w:val="000000"/>
          <w:szCs w:val="23"/>
        </w:rPr>
      </w:pPr>
      <w:proofErr w:type="gramStart"/>
      <w:r w:rsidRPr="00BD3051">
        <w:rPr>
          <w:rFonts w:cs="URW Palladio L"/>
          <w:color w:val="000000"/>
          <w:szCs w:val="23"/>
        </w:rPr>
        <w:lastRenderedPageBreak/>
        <w:t>Appendix Figure 6.</w:t>
      </w:r>
      <w:proofErr w:type="gramEnd"/>
      <w:r w:rsidRPr="00BD3051">
        <w:rPr>
          <w:rFonts w:cs="URW Palladio L"/>
          <w:color w:val="000000"/>
          <w:szCs w:val="23"/>
        </w:rPr>
        <w:t xml:space="preserve"> Map of Inter-Provincial Electricity Infrastructure</w:t>
      </w:r>
    </w:p>
    <w:p w:rsidR="00BD3051" w:rsidRPr="00BD3051" w:rsidRDefault="00BD3051" w:rsidP="00BD3051">
      <w:pPr>
        <w:ind w:firstLine="0"/>
        <w:rPr>
          <w:rFonts w:cs="URW Palladio L"/>
          <w:color w:val="000000"/>
          <w:szCs w:val="23"/>
        </w:rPr>
      </w:pPr>
      <w:r w:rsidRPr="00BD3051">
        <w:rPr>
          <w:rFonts w:cs="URW Palladio L"/>
          <w:noProof/>
          <w:color w:val="000000"/>
          <w:szCs w:val="23"/>
        </w:rPr>
        <w:drawing>
          <wp:inline distT="0" distB="0" distL="0" distR="0" wp14:anchorId="03758F37" wp14:editId="5003EDD2">
            <wp:extent cx="5943600" cy="466075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60754"/>
                    </a:xfrm>
                    <a:prstGeom prst="rect">
                      <a:avLst/>
                    </a:prstGeom>
                    <a:noFill/>
                    <a:ln>
                      <a:noFill/>
                    </a:ln>
                  </pic:spPr>
                </pic:pic>
              </a:graphicData>
            </a:graphic>
          </wp:inline>
        </w:drawing>
      </w:r>
    </w:p>
    <w:p w:rsidR="00BD3051" w:rsidRPr="00BD3051" w:rsidRDefault="00BD3051" w:rsidP="00BD3051">
      <w:pPr>
        <w:ind w:firstLine="0"/>
        <w:rPr>
          <w:rFonts w:cs="URW Palladio L"/>
          <w:color w:val="000000"/>
          <w:szCs w:val="23"/>
        </w:rPr>
      </w:pPr>
    </w:p>
    <w:p w:rsidR="00BD3051" w:rsidRPr="00BD3051" w:rsidRDefault="00BD3051" w:rsidP="00BD3051">
      <w:pPr>
        <w:ind w:firstLine="0"/>
        <w:rPr>
          <w:rFonts w:cs="URW Palladio L"/>
          <w:bCs/>
          <w:color w:val="000000"/>
          <w:szCs w:val="23"/>
        </w:rPr>
      </w:pPr>
      <w:proofErr w:type="spellStart"/>
      <w:proofErr w:type="gramStart"/>
      <w:r w:rsidRPr="00BD3051">
        <w:rPr>
          <w:rFonts w:cs="URW Palladio L"/>
          <w:color w:val="000000"/>
          <w:szCs w:val="23"/>
        </w:rPr>
        <w:t>n.b</w:t>
      </w:r>
      <w:proofErr w:type="gramEnd"/>
      <w:r w:rsidRPr="00BD3051">
        <w:rPr>
          <w:rFonts w:cs="URW Palladio L"/>
          <w:color w:val="000000"/>
          <w:szCs w:val="23"/>
        </w:rPr>
        <w:t>.</w:t>
      </w:r>
      <w:proofErr w:type="spellEnd"/>
      <w:r w:rsidRPr="00BD3051">
        <w:rPr>
          <w:rFonts w:cs="URW Palladio L"/>
          <w:color w:val="000000"/>
          <w:szCs w:val="23"/>
        </w:rPr>
        <w:t xml:space="preserve"> Map depicts </w:t>
      </w:r>
      <w:r w:rsidRPr="00BD3051">
        <w:rPr>
          <w:rFonts w:cs="URW Palladio L"/>
          <w:bCs/>
          <w:color w:val="000000"/>
          <w:szCs w:val="23"/>
        </w:rPr>
        <w:t xml:space="preserve">Electric Supply and Transmission in China in September 2008. Image source: </w:t>
      </w:r>
      <w:r w:rsidRPr="00BD3051">
        <w:rPr>
          <w:rFonts w:cs="URW Palladio L"/>
          <w:bCs/>
          <w:i/>
          <w:iCs/>
          <w:color w:val="000000"/>
          <w:szCs w:val="23"/>
        </w:rPr>
        <w:t>China Electricity Monthly</w:t>
      </w:r>
      <w:r w:rsidRPr="00BD3051">
        <w:rPr>
          <w:rFonts w:cs="URW Palladio L"/>
          <w:bCs/>
          <w:color w:val="000000"/>
          <w:szCs w:val="23"/>
        </w:rPr>
        <w:t xml:space="preserve">, a report published by the energy consultancy 3E. </w:t>
      </w:r>
      <w:hyperlink r:id="rId14" w:history="1">
        <w:r w:rsidRPr="00BD3051">
          <w:rPr>
            <w:rFonts w:cs="URW Palladio L"/>
            <w:bCs/>
            <w:color w:val="0000FF" w:themeColor="hyperlink"/>
            <w:szCs w:val="23"/>
            <w:u w:val="single"/>
          </w:rPr>
          <w:t>http://www.3-eee.net/3Echina/china_index.asp</w:t>
        </w:r>
      </w:hyperlink>
    </w:p>
    <w:p w:rsidR="00BD3051" w:rsidRPr="00BD3051" w:rsidRDefault="00BD3051" w:rsidP="00BD3051">
      <w:pPr>
        <w:spacing w:after="0"/>
        <w:ind w:firstLine="0"/>
        <w:rPr>
          <w:rFonts w:cs="URW Palladio L"/>
          <w:color w:val="000000"/>
          <w:szCs w:val="23"/>
        </w:rPr>
      </w:pPr>
    </w:p>
    <w:p w:rsidR="004055B3" w:rsidRPr="00BD3051" w:rsidRDefault="00E52613" w:rsidP="00BD3051"/>
    <w:sectPr w:rsidR="004055B3" w:rsidRPr="00BD3051" w:rsidSect="00BD3051">
      <w:footerReference w:type="default" r:id="rId15"/>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613" w:rsidRDefault="00E52613" w:rsidP="00BD3051">
      <w:pPr>
        <w:spacing w:after="0"/>
      </w:pPr>
      <w:r>
        <w:separator/>
      </w:r>
    </w:p>
  </w:endnote>
  <w:endnote w:type="continuationSeparator" w:id="0">
    <w:p w:rsidR="00E52613" w:rsidRDefault="00E52613" w:rsidP="00BD30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URW Palladio L">
    <w:altName w:val="Arial Unicode MS"/>
    <w:panose1 w:val="00000000000000000000"/>
    <w:charset w:val="86"/>
    <w:family w:val="swiss"/>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URWPalladioL-Roma">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526896"/>
      <w:docPartObj>
        <w:docPartGallery w:val="Page Numbers (Bottom of Page)"/>
        <w:docPartUnique/>
      </w:docPartObj>
    </w:sdtPr>
    <w:sdtEndPr>
      <w:rPr>
        <w:noProof/>
      </w:rPr>
    </w:sdtEndPr>
    <w:sdtContent>
      <w:p w:rsidR="00612C21" w:rsidRPr="00F00C14" w:rsidRDefault="00E52613" w:rsidP="00F00C14">
        <w:pPr>
          <w:pStyle w:val="Footer"/>
          <w:jc w:val="center"/>
          <w:rPr>
            <w:noProof/>
            <w:sz w:val="20"/>
          </w:rPr>
        </w:pPr>
        <w:r w:rsidRPr="00F00C14">
          <w:rPr>
            <w:sz w:val="20"/>
          </w:rPr>
          <w:fldChar w:fldCharType="begin"/>
        </w:r>
        <w:r w:rsidRPr="00F00C14">
          <w:rPr>
            <w:sz w:val="20"/>
          </w:rPr>
          <w:instrText xml:space="preserve"> PAGE   \* MERGEFORMAT </w:instrText>
        </w:r>
        <w:r w:rsidRPr="00F00C14">
          <w:rPr>
            <w:sz w:val="20"/>
          </w:rPr>
          <w:fldChar w:fldCharType="separate"/>
        </w:r>
        <w:r w:rsidR="00BD3051">
          <w:rPr>
            <w:noProof/>
            <w:sz w:val="20"/>
          </w:rPr>
          <w:t>1</w:t>
        </w:r>
        <w:r w:rsidRPr="00F00C14">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613" w:rsidRDefault="00E52613" w:rsidP="00BD3051">
      <w:pPr>
        <w:spacing w:after="0"/>
      </w:pPr>
      <w:r>
        <w:separator/>
      </w:r>
    </w:p>
  </w:footnote>
  <w:footnote w:type="continuationSeparator" w:id="0">
    <w:p w:rsidR="00E52613" w:rsidRDefault="00E52613" w:rsidP="00BD3051">
      <w:pPr>
        <w:spacing w:after="0"/>
      </w:pPr>
      <w:r>
        <w:continuationSeparator/>
      </w:r>
    </w:p>
  </w:footnote>
  <w:footnote w:id="1">
    <w:p w:rsidR="00BD3051" w:rsidRDefault="00BD3051" w:rsidP="00BD3051">
      <w:pPr>
        <w:pStyle w:val="FootnoteText"/>
      </w:pPr>
      <w:r>
        <w:rPr>
          <w:rStyle w:val="FootnoteReference"/>
        </w:rPr>
        <w:footnoteRef/>
      </w:r>
      <w:r>
        <w:t xml:space="preserve"> </w:t>
      </w:r>
      <w:r w:rsidRPr="005066E5">
        <w:t>These GDP shares are calculated from the past decade of data.</w:t>
      </w:r>
    </w:p>
  </w:footnote>
  <w:footnote w:id="2">
    <w:p w:rsidR="00BD3051" w:rsidRDefault="00BD3051" w:rsidP="00BD3051">
      <w:pPr>
        <w:pStyle w:val="FootnoteText"/>
      </w:pPr>
      <w:r>
        <w:rPr>
          <w:rStyle w:val="FootnoteReference"/>
        </w:rPr>
        <w:footnoteRef/>
      </w:r>
      <w:r>
        <w:t xml:space="preserve"> </w:t>
      </w:r>
      <w:r w:rsidRPr="005066E5">
        <w:t xml:space="preserve">As this is </w:t>
      </w:r>
      <w:r w:rsidRPr="005066E5">
        <w:rPr>
          <w:i/>
          <w:iCs/>
        </w:rPr>
        <w:t xml:space="preserve">not </w:t>
      </w:r>
      <w:r w:rsidRPr="005066E5">
        <w:t xml:space="preserve">consumption data, cross-provincial electricity trade </w:t>
      </w:r>
      <w:r>
        <w:t xml:space="preserve">could confound the analysis as </w:t>
      </w:r>
      <w:r w:rsidRPr="005066E5">
        <w:t>discussed</w:t>
      </w:r>
      <w:r>
        <w:t xml:space="preserve"> </w:t>
      </w:r>
      <w:r w:rsidRPr="005066E5">
        <w:t>above.</w:t>
      </w:r>
    </w:p>
  </w:footnote>
  <w:footnote w:id="3">
    <w:p w:rsidR="00BD3051" w:rsidRDefault="00BD3051" w:rsidP="00BD3051">
      <w:pPr>
        <w:pStyle w:val="FootnoteText"/>
      </w:pPr>
      <w:r>
        <w:rPr>
          <w:rStyle w:val="FootnoteReference"/>
        </w:rPr>
        <w:footnoteRef/>
      </w:r>
      <w:r>
        <w:t xml:space="preserve"> At</w:t>
      </w:r>
      <w:r w:rsidRPr="005066E5">
        <w:t xml:space="preserve"> the national level, the economic growth data in Figure 1 are not decomposed</w:t>
      </w:r>
      <w:r>
        <w:t xml:space="preserve"> </w:t>
      </w:r>
      <w:r w:rsidRPr="005066E5">
        <w:t>in this manner but rather quarterly weights are assigned based on the data for this decade. This</w:t>
      </w:r>
      <w:r>
        <w:t xml:space="preserve"> </w:t>
      </w:r>
      <w:r w:rsidRPr="005066E5">
        <w:t>method was deemed inappropriate for the provincial level data as the quarterly weights differ by province</w:t>
      </w:r>
      <w:r>
        <w:t xml:space="preserve"> </w:t>
      </w:r>
      <w:r w:rsidRPr="005066E5">
        <w:t>but the quarterly GDP amounts needed to determine such weights for each province are not available.</w:t>
      </w:r>
    </w:p>
  </w:footnote>
  <w:footnote w:id="4">
    <w:p w:rsidR="00BD3051" w:rsidRDefault="00BD3051" w:rsidP="00BD3051">
      <w:pPr>
        <w:pStyle w:val="FootnoteText"/>
      </w:pPr>
      <w:r w:rsidRPr="00694FC2">
        <w:rPr>
          <w:rStyle w:val="FootnoteReference"/>
        </w:rPr>
        <w:footnoteRef/>
      </w:r>
      <w:r>
        <w:t xml:space="preserve"> Number of items per cell (turnover, </w:t>
      </w:r>
      <w:proofErr w:type="spellStart"/>
      <w:r>
        <w:t>lagturnover</w:t>
      </w:r>
      <w:proofErr w:type="spellEnd"/>
      <w:r>
        <w:t>): (0</w:t>
      </w:r>
      <w:proofErr w:type="gramStart"/>
      <w:r>
        <w:t>,0</w:t>
      </w:r>
      <w:proofErr w:type="gramEnd"/>
      <w:r>
        <w:t>) = 225; (1,0) = 207; (0,1) = 174; (1,1) = 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B124D"/>
    <w:multiLevelType w:val="hybridMultilevel"/>
    <w:tmpl w:val="0136D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051"/>
    <w:rsid w:val="000731C8"/>
    <w:rsid w:val="007F37BD"/>
    <w:rsid w:val="009C526E"/>
    <w:rsid w:val="00BB61E6"/>
    <w:rsid w:val="00BD3051"/>
    <w:rsid w:val="00E52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26E"/>
    <w:pPr>
      <w:spacing w:line="240" w:lineRule="auto"/>
    </w:pPr>
    <w:rPr>
      <w:rFonts w:ascii="Palatino Linotype" w:hAnsi="Palatino Linotype"/>
      <w:sz w:val="24"/>
    </w:rPr>
  </w:style>
  <w:style w:type="paragraph" w:styleId="Heading1">
    <w:name w:val="heading 1"/>
    <w:aliases w:val="Chapter"/>
    <w:basedOn w:val="Normal"/>
    <w:next w:val="Normal"/>
    <w:link w:val="Heading1Char"/>
    <w:uiPriority w:val="9"/>
    <w:qFormat/>
    <w:rsid w:val="009C526E"/>
    <w:pPr>
      <w:spacing w:before="600" w:after="0" w:line="360" w:lineRule="auto"/>
      <w:ind w:firstLine="0"/>
      <w:outlineLvl w:val="0"/>
    </w:pPr>
    <w:rPr>
      <w:rFonts w:asciiTheme="majorHAnsi" w:eastAsiaTheme="majorEastAsia" w:hAnsiTheme="majorHAnsi" w:cstheme="majorBidi"/>
      <w:b/>
      <w:bCs/>
      <w:iCs/>
      <w:sz w:val="32"/>
      <w:szCs w:val="32"/>
    </w:rPr>
  </w:style>
  <w:style w:type="paragraph" w:styleId="Heading2">
    <w:name w:val="heading 2"/>
    <w:basedOn w:val="Normal"/>
    <w:next w:val="Normal"/>
    <w:link w:val="Heading2Char"/>
    <w:uiPriority w:val="9"/>
    <w:semiHidden/>
    <w:unhideWhenUsed/>
    <w:qFormat/>
    <w:rsid w:val="009C526E"/>
    <w:pPr>
      <w:spacing w:before="320" w:after="0" w:line="360" w:lineRule="auto"/>
      <w:ind w:firstLine="0"/>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uiPriority w:val="9"/>
    <w:semiHidden/>
    <w:unhideWhenUsed/>
    <w:qFormat/>
    <w:rsid w:val="009C526E"/>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9C526E"/>
    <w:pPr>
      <w:spacing w:before="280" w:after="0" w:line="360" w:lineRule="auto"/>
      <w:ind w:firstLine="0"/>
      <w:outlineLvl w:val="3"/>
    </w:pPr>
    <w:rPr>
      <w:rFonts w:asciiTheme="majorHAnsi" w:eastAsiaTheme="majorEastAsia" w:hAnsiTheme="majorHAnsi" w:cstheme="majorBidi"/>
      <w:b/>
      <w:bCs/>
      <w:i/>
      <w:iCs/>
      <w:szCs w:val="24"/>
    </w:rPr>
  </w:style>
  <w:style w:type="paragraph" w:styleId="Heading5">
    <w:name w:val="heading 5"/>
    <w:basedOn w:val="Normal"/>
    <w:next w:val="Normal"/>
    <w:link w:val="Heading5Char"/>
    <w:uiPriority w:val="9"/>
    <w:semiHidden/>
    <w:unhideWhenUsed/>
    <w:qFormat/>
    <w:rsid w:val="009C526E"/>
    <w:pPr>
      <w:spacing w:before="280" w:after="0" w:line="360" w:lineRule="auto"/>
      <w:ind w:firstLine="0"/>
      <w:outlineLvl w:val="4"/>
    </w:pPr>
    <w:rPr>
      <w:rFonts w:asciiTheme="majorHAnsi" w:eastAsiaTheme="majorEastAsia" w:hAnsiTheme="majorHAnsi" w:cstheme="majorBidi"/>
      <w:b/>
      <w:bCs/>
      <w:i/>
      <w:iCs/>
      <w:sz w:val="22"/>
    </w:rPr>
  </w:style>
  <w:style w:type="paragraph" w:styleId="Heading6">
    <w:name w:val="heading 6"/>
    <w:basedOn w:val="Normal"/>
    <w:next w:val="Normal"/>
    <w:link w:val="Heading6Char"/>
    <w:uiPriority w:val="9"/>
    <w:semiHidden/>
    <w:unhideWhenUsed/>
    <w:qFormat/>
    <w:rsid w:val="009C526E"/>
    <w:pPr>
      <w:spacing w:before="280" w:after="80" w:line="360" w:lineRule="auto"/>
      <w:ind w:firstLine="0"/>
      <w:outlineLvl w:val="5"/>
    </w:pPr>
    <w:rPr>
      <w:rFonts w:asciiTheme="majorHAnsi" w:eastAsiaTheme="majorEastAsia" w:hAnsiTheme="majorHAnsi" w:cstheme="majorBidi"/>
      <w:b/>
      <w:bCs/>
      <w:i/>
      <w:iCs/>
      <w:sz w:val="22"/>
    </w:rPr>
  </w:style>
  <w:style w:type="paragraph" w:styleId="Heading7">
    <w:name w:val="heading 7"/>
    <w:basedOn w:val="Normal"/>
    <w:next w:val="Normal"/>
    <w:link w:val="Heading7Char"/>
    <w:uiPriority w:val="9"/>
    <w:semiHidden/>
    <w:unhideWhenUsed/>
    <w:qFormat/>
    <w:rsid w:val="009C526E"/>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9C526E"/>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9C526E"/>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link w:val="subheadChar"/>
    <w:qFormat/>
    <w:rsid w:val="009C526E"/>
    <w:pPr>
      <w:spacing w:before="240" w:line="360" w:lineRule="auto"/>
      <w:ind w:firstLine="0"/>
    </w:pPr>
    <w:rPr>
      <w:rFonts w:ascii="Trebuchet MS" w:eastAsia="宋体" w:hAnsi="Trebuchet MS"/>
      <w:b/>
      <w:sz w:val="28"/>
    </w:rPr>
  </w:style>
  <w:style w:type="character" w:customStyle="1" w:styleId="subheadChar">
    <w:name w:val="subhead Char"/>
    <w:basedOn w:val="DefaultParagraphFont"/>
    <w:link w:val="subhead"/>
    <w:rsid w:val="009C526E"/>
    <w:rPr>
      <w:rFonts w:ascii="Trebuchet MS" w:eastAsia="宋体" w:hAnsi="Trebuchet MS"/>
      <w:b/>
      <w:sz w:val="28"/>
    </w:rPr>
  </w:style>
  <w:style w:type="paragraph" w:customStyle="1" w:styleId="figure">
    <w:name w:val="figure"/>
    <w:basedOn w:val="Normal"/>
    <w:link w:val="figureChar"/>
    <w:qFormat/>
    <w:rsid w:val="009C526E"/>
    <w:pPr>
      <w:spacing w:after="0" w:line="360" w:lineRule="auto"/>
      <w:ind w:firstLine="0"/>
    </w:pPr>
    <w:rPr>
      <w:rFonts w:ascii="Trebuchet MS" w:eastAsia="宋体" w:hAnsi="Trebuchet MS"/>
      <w:b/>
      <w:sz w:val="28"/>
    </w:rPr>
  </w:style>
  <w:style w:type="character" w:customStyle="1" w:styleId="figureChar">
    <w:name w:val="figure Char"/>
    <w:link w:val="figure"/>
    <w:rsid w:val="009C526E"/>
    <w:rPr>
      <w:rFonts w:ascii="Trebuchet MS" w:eastAsia="宋体" w:hAnsi="Trebuchet MS"/>
      <w:b/>
      <w:sz w:val="28"/>
    </w:rPr>
  </w:style>
  <w:style w:type="paragraph" w:customStyle="1" w:styleId="table">
    <w:name w:val="table"/>
    <w:basedOn w:val="figure"/>
    <w:link w:val="tableChar"/>
    <w:qFormat/>
    <w:rsid w:val="009C526E"/>
  </w:style>
  <w:style w:type="character" w:customStyle="1" w:styleId="tableChar">
    <w:name w:val="table Char"/>
    <w:link w:val="table"/>
    <w:rsid w:val="009C526E"/>
    <w:rPr>
      <w:rFonts w:ascii="Trebuchet MS" w:eastAsia="宋体" w:hAnsi="Trebuchet MS"/>
      <w:b/>
      <w:sz w:val="28"/>
    </w:rPr>
  </w:style>
  <w:style w:type="paragraph" w:customStyle="1" w:styleId="Section">
    <w:name w:val="Section"/>
    <w:basedOn w:val="Heading1"/>
    <w:link w:val="SectionChar"/>
    <w:qFormat/>
    <w:rsid w:val="009C526E"/>
    <w:pPr>
      <w:keepNext/>
      <w:keepLines/>
      <w:spacing w:before="480" w:line="240" w:lineRule="auto"/>
    </w:pPr>
    <w:rPr>
      <w:rFonts w:ascii="Calibri" w:eastAsia="宋体" w:hAnsi="Calibri" w:cs="Times New Roman"/>
      <w:iCs w:val="0"/>
      <w:sz w:val="36"/>
      <w:szCs w:val="28"/>
    </w:rPr>
  </w:style>
  <w:style w:type="character" w:customStyle="1" w:styleId="SectionChar">
    <w:name w:val="Section Char"/>
    <w:link w:val="Section"/>
    <w:rsid w:val="009C526E"/>
    <w:rPr>
      <w:rFonts w:ascii="Calibri" w:eastAsia="宋体" w:hAnsi="Calibri" w:cs="Times New Roman"/>
      <w:b/>
      <w:bCs/>
      <w:sz w:val="36"/>
      <w:szCs w:val="28"/>
    </w:rPr>
  </w:style>
  <w:style w:type="character" w:customStyle="1" w:styleId="Heading1Char">
    <w:name w:val="Heading 1 Char"/>
    <w:aliases w:val="Chapter Char"/>
    <w:basedOn w:val="DefaultParagraphFont"/>
    <w:link w:val="Heading1"/>
    <w:uiPriority w:val="9"/>
    <w:rsid w:val="009C526E"/>
    <w:rPr>
      <w:rFonts w:asciiTheme="majorHAnsi" w:eastAsiaTheme="majorEastAsia" w:hAnsiTheme="majorHAnsi" w:cstheme="majorBidi"/>
      <w:b/>
      <w:bCs/>
      <w:iCs/>
      <w:sz w:val="32"/>
      <w:szCs w:val="32"/>
    </w:rPr>
  </w:style>
  <w:style w:type="paragraph" w:customStyle="1" w:styleId="ArticleText">
    <w:name w:val="Article Text"/>
    <w:basedOn w:val="Normal"/>
    <w:link w:val="ArticleTextChar"/>
    <w:qFormat/>
    <w:rsid w:val="009C526E"/>
  </w:style>
  <w:style w:type="character" w:customStyle="1" w:styleId="ArticleTextChar">
    <w:name w:val="Article Text Char"/>
    <w:basedOn w:val="DefaultParagraphFont"/>
    <w:link w:val="ArticleText"/>
    <w:rsid w:val="009C526E"/>
    <w:rPr>
      <w:rFonts w:ascii="Palatino Linotype" w:hAnsi="Palatino Linotype"/>
      <w:sz w:val="24"/>
    </w:rPr>
  </w:style>
  <w:style w:type="paragraph" w:customStyle="1" w:styleId="Table0">
    <w:name w:val="Table"/>
    <w:basedOn w:val="Heading3"/>
    <w:link w:val="TableChar0"/>
    <w:qFormat/>
    <w:rsid w:val="009C526E"/>
    <w:pPr>
      <w:spacing w:before="240" w:line="240" w:lineRule="auto"/>
    </w:pPr>
    <w:rPr>
      <w:rFonts w:ascii="Palatino Linotype" w:eastAsia="宋体" w:hAnsi="Palatino Linotype" w:cs="Times New Roman"/>
      <w:i w:val="0"/>
      <w:sz w:val="28"/>
    </w:rPr>
  </w:style>
  <w:style w:type="character" w:customStyle="1" w:styleId="TableChar0">
    <w:name w:val="Table Char"/>
    <w:link w:val="Table0"/>
    <w:rsid w:val="009C526E"/>
    <w:rPr>
      <w:rFonts w:ascii="Palatino Linotype" w:eastAsia="宋体" w:hAnsi="Palatino Linotype" w:cs="Times New Roman"/>
      <w:b/>
      <w:bCs/>
      <w:iCs/>
      <w:sz w:val="28"/>
      <w:szCs w:val="26"/>
    </w:rPr>
  </w:style>
  <w:style w:type="character" w:customStyle="1" w:styleId="Heading3Char">
    <w:name w:val="Heading 3 Char"/>
    <w:basedOn w:val="DefaultParagraphFont"/>
    <w:link w:val="Heading3"/>
    <w:uiPriority w:val="9"/>
    <w:semiHidden/>
    <w:rsid w:val="009C526E"/>
    <w:rPr>
      <w:rFonts w:asciiTheme="majorHAnsi" w:eastAsiaTheme="majorEastAsia" w:hAnsiTheme="majorHAnsi" w:cstheme="majorBidi"/>
      <w:b/>
      <w:bCs/>
      <w:i/>
      <w:iCs/>
      <w:sz w:val="26"/>
      <w:szCs w:val="26"/>
    </w:rPr>
  </w:style>
  <w:style w:type="character" w:customStyle="1" w:styleId="Heading2Char">
    <w:name w:val="Heading 2 Char"/>
    <w:basedOn w:val="DefaultParagraphFont"/>
    <w:link w:val="Heading2"/>
    <w:uiPriority w:val="9"/>
    <w:semiHidden/>
    <w:rsid w:val="009C526E"/>
    <w:rPr>
      <w:rFonts w:asciiTheme="majorHAnsi" w:eastAsiaTheme="majorEastAsia" w:hAnsiTheme="majorHAnsi" w:cstheme="majorBidi"/>
      <w:b/>
      <w:bCs/>
      <w:iCs/>
      <w:sz w:val="28"/>
      <w:szCs w:val="28"/>
    </w:rPr>
  </w:style>
  <w:style w:type="character" w:customStyle="1" w:styleId="Heading4Char">
    <w:name w:val="Heading 4 Char"/>
    <w:basedOn w:val="DefaultParagraphFont"/>
    <w:link w:val="Heading4"/>
    <w:uiPriority w:val="9"/>
    <w:semiHidden/>
    <w:rsid w:val="009C526E"/>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9C526E"/>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9C526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C526E"/>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9C526E"/>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9C526E"/>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9C526E"/>
    <w:rPr>
      <w:b/>
      <w:bCs/>
      <w:sz w:val="18"/>
      <w:szCs w:val="18"/>
    </w:rPr>
  </w:style>
  <w:style w:type="paragraph" w:styleId="Title">
    <w:name w:val="Title"/>
    <w:basedOn w:val="Normal"/>
    <w:next w:val="Normal"/>
    <w:link w:val="TitleChar"/>
    <w:uiPriority w:val="10"/>
    <w:qFormat/>
    <w:rsid w:val="009C526E"/>
    <w:pPr>
      <w:ind w:firstLine="0"/>
    </w:pPr>
    <w:rPr>
      <w:rFonts w:asciiTheme="majorHAnsi" w:eastAsiaTheme="majorEastAsia" w:hAnsiTheme="majorHAnsi" w:cstheme="majorBidi"/>
      <w:b/>
      <w:bCs/>
      <w:iCs/>
      <w:spacing w:val="10"/>
      <w:sz w:val="60"/>
      <w:szCs w:val="60"/>
    </w:rPr>
  </w:style>
  <w:style w:type="character" w:customStyle="1" w:styleId="TitleChar">
    <w:name w:val="Title Char"/>
    <w:basedOn w:val="DefaultParagraphFont"/>
    <w:link w:val="Title"/>
    <w:uiPriority w:val="10"/>
    <w:rsid w:val="009C526E"/>
    <w:rPr>
      <w:rFonts w:asciiTheme="majorHAnsi" w:eastAsiaTheme="majorEastAsia" w:hAnsiTheme="majorHAnsi" w:cstheme="majorBidi"/>
      <w:b/>
      <w:bCs/>
      <w:iCs/>
      <w:spacing w:val="10"/>
      <w:sz w:val="60"/>
      <w:szCs w:val="60"/>
    </w:rPr>
  </w:style>
  <w:style w:type="paragraph" w:styleId="Subtitle">
    <w:name w:val="Subtitle"/>
    <w:basedOn w:val="Normal"/>
    <w:next w:val="Normal"/>
    <w:link w:val="SubtitleChar"/>
    <w:uiPriority w:val="11"/>
    <w:qFormat/>
    <w:rsid w:val="009C526E"/>
    <w:pPr>
      <w:spacing w:after="320"/>
      <w:jc w:val="right"/>
    </w:pPr>
    <w:rPr>
      <w:rFonts w:asciiTheme="minorHAnsi" w:hAnsiTheme="minorHAnsi"/>
      <w:i/>
      <w:iCs/>
      <w:color w:val="808080" w:themeColor="text1" w:themeTint="7F"/>
      <w:spacing w:val="10"/>
      <w:szCs w:val="24"/>
    </w:rPr>
  </w:style>
  <w:style w:type="character" w:customStyle="1" w:styleId="SubtitleChar">
    <w:name w:val="Subtitle Char"/>
    <w:basedOn w:val="DefaultParagraphFont"/>
    <w:link w:val="Subtitle"/>
    <w:uiPriority w:val="11"/>
    <w:rsid w:val="009C526E"/>
    <w:rPr>
      <w:i/>
      <w:iCs/>
      <w:color w:val="808080" w:themeColor="text1" w:themeTint="7F"/>
      <w:spacing w:val="10"/>
      <w:sz w:val="24"/>
      <w:szCs w:val="24"/>
    </w:rPr>
  </w:style>
  <w:style w:type="character" w:styleId="Strong">
    <w:name w:val="Strong"/>
    <w:basedOn w:val="DefaultParagraphFont"/>
    <w:uiPriority w:val="22"/>
    <w:qFormat/>
    <w:rsid w:val="009C526E"/>
    <w:rPr>
      <w:b/>
      <w:bCs/>
      <w:spacing w:val="0"/>
    </w:rPr>
  </w:style>
  <w:style w:type="character" w:styleId="Emphasis">
    <w:name w:val="Emphasis"/>
    <w:uiPriority w:val="20"/>
    <w:qFormat/>
    <w:rsid w:val="009C526E"/>
    <w:rPr>
      <w:b/>
      <w:bCs/>
      <w:i/>
      <w:iCs/>
      <w:color w:val="auto"/>
    </w:rPr>
  </w:style>
  <w:style w:type="paragraph" w:styleId="NoSpacing">
    <w:name w:val="No Spacing"/>
    <w:basedOn w:val="Normal"/>
    <w:uiPriority w:val="1"/>
    <w:qFormat/>
    <w:rsid w:val="009C526E"/>
    <w:pPr>
      <w:spacing w:after="0"/>
      <w:ind w:firstLine="0"/>
    </w:pPr>
    <w:rPr>
      <w:szCs w:val="24"/>
    </w:rPr>
  </w:style>
  <w:style w:type="paragraph" w:styleId="ListParagraph">
    <w:name w:val="List Paragraph"/>
    <w:basedOn w:val="Normal"/>
    <w:uiPriority w:val="34"/>
    <w:qFormat/>
    <w:rsid w:val="009C526E"/>
    <w:pPr>
      <w:ind w:left="720"/>
      <w:contextualSpacing/>
    </w:pPr>
  </w:style>
  <w:style w:type="paragraph" w:styleId="Quote">
    <w:name w:val="Quote"/>
    <w:basedOn w:val="Normal"/>
    <w:next w:val="Normal"/>
    <w:link w:val="QuoteChar"/>
    <w:uiPriority w:val="29"/>
    <w:qFormat/>
    <w:rsid w:val="009C526E"/>
    <w:pPr>
      <w:ind w:left="1080" w:right="1080" w:firstLine="0"/>
    </w:pPr>
    <w:rPr>
      <w:bCs/>
    </w:rPr>
  </w:style>
  <w:style w:type="character" w:customStyle="1" w:styleId="QuoteChar">
    <w:name w:val="Quote Char"/>
    <w:basedOn w:val="DefaultParagraphFont"/>
    <w:link w:val="Quote"/>
    <w:uiPriority w:val="29"/>
    <w:rsid w:val="009C526E"/>
    <w:rPr>
      <w:rFonts w:ascii="Palatino Linotype" w:hAnsi="Palatino Linotype"/>
      <w:bCs/>
      <w:sz w:val="24"/>
    </w:rPr>
  </w:style>
  <w:style w:type="paragraph" w:styleId="IntenseQuote">
    <w:name w:val="Intense Quote"/>
    <w:basedOn w:val="Normal"/>
    <w:next w:val="Normal"/>
    <w:link w:val="IntenseQuoteChar"/>
    <w:uiPriority w:val="30"/>
    <w:qFormat/>
    <w:rsid w:val="009C526E"/>
    <w:pPr>
      <w:spacing w:before="320" w:after="480"/>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9C526E"/>
    <w:rPr>
      <w:rFonts w:asciiTheme="majorHAnsi" w:eastAsiaTheme="majorEastAsia" w:hAnsiTheme="majorHAnsi" w:cstheme="majorBidi"/>
      <w:i/>
      <w:iCs/>
      <w:sz w:val="20"/>
      <w:szCs w:val="20"/>
    </w:rPr>
  </w:style>
  <w:style w:type="character" w:styleId="SubtleEmphasis">
    <w:name w:val="Subtle Emphasis"/>
    <w:uiPriority w:val="19"/>
    <w:qFormat/>
    <w:rsid w:val="009C526E"/>
    <w:rPr>
      <w:i/>
      <w:iCs/>
      <w:color w:val="5A5A5A" w:themeColor="text1" w:themeTint="A5"/>
    </w:rPr>
  </w:style>
  <w:style w:type="character" w:styleId="IntenseEmphasis">
    <w:name w:val="Intense Emphasis"/>
    <w:uiPriority w:val="21"/>
    <w:qFormat/>
    <w:rsid w:val="009C526E"/>
    <w:rPr>
      <w:b/>
      <w:bCs/>
      <w:i/>
      <w:iCs/>
      <w:color w:val="auto"/>
      <w:u w:val="single"/>
    </w:rPr>
  </w:style>
  <w:style w:type="character" w:styleId="SubtleReference">
    <w:name w:val="Subtle Reference"/>
    <w:uiPriority w:val="31"/>
    <w:qFormat/>
    <w:rsid w:val="009C526E"/>
    <w:rPr>
      <w:smallCaps/>
    </w:rPr>
  </w:style>
  <w:style w:type="character" w:styleId="IntenseReference">
    <w:name w:val="Intense Reference"/>
    <w:uiPriority w:val="32"/>
    <w:qFormat/>
    <w:rsid w:val="009C526E"/>
    <w:rPr>
      <w:b/>
      <w:bCs/>
      <w:smallCaps/>
      <w:color w:val="auto"/>
    </w:rPr>
  </w:style>
  <w:style w:type="character" w:styleId="BookTitle">
    <w:name w:val="Book Title"/>
    <w:uiPriority w:val="33"/>
    <w:qFormat/>
    <w:rsid w:val="009C526E"/>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9C526E"/>
    <w:pPr>
      <w:outlineLvl w:val="9"/>
    </w:pPr>
  </w:style>
  <w:style w:type="paragraph" w:customStyle="1" w:styleId="Default">
    <w:name w:val="Default"/>
    <w:link w:val="DefaultChar"/>
    <w:rsid w:val="00BD3051"/>
    <w:pPr>
      <w:widowControl w:val="0"/>
      <w:autoSpaceDE w:val="0"/>
      <w:autoSpaceDN w:val="0"/>
      <w:adjustRightInd w:val="0"/>
      <w:spacing w:after="0" w:line="240" w:lineRule="auto"/>
    </w:pPr>
    <w:rPr>
      <w:rFonts w:ascii="URW Palladio L" w:eastAsia="URW Palladio L" w:cs="URW Palladio L"/>
      <w:color w:val="000000"/>
      <w:sz w:val="24"/>
      <w:szCs w:val="24"/>
    </w:rPr>
  </w:style>
  <w:style w:type="paragraph" w:customStyle="1" w:styleId="CM1">
    <w:name w:val="CM1"/>
    <w:basedOn w:val="Default"/>
    <w:next w:val="Default"/>
    <w:uiPriority w:val="99"/>
    <w:rsid w:val="00BD3051"/>
    <w:pPr>
      <w:spacing w:line="483" w:lineRule="atLeast"/>
    </w:pPr>
    <w:rPr>
      <w:rFonts w:cs="Times New Roman"/>
      <w:color w:val="auto"/>
    </w:rPr>
  </w:style>
  <w:style w:type="paragraph" w:customStyle="1" w:styleId="CM15">
    <w:name w:val="CM15"/>
    <w:basedOn w:val="Default"/>
    <w:next w:val="Default"/>
    <w:uiPriority w:val="99"/>
    <w:rsid w:val="00BD3051"/>
    <w:rPr>
      <w:rFonts w:cs="Times New Roman"/>
      <w:color w:val="auto"/>
    </w:rPr>
  </w:style>
  <w:style w:type="paragraph" w:customStyle="1" w:styleId="CM2">
    <w:name w:val="CM2"/>
    <w:basedOn w:val="Default"/>
    <w:next w:val="Default"/>
    <w:uiPriority w:val="99"/>
    <w:rsid w:val="00BD3051"/>
    <w:rPr>
      <w:rFonts w:cs="Times New Roman"/>
      <w:color w:val="auto"/>
    </w:rPr>
  </w:style>
  <w:style w:type="paragraph" w:customStyle="1" w:styleId="CM16">
    <w:name w:val="CM16"/>
    <w:basedOn w:val="Default"/>
    <w:next w:val="Default"/>
    <w:uiPriority w:val="99"/>
    <w:rsid w:val="00BD3051"/>
    <w:rPr>
      <w:rFonts w:cs="Times New Roman"/>
      <w:color w:val="auto"/>
    </w:rPr>
  </w:style>
  <w:style w:type="paragraph" w:customStyle="1" w:styleId="CM3">
    <w:name w:val="CM3"/>
    <w:basedOn w:val="Default"/>
    <w:next w:val="Default"/>
    <w:uiPriority w:val="99"/>
    <w:rsid w:val="00BD3051"/>
    <w:pPr>
      <w:spacing w:line="286" w:lineRule="atLeast"/>
    </w:pPr>
    <w:rPr>
      <w:rFonts w:cs="Times New Roman"/>
      <w:color w:val="auto"/>
    </w:rPr>
  </w:style>
  <w:style w:type="paragraph" w:customStyle="1" w:styleId="CM17">
    <w:name w:val="CM17"/>
    <w:basedOn w:val="Default"/>
    <w:next w:val="Default"/>
    <w:uiPriority w:val="99"/>
    <w:rsid w:val="00BD3051"/>
    <w:rPr>
      <w:rFonts w:cs="Times New Roman"/>
      <w:color w:val="auto"/>
    </w:rPr>
  </w:style>
  <w:style w:type="paragraph" w:customStyle="1" w:styleId="CM4">
    <w:name w:val="CM4"/>
    <w:basedOn w:val="Default"/>
    <w:next w:val="Default"/>
    <w:uiPriority w:val="99"/>
    <w:rsid w:val="00BD3051"/>
    <w:pPr>
      <w:spacing w:line="288" w:lineRule="atLeast"/>
    </w:pPr>
    <w:rPr>
      <w:rFonts w:cs="Times New Roman"/>
      <w:color w:val="auto"/>
    </w:rPr>
  </w:style>
  <w:style w:type="paragraph" w:customStyle="1" w:styleId="CM18">
    <w:name w:val="CM18"/>
    <w:basedOn w:val="Default"/>
    <w:next w:val="Default"/>
    <w:uiPriority w:val="99"/>
    <w:rsid w:val="00BD3051"/>
    <w:rPr>
      <w:rFonts w:cs="Times New Roman"/>
      <w:color w:val="auto"/>
    </w:rPr>
  </w:style>
  <w:style w:type="paragraph" w:customStyle="1" w:styleId="CM5">
    <w:name w:val="CM5"/>
    <w:basedOn w:val="Default"/>
    <w:next w:val="Default"/>
    <w:uiPriority w:val="99"/>
    <w:rsid w:val="00BD3051"/>
    <w:pPr>
      <w:spacing w:line="478" w:lineRule="atLeast"/>
    </w:pPr>
    <w:rPr>
      <w:rFonts w:cs="Times New Roman"/>
      <w:color w:val="auto"/>
    </w:rPr>
  </w:style>
  <w:style w:type="paragraph" w:customStyle="1" w:styleId="CM6">
    <w:name w:val="CM6"/>
    <w:basedOn w:val="Default"/>
    <w:next w:val="Default"/>
    <w:uiPriority w:val="99"/>
    <w:rsid w:val="00BD3051"/>
    <w:pPr>
      <w:spacing w:line="478" w:lineRule="atLeast"/>
    </w:pPr>
    <w:rPr>
      <w:rFonts w:cs="Times New Roman"/>
      <w:color w:val="auto"/>
    </w:rPr>
  </w:style>
  <w:style w:type="paragraph" w:customStyle="1" w:styleId="CM19">
    <w:name w:val="CM19"/>
    <w:basedOn w:val="Default"/>
    <w:next w:val="Default"/>
    <w:uiPriority w:val="99"/>
    <w:rsid w:val="00BD3051"/>
    <w:rPr>
      <w:rFonts w:cs="Times New Roman"/>
      <w:color w:val="auto"/>
    </w:rPr>
  </w:style>
  <w:style w:type="paragraph" w:customStyle="1" w:styleId="CM7">
    <w:name w:val="CM7"/>
    <w:basedOn w:val="Default"/>
    <w:next w:val="Default"/>
    <w:uiPriority w:val="99"/>
    <w:rsid w:val="00BD3051"/>
    <w:pPr>
      <w:spacing w:line="240" w:lineRule="atLeast"/>
    </w:pPr>
    <w:rPr>
      <w:rFonts w:cs="Times New Roman"/>
      <w:color w:val="auto"/>
    </w:rPr>
  </w:style>
  <w:style w:type="paragraph" w:customStyle="1" w:styleId="CM21">
    <w:name w:val="CM21"/>
    <w:basedOn w:val="Default"/>
    <w:next w:val="Default"/>
    <w:uiPriority w:val="99"/>
    <w:rsid w:val="00BD3051"/>
    <w:rPr>
      <w:rFonts w:cs="Times New Roman"/>
      <w:color w:val="auto"/>
    </w:rPr>
  </w:style>
  <w:style w:type="paragraph" w:customStyle="1" w:styleId="CM8">
    <w:name w:val="CM8"/>
    <w:basedOn w:val="Default"/>
    <w:next w:val="Default"/>
    <w:uiPriority w:val="99"/>
    <w:rsid w:val="00BD3051"/>
    <w:rPr>
      <w:rFonts w:cs="Times New Roman"/>
      <w:color w:val="auto"/>
    </w:rPr>
  </w:style>
  <w:style w:type="paragraph" w:customStyle="1" w:styleId="CM20">
    <w:name w:val="CM20"/>
    <w:basedOn w:val="Default"/>
    <w:next w:val="Default"/>
    <w:link w:val="CM20Char"/>
    <w:uiPriority w:val="99"/>
    <w:rsid w:val="00BD3051"/>
    <w:rPr>
      <w:rFonts w:cs="Times New Roman"/>
    </w:rPr>
  </w:style>
  <w:style w:type="paragraph" w:customStyle="1" w:styleId="CM23">
    <w:name w:val="CM23"/>
    <w:basedOn w:val="Default"/>
    <w:next w:val="Default"/>
    <w:uiPriority w:val="99"/>
    <w:rsid w:val="00BD3051"/>
    <w:rPr>
      <w:rFonts w:cs="Times New Roman"/>
      <w:color w:val="auto"/>
    </w:rPr>
  </w:style>
  <w:style w:type="paragraph" w:customStyle="1" w:styleId="CM9">
    <w:name w:val="CM9"/>
    <w:basedOn w:val="Default"/>
    <w:next w:val="Default"/>
    <w:uiPriority w:val="99"/>
    <w:rsid w:val="00BD3051"/>
    <w:rPr>
      <w:rFonts w:cs="Times New Roman"/>
      <w:color w:val="auto"/>
    </w:rPr>
  </w:style>
  <w:style w:type="paragraph" w:customStyle="1" w:styleId="CM10">
    <w:name w:val="CM10"/>
    <w:basedOn w:val="Default"/>
    <w:next w:val="Default"/>
    <w:uiPriority w:val="99"/>
    <w:rsid w:val="00BD3051"/>
    <w:rPr>
      <w:rFonts w:cs="Times New Roman"/>
      <w:color w:val="auto"/>
    </w:rPr>
  </w:style>
  <w:style w:type="paragraph" w:customStyle="1" w:styleId="CM11">
    <w:name w:val="CM11"/>
    <w:basedOn w:val="Default"/>
    <w:next w:val="Default"/>
    <w:uiPriority w:val="99"/>
    <w:rsid w:val="00BD3051"/>
    <w:pPr>
      <w:spacing w:line="238" w:lineRule="atLeast"/>
    </w:pPr>
    <w:rPr>
      <w:rFonts w:cs="Times New Roman"/>
      <w:color w:val="auto"/>
    </w:rPr>
  </w:style>
  <w:style w:type="paragraph" w:customStyle="1" w:styleId="CM12">
    <w:name w:val="CM12"/>
    <w:basedOn w:val="Default"/>
    <w:next w:val="Default"/>
    <w:uiPriority w:val="99"/>
    <w:rsid w:val="00BD3051"/>
    <w:pPr>
      <w:spacing w:line="478" w:lineRule="atLeast"/>
    </w:pPr>
    <w:rPr>
      <w:rFonts w:cs="Times New Roman"/>
      <w:color w:val="auto"/>
    </w:rPr>
  </w:style>
  <w:style w:type="paragraph" w:customStyle="1" w:styleId="CM24">
    <w:name w:val="CM24"/>
    <w:basedOn w:val="Default"/>
    <w:next w:val="Default"/>
    <w:uiPriority w:val="99"/>
    <w:rsid w:val="00BD3051"/>
    <w:rPr>
      <w:rFonts w:cs="Times New Roman"/>
      <w:color w:val="auto"/>
    </w:rPr>
  </w:style>
  <w:style w:type="paragraph" w:customStyle="1" w:styleId="CM13">
    <w:name w:val="CM13"/>
    <w:basedOn w:val="Default"/>
    <w:next w:val="Default"/>
    <w:uiPriority w:val="99"/>
    <w:rsid w:val="00BD3051"/>
    <w:pPr>
      <w:spacing w:line="478" w:lineRule="atLeast"/>
    </w:pPr>
    <w:rPr>
      <w:rFonts w:cs="Times New Roman"/>
      <w:color w:val="auto"/>
    </w:rPr>
  </w:style>
  <w:style w:type="paragraph" w:customStyle="1" w:styleId="CM14">
    <w:name w:val="CM14"/>
    <w:basedOn w:val="Default"/>
    <w:next w:val="Default"/>
    <w:uiPriority w:val="99"/>
    <w:rsid w:val="00BD3051"/>
    <w:pPr>
      <w:spacing w:line="478" w:lineRule="atLeast"/>
    </w:pPr>
    <w:rPr>
      <w:rFonts w:cs="Times New Roman"/>
      <w:color w:val="auto"/>
    </w:rPr>
  </w:style>
  <w:style w:type="paragraph" w:styleId="BalloonText">
    <w:name w:val="Balloon Text"/>
    <w:basedOn w:val="Normal"/>
    <w:link w:val="BalloonTextChar"/>
    <w:uiPriority w:val="99"/>
    <w:semiHidden/>
    <w:unhideWhenUsed/>
    <w:rsid w:val="00BD3051"/>
    <w:pPr>
      <w:spacing w:after="0"/>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051"/>
    <w:rPr>
      <w:rFonts w:ascii="Tahoma" w:hAnsi="Tahoma" w:cs="Tahoma"/>
      <w:sz w:val="16"/>
      <w:szCs w:val="16"/>
    </w:rPr>
  </w:style>
  <w:style w:type="paragraph" w:styleId="Date">
    <w:name w:val="Date"/>
    <w:basedOn w:val="Normal"/>
    <w:next w:val="Normal"/>
    <w:link w:val="DateChar"/>
    <w:uiPriority w:val="99"/>
    <w:semiHidden/>
    <w:unhideWhenUsed/>
    <w:rsid w:val="00BD3051"/>
    <w:pPr>
      <w:spacing w:after="0"/>
      <w:ind w:firstLine="0"/>
    </w:pPr>
  </w:style>
  <w:style w:type="character" w:customStyle="1" w:styleId="DateChar">
    <w:name w:val="Date Char"/>
    <w:basedOn w:val="DefaultParagraphFont"/>
    <w:link w:val="Date"/>
    <w:uiPriority w:val="99"/>
    <w:semiHidden/>
    <w:rsid w:val="00BD3051"/>
    <w:rPr>
      <w:rFonts w:ascii="Palatino Linotype" w:hAnsi="Palatino Linotype"/>
      <w:sz w:val="24"/>
    </w:rPr>
  </w:style>
  <w:style w:type="paragraph" w:styleId="NormalWeb">
    <w:name w:val="Normal (Web)"/>
    <w:basedOn w:val="Normal"/>
    <w:uiPriority w:val="99"/>
    <w:semiHidden/>
    <w:unhideWhenUsed/>
    <w:rsid w:val="00BD3051"/>
    <w:pPr>
      <w:spacing w:before="100" w:beforeAutospacing="1" w:after="100" w:afterAutospacing="1"/>
      <w:ind w:firstLine="0"/>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BD3051"/>
    <w:pPr>
      <w:spacing w:after="0"/>
      <w:ind w:firstLine="0"/>
    </w:pPr>
    <w:rPr>
      <w:sz w:val="20"/>
      <w:szCs w:val="20"/>
    </w:rPr>
  </w:style>
  <w:style w:type="character" w:customStyle="1" w:styleId="FootnoteTextChar">
    <w:name w:val="Footnote Text Char"/>
    <w:basedOn w:val="DefaultParagraphFont"/>
    <w:link w:val="FootnoteText"/>
    <w:uiPriority w:val="99"/>
    <w:semiHidden/>
    <w:rsid w:val="00BD3051"/>
    <w:rPr>
      <w:rFonts w:ascii="Palatino Linotype" w:hAnsi="Palatino Linotype"/>
      <w:sz w:val="20"/>
      <w:szCs w:val="20"/>
    </w:rPr>
  </w:style>
  <w:style w:type="character" w:styleId="FootnoteReference">
    <w:name w:val="footnote reference"/>
    <w:basedOn w:val="DefaultParagraphFont"/>
    <w:uiPriority w:val="99"/>
    <w:semiHidden/>
    <w:unhideWhenUsed/>
    <w:rsid w:val="00BD3051"/>
    <w:rPr>
      <w:vertAlign w:val="superscript"/>
    </w:rPr>
  </w:style>
  <w:style w:type="character" w:styleId="Hyperlink">
    <w:name w:val="Hyperlink"/>
    <w:basedOn w:val="DefaultParagraphFont"/>
    <w:uiPriority w:val="99"/>
    <w:unhideWhenUsed/>
    <w:rsid w:val="00BD3051"/>
    <w:rPr>
      <w:color w:val="0000FF" w:themeColor="hyperlink"/>
      <w:u w:val="single"/>
    </w:rPr>
  </w:style>
  <w:style w:type="paragraph" w:customStyle="1" w:styleId="ArticleBibliography">
    <w:name w:val="Article Bibliography"/>
    <w:basedOn w:val="CM20"/>
    <w:link w:val="ArticleBibliographyChar"/>
    <w:qFormat/>
    <w:rsid w:val="00BD3051"/>
    <w:pPr>
      <w:spacing w:after="120"/>
      <w:ind w:left="720" w:hanging="720"/>
      <w:jc w:val="both"/>
    </w:pPr>
    <w:rPr>
      <w:rFonts w:ascii="Palatino Linotype" w:hAnsi="Palatino Linotype" w:cs="URW Palladio L"/>
    </w:rPr>
  </w:style>
  <w:style w:type="character" w:customStyle="1" w:styleId="DefaultChar">
    <w:name w:val="Default Char"/>
    <w:basedOn w:val="DefaultParagraphFont"/>
    <w:link w:val="Default"/>
    <w:rsid w:val="00BD3051"/>
    <w:rPr>
      <w:rFonts w:ascii="URW Palladio L" w:eastAsia="URW Palladio L" w:cs="URW Palladio L"/>
      <w:color w:val="000000"/>
      <w:sz w:val="24"/>
      <w:szCs w:val="24"/>
    </w:rPr>
  </w:style>
  <w:style w:type="character" w:customStyle="1" w:styleId="CM20Char">
    <w:name w:val="CM20 Char"/>
    <w:basedOn w:val="DefaultChar"/>
    <w:link w:val="CM20"/>
    <w:uiPriority w:val="99"/>
    <w:rsid w:val="00BD3051"/>
    <w:rPr>
      <w:rFonts w:ascii="URW Palladio L" w:eastAsia="URW Palladio L" w:cs="Times New Roman"/>
      <w:color w:val="000000"/>
      <w:sz w:val="24"/>
      <w:szCs w:val="24"/>
    </w:rPr>
  </w:style>
  <w:style w:type="character" w:customStyle="1" w:styleId="ArticleBibliographyChar">
    <w:name w:val="Article Bibliography Char"/>
    <w:basedOn w:val="CM20Char"/>
    <w:link w:val="ArticleBibliography"/>
    <w:rsid w:val="00BD3051"/>
    <w:rPr>
      <w:rFonts w:ascii="Palatino Linotype" w:eastAsia="URW Palladio L" w:hAnsi="Palatino Linotype" w:cs="URW Palladio L"/>
      <w:color w:val="000000"/>
      <w:sz w:val="24"/>
      <w:szCs w:val="24"/>
    </w:rPr>
  </w:style>
  <w:style w:type="paragraph" w:styleId="Header">
    <w:name w:val="header"/>
    <w:basedOn w:val="Normal"/>
    <w:link w:val="HeaderChar"/>
    <w:uiPriority w:val="99"/>
    <w:unhideWhenUsed/>
    <w:rsid w:val="00BD3051"/>
    <w:pPr>
      <w:tabs>
        <w:tab w:val="center" w:pos="4680"/>
        <w:tab w:val="right" w:pos="9360"/>
      </w:tabs>
      <w:spacing w:after="0"/>
      <w:ind w:firstLine="0"/>
    </w:pPr>
  </w:style>
  <w:style w:type="character" w:customStyle="1" w:styleId="HeaderChar">
    <w:name w:val="Header Char"/>
    <w:basedOn w:val="DefaultParagraphFont"/>
    <w:link w:val="Header"/>
    <w:uiPriority w:val="99"/>
    <w:rsid w:val="00BD3051"/>
    <w:rPr>
      <w:rFonts w:ascii="Palatino Linotype" w:hAnsi="Palatino Linotype"/>
      <w:sz w:val="24"/>
    </w:rPr>
  </w:style>
  <w:style w:type="paragraph" w:styleId="Footer">
    <w:name w:val="footer"/>
    <w:basedOn w:val="Normal"/>
    <w:link w:val="FooterChar"/>
    <w:uiPriority w:val="99"/>
    <w:unhideWhenUsed/>
    <w:rsid w:val="00BD3051"/>
    <w:pPr>
      <w:tabs>
        <w:tab w:val="center" w:pos="4680"/>
        <w:tab w:val="right" w:pos="9360"/>
      </w:tabs>
      <w:spacing w:after="0"/>
      <w:ind w:firstLine="0"/>
    </w:pPr>
  </w:style>
  <w:style w:type="character" w:customStyle="1" w:styleId="FooterChar">
    <w:name w:val="Footer Char"/>
    <w:basedOn w:val="DefaultParagraphFont"/>
    <w:link w:val="Footer"/>
    <w:uiPriority w:val="99"/>
    <w:rsid w:val="00BD3051"/>
    <w:rPr>
      <w:rFonts w:ascii="Palatino Linotype" w:hAnsi="Palatino Linotype"/>
      <w:sz w:val="24"/>
    </w:rPr>
  </w:style>
  <w:style w:type="paragraph" w:styleId="Bibliography">
    <w:name w:val="Bibliography"/>
    <w:basedOn w:val="Normal"/>
    <w:next w:val="Normal"/>
    <w:uiPriority w:val="37"/>
    <w:unhideWhenUsed/>
    <w:rsid w:val="00BD3051"/>
    <w:pPr>
      <w:spacing w:after="0" w:line="480" w:lineRule="auto"/>
      <w:ind w:left="720" w:hanging="720"/>
    </w:pPr>
  </w:style>
  <w:style w:type="table" w:styleId="TableGrid">
    <w:name w:val="Table Grid"/>
    <w:basedOn w:val="TableNormal"/>
    <w:uiPriority w:val="59"/>
    <w:rsid w:val="00BD3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D3051"/>
  </w:style>
  <w:style w:type="table" w:customStyle="1" w:styleId="TableGrid1">
    <w:name w:val="Table Grid1"/>
    <w:basedOn w:val="TableNormal"/>
    <w:next w:val="TableGrid"/>
    <w:uiPriority w:val="59"/>
    <w:rsid w:val="00BD3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26E"/>
    <w:pPr>
      <w:spacing w:line="240" w:lineRule="auto"/>
    </w:pPr>
    <w:rPr>
      <w:rFonts w:ascii="Palatino Linotype" w:hAnsi="Palatino Linotype"/>
      <w:sz w:val="24"/>
    </w:rPr>
  </w:style>
  <w:style w:type="paragraph" w:styleId="Heading1">
    <w:name w:val="heading 1"/>
    <w:aliases w:val="Chapter"/>
    <w:basedOn w:val="Normal"/>
    <w:next w:val="Normal"/>
    <w:link w:val="Heading1Char"/>
    <w:uiPriority w:val="9"/>
    <w:qFormat/>
    <w:rsid w:val="009C526E"/>
    <w:pPr>
      <w:spacing w:before="600" w:after="0" w:line="360" w:lineRule="auto"/>
      <w:ind w:firstLine="0"/>
      <w:outlineLvl w:val="0"/>
    </w:pPr>
    <w:rPr>
      <w:rFonts w:asciiTheme="majorHAnsi" w:eastAsiaTheme="majorEastAsia" w:hAnsiTheme="majorHAnsi" w:cstheme="majorBidi"/>
      <w:b/>
      <w:bCs/>
      <w:iCs/>
      <w:sz w:val="32"/>
      <w:szCs w:val="32"/>
    </w:rPr>
  </w:style>
  <w:style w:type="paragraph" w:styleId="Heading2">
    <w:name w:val="heading 2"/>
    <w:basedOn w:val="Normal"/>
    <w:next w:val="Normal"/>
    <w:link w:val="Heading2Char"/>
    <w:uiPriority w:val="9"/>
    <w:semiHidden/>
    <w:unhideWhenUsed/>
    <w:qFormat/>
    <w:rsid w:val="009C526E"/>
    <w:pPr>
      <w:spacing w:before="320" w:after="0" w:line="360" w:lineRule="auto"/>
      <w:ind w:firstLine="0"/>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uiPriority w:val="9"/>
    <w:semiHidden/>
    <w:unhideWhenUsed/>
    <w:qFormat/>
    <w:rsid w:val="009C526E"/>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9C526E"/>
    <w:pPr>
      <w:spacing w:before="280" w:after="0" w:line="360" w:lineRule="auto"/>
      <w:ind w:firstLine="0"/>
      <w:outlineLvl w:val="3"/>
    </w:pPr>
    <w:rPr>
      <w:rFonts w:asciiTheme="majorHAnsi" w:eastAsiaTheme="majorEastAsia" w:hAnsiTheme="majorHAnsi" w:cstheme="majorBidi"/>
      <w:b/>
      <w:bCs/>
      <w:i/>
      <w:iCs/>
      <w:szCs w:val="24"/>
    </w:rPr>
  </w:style>
  <w:style w:type="paragraph" w:styleId="Heading5">
    <w:name w:val="heading 5"/>
    <w:basedOn w:val="Normal"/>
    <w:next w:val="Normal"/>
    <w:link w:val="Heading5Char"/>
    <w:uiPriority w:val="9"/>
    <w:semiHidden/>
    <w:unhideWhenUsed/>
    <w:qFormat/>
    <w:rsid w:val="009C526E"/>
    <w:pPr>
      <w:spacing w:before="280" w:after="0" w:line="360" w:lineRule="auto"/>
      <w:ind w:firstLine="0"/>
      <w:outlineLvl w:val="4"/>
    </w:pPr>
    <w:rPr>
      <w:rFonts w:asciiTheme="majorHAnsi" w:eastAsiaTheme="majorEastAsia" w:hAnsiTheme="majorHAnsi" w:cstheme="majorBidi"/>
      <w:b/>
      <w:bCs/>
      <w:i/>
      <w:iCs/>
      <w:sz w:val="22"/>
    </w:rPr>
  </w:style>
  <w:style w:type="paragraph" w:styleId="Heading6">
    <w:name w:val="heading 6"/>
    <w:basedOn w:val="Normal"/>
    <w:next w:val="Normal"/>
    <w:link w:val="Heading6Char"/>
    <w:uiPriority w:val="9"/>
    <w:semiHidden/>
    <w:unhideWhenUsed/>
    <w:qFormat/>
    <w:rsid w:val="009C526E"/>
    <w:pPr>
      <w:spacing w:before="280" w:after="80" w:line="360" w:lineRule="auto"/>
      <w:ind w:firstLine="0"/>
      <w:outlineLvl w:val="5"/>
    </w:pPr>
    <w:rPr>
      <w:rFonts w:asciiTheme="majorHAnsi" w:eastAsiaTheme="majorEastAsia" w:hAnsiTheme="majorHAnsi" w:cstheme="majorBidi"/>
      <w:b/>
      <w:bCs/>
      <w:i/>
      <w:iCs/>
      <w:sz w:val="22"/>
    </w:rPr>
  </w:style>
  <w:style w:type="paragraph" w:styleId="Heading7">
    <w:name w:val="heading 7"/>
    <w:basedOn w:val="Normal"/>
    <w:next w:val="Normal"/>
    <w:link w:val="Heading7Char"/>
    <w:uiPriority w:val="9"/>
    <w:semiHidden/>
    <w:unhideWhenUsed/>
    <w:qFormat/>
    <w:rsid w:val="009C526E"/>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9C526E"/>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9C526E"/>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link w:val="subheadChar"/>
    <w:qFormat/>
    <w:rsid w:val="009C526E"/>
    <w:pPr>
      <w:spacing w:before="240" w:line="360" w:lineRule="auto"/>
      <w:ind w:firstLine="0"/>
    </w:pPr>
    <w:rPr>
      <w:rFonts w:ascii="Trebuchet MS" w:eastAsia="宋体" w:hAnsi="Trebuchet MS"/>
      <w:b/>
      <w:sz w:val="28"/>
    </w:rPr>
  </w:style>
  <w:style w:type="character" w:customStyle="1" w:styleId="subheadChar">
    <w:name w:val="subhead Char"/>
    <w:basedOn w:val="DefaultParagraphFont"/>
    <w:link w:val="subhead"/>
    <w:rsid w:val="009C526E"/>
    <w:rPr>
      <w:rFonts w:ascii="Trebuchet MS" w:eastAsia="宋体" w:hAnsi="Trebuchet MS"/>
      <w:b/>
      <w:sz w:val="28"/>
    </w:rPr>
  </w:style>
  <w:style w:type="paragraph" w:customStyle="1" w:styleId="figure">
    <w:name w:val="figure"/>
    <w:basedOn w:val="Normal"/>
    <w:link w:val="figureChar"/>
    <w:qFormat/>
    <w:rsid w:val="009C526E"/>
    <w:pPr>
      <w:spacing w:after="0" w:line="360" w:lineRule="auto"/>
      <w:ind w:firstLine="0"/>
    </w:pPr>
    <w:rPr>
      <w:rFonts w:ascii="Trebuchet MS" w:eastAsia="宋体" w:hAnsi="Trebuchet MS"/>
      <w:b/>
      <w:sz w:val="28"/>
    </w:rPr>
  </w:style>
  <w:style w:type="character" w:customStyle="1" w:styleId="figureChar">
    <w:name w:val="figure Char"/>
    <w:link w:val="figure"/>
    <w:rsid w:val="009C526E"/>
    <w:rPr>
      <w:rFonts w:ascii="Trebuchet MS" w:eastAsia="宋体" w:hAnsi="Trebuchet MS"/>
      <w:b/>
      <w:sz w:val="28"/>
    </w:rPr>
  </w:style>
  <w:style w:type="paragraph" w:customStyle="1" w:styleId="table">
    <w:name w:val="table"/>
    <w:basedOn w:val="figure"/>
    <w:link w:val="tableChar"/>
    <w:qFormat/>
    <w:rsid w:val="009C526E"/>
  </w:style>
  <w:style w:type="character" w:customStyle="1" w:styleId="tableChar">
    <w:name w:val="table Char"/>
    <w:link w:val="table"/>
    <w:rsid w:val="009C526E"/>
    <w:rPr>
      <w:rFonts w:ascii="Trebuchet MS" w:eastAsia="宋体" w:hAnsi="Trebuchet MS"/>
      <w:b/>
      <w:sz w:val="28"/>
    </w:rPr>
  </w:style>
  <w:style w:type="paragraph" w:customStyle="1" w:styleId="Section">
    <w:name w:val="Section"/>
    <w:basedOn w:val="Heading1"/>
    <w:link w:val="SectionChar"/>
    <w:qFormat/>
    <w:rsid w:val="009C526E"/>
    <w:pPr>
      <w:keepNext/>
      <w:keepLines/>
      <w:spacing w:before="480" w:line="240" w:lineRule="auto"/>
    </w:pPr>
    <w:rPr>
      <w:rFonts w:ascii="Calibri" w:eastAsia="宋体" w:hAnsi="Calibri" w:cs="Times New Roman"/>
      <w:iCs w:val="0"/>
      <w:sz w:val="36"/>
      <w:szCs w:val="28"/>
    </w:rPr>
  </w:style>
  <w:style w:type="character" w:customStyle="1" w:styleId="SectionChar">
    <w:name w:val="Section Char"/>
    <w:link w:val="Section"/>
    <w:rsid w:val="009C526E"/>
    <w:rPr>
      <w:rFonts w:ascii="Calibri" w:eastAsia="宋体" w:hAnsi="Calibri" w:cs="Times New Roman"/>
      <w:b/>
      <w:bCs/>
      <w:sz w:val="36"/>
      <w:szCs w:val="28"/>
    </w:rPr>
  </w:style>
  <w:style w:type="character" w:customStyle="1" w:styleId="Heading1Char">
    <w:name w:val="Heading 1 Char"/>
    <w:aliases w:val="Chapter Char"/>
    <w:basedOn w:val="DefaultParagraphFont"/>
    <w:link w:val="Heading1"/>
    <w:uiPriority w:val="9"/>
    <w:rsid w:val="009C526E"/>
    <w:rPr>
      <w:rFonts w:asciiTheme="majorHAnsi" w:eastAsiaTheme="majorEastAsia" w:hAnsiTheme="majorHAnsi" w:cstheme="majorBidi"/>
      <w:b/>
      <w:bCs/>
      <w:iCs/>
      <w:sz w:val="32"/>
      <w:szCs w:val="32"/>
    </w:rPr>
  </w:style>
  <w:style w:type="paragraph" w:customStyle="1" w:styleId="ArticleText">
    <w:name w:val="Article Text"/>
    <w:basedOn w:val="Normal"/>
    <w:link w:val="ArticleTextChar"/>
    <w:qFormat/>
    <w:rsid w:val="009C526E"/>
  </w:style>
  <w:style w:type="character" w:customStyle="1" w:styleId="ArticleTextChar">
    <w:name w:val="Article Text Char"/>
    <w:basedOn w:val="DefaultParagraphFont"/>
    <w:link w:val="ArticleText"/>
    <w:rsid w:val="009C526E"/>
    <w:rPr>
      <w:rFonts w:ascii="Palatino Linotype" w:hAnsi="Palatino Linotype"/>
      <w:sz w:val="24"/>
    </w:rPr>
  </w:style>
  <w:style w:type="paragraph" w:customStyle="1" w:styleId="Table0">
    <w:name w:val="Table"/>
    <w:basedOn w:val="Heading3"/>
    <w:link w:val="TableChar0"/>
    <w:qFormat/>
    <w:rsid w:val="009C526E"/>
    <w:pPr>
      <w:spacing w:before="240" w:line="240" w:lineRule="auto"/>
    </w:pPr>
    <w:rPr>
      <w:rFonts w:ascii="Palatino Linotype" w:eastAsia="宋体" w:hAnsi="Palatino Linotype" w:cs="Times New Roman"/>
      <w:i w:val="0"/>
      <w:sz w:val="28"/>
    </w:rPr>
  </w:style>
  <w:style w:type="character" w:customStyle="1" w:styleId="TableChar0">
    <w:name w:val="Table Char"/>
    <w:link w:val="Table0"/>
    <w:rsid w:val="009C526E"/>
    <w:rPr>
      <w:rFonts w:ascii="Palatino Linotype" w:eastAsia="宋体" w:hAnsi="Palatino Linotype" w:cs="Times New Roman"/>
      <w:b/>
      <w:bCs/>
      <w:iCs/>
      <w:sz w:val="28"/>
      <w:szCs w:val="26"/>
    </w:rPr>
  </w:style>
  <w:style w:type="character" w:customStyle="1" w:styleId="Heading3Char">
    <w:name w:val="Heading 3 Char"/>
    <w:basedOn w:val="DefaultParagraphFont"/>
    <w:link w:val="Heading3"/>
    <w:uiPriority w:val="9"/>
    <w:semiHidden/>
    <w:rsid w:val="009C526E"/>
    <w:rPr>
      <w:rFonts w:asciiTheme="majorHAnsi" w:eastAsiaTheme="majorEastAsia" w:hAnsiTheme="majorHAnsi" w:cstheme="majorBidi"/>
      <w:b/>
      <w:bCs/>
      <w:i/>
      <w:iCs/>
      <w:sz w:val="26"/>
      <w:szCs w:val="26"/>
    </w:rPr>
  </w:style>
  <w:style w:type="character" w:customStyle="1" w:styleId="Heading2Char">
    <w:name w:val="Heading 2 Char"/>
    <w:basedOn w:val="DefaultParagraphFont"/>
    <w:link w:val="Heading2"/>
    <w:uiPriority w:val="9"/>
    <w:semiHidden/>
    <w:rsid w:val="009C526E"/>
    <w:rPr>
      <w:rFonts w:asciiTheme="majorHAnsi" w:eastAsiaTheme="majorEastAsia" w:hAnsiTheme="majorHAnsi" w:cstheme="majorBidi"/>
      <w:b/>
      <w:bCs/>
      <w:iCs/>
      <w:sz w:val="28"/>
      <w:szCs w:val="28"/>
    </w:rPr>
  </w:style>
  <w:style w:type="character" w:customStyle="1" w:styleId="Heading4Char">
    <w:name w:val="Heading 4 Char"/>
    <w:basedOn w:val="DefaultParagraphFont"/>
    <w:link w:val="Heading4"/>
    <w:uiPriority w:val="9"/>
    <w:semiHidden/>
    <w:rsid w:val="009C526E"/>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9C526E"/>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9C526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C526E"/>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9C526E"/>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9C526E"/>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9C526E"/>
    <w:rPr>
      <w:b/>
      <w:bCs/>
      <w:sz w:val="18"/>
      <w:szCs w:val="18"/>
    </w:rPr>
  </w:style>
  <w:style w:type="paragraph" w:styleId="Title">
    <w:name w:val="Title"/>
    <w:basedOn w:val="Normal"/>
    <w:next w:val="Normal"/>
    <w:link w:val="TitleChar"/>
    <w:uiPriority w:val="10"/>
    <w:qFormat/>
    <w:rsid w:val="009C526E"/>
    <w:pPr>
      <w:ind w:firstLine="0"/>
    </w:pPr>
    <w:rPr>
      <w:rFonts w:asciiTheme="majorHAnsi" w:eastAsiaTheme="majorEastAsia" w:hAnsiTheme="majorHAnsi" w:cstheme="majorBidi"/>
      <w:b/>
      <w:bCs/>
      <w:iCs/>
      <w:spacing w:val="10"/>
      <w:sz w:val="60"/>
      <w:szCs w:val="60"/>
    </w:rPr>
  </w:style>
  <w:style w:type="character" w:customStyle="1" w:styleId="TitleChar">
    <w:name w:val="Title Char"/>
    <w:basedOn w:val="DefaultParagraphFont"/>
    <w:link w:val="Title"/>
    <w:uiPriority w:val="10"/>
    <w:rsid w:val="009C526E"/>
    <w:rPr>
      <w:rFonts w:asciiTheme="majorHAnsi" w:eastAsiaTheme="majorEastAsia" w:hAnsiTheme="majorHAnsi" w:cstheme="majorBidi"/>
      <w:b/>
      <w:bCs/>
      <w:iCs/>
      <w:spacing w:val="10"/>
      <w:sz w:val="60"/>
      <w:szCs w:val="60"/>
    </w:rPr>
  </w:style>
  <w:style w:type="paragraph" w:styleId="Subtitle">
    <w:name w:val="Subtitle"/>
    <w:basedOn w:val="Normal"/>
    <w:next w:val="Normal"/>
    <w:link w:val="SubtitleChar"/>
    <w:uiPriority w:val="11"/>
    <w:qFormat/>
    <w:rsid w:val="009C526E"/>
    <w:pPr>
      <w:spacing w:after="320"/>
      <w:jc w:val="right"/>
    </w:pPr>
    <w:rPr>
      <w:rFonts w:asciiTheme="minorHAnsi" w:hAnsiTheme="minorHAnsi"/>
      <w:i/>
      <w:iCs/>
      <w:color w:val="808080" w:themeColor="text1" w:themeTint="7F"/>
      <w:spacing w:val="10"/>
      <w:szCs w:val="24"/>
    </w:rPr>
  </w:style>
  <w:style w:type="character" w:customStyle="1" w:styleId="SubtitleChar">
    <w:name w:val="Subtitle Char"/>
    <w:basedOn w:val="DefaultParagraphFont"/>
    <w:link w:val="Subtitle"/>
    <w:uiPriority w:val="11"/>
    <w:rsid w:val="009C526E"/>
    <w:rPr>
      <w:i/>
      <w:iCs/>
      <w:color w:val="808080" w:themeColor="text1" w:themeTint="7F"/>
      <w:spacing w:val="10"/>
      <w:sz w:val="24"/>
      <w:szCs w:val="24"/>
    </w:rPr>
  </w:style>
  <w:style w:type="character" w:styleId="Strong">
    <w:name w:val="Strong"/>
    <w:basedOn w:val="DefaultParagraphFont"/>
    <w:uiPriority w:val="22"/>
    <w:qFormat/>
    <w:rsid w:val="009C526E"/>
    <w:rPr>
      <w:b/>
      <w:bCs/>
      <w:spacing w:val="0"/>
    </w:rPr>
  </w:style>
  <w:style w:type="character" w:styleId="Emphasis">
    <w:name w:val="Emphasis"/>
    <w:uiPriority w:val="20"/>
    <w:qFormat/>
    <w:rsid w:val="009C526E"/>
    <w:rPr>
      <w:b/>
      <w:bCs/>
      <w:i/>
      <w:iCs/>
      <w:color w:val="auto"/>
    </w:rPr>
  </w:style>
  <w:style w:type="paragraph" w:styleId="NoSpacing">
    <w:name w:val="No Spacing"/>
    <w:basedOn w:val="Normal"/>
    <w:uiPriority w:val="1"/>
    <w:qFormat/>
    <w:rsid w:val="009C526E"/>
    <w:pPr>
      <w:spacing w:after="0"/>
      <w:ind w:firstLine="0"/>
    </w:pPr>
    <w:rPr>
      <w:szCs w:val="24"/>
    </w:rPr>
  </w:style>
  <w:style w:type="paragraph" w:styleId="ListParagraph">
    <w:name w:val="List Paragraph"/>
    <w:basedOn w:val="Normal"/>
    <w:uiPriority w:val="34"/>
    <w:qFormat/>
    <w:rsid w:val="009C526E"/>
    <w:pPr>
      <w:ind w:left="720"/>
      <w:contextualSpacing/>
    </w:pPr>
  </w:style>
  <w:style w:type="paragraph" w:styleId="Quote">
    <w:name w:val="Quote"/>
    <w:basedOn w:val="Normal"/>
    <w:next w:val="Normal"/>
    <w:link w:val="QuoteChar"/>
    <w:uiPriority w:val="29"/>
    <w:qFormat/>
    <w:rsid w:val="009C526E"/>
    <w:pPr>
      <w:ind w:left="1080" w:right="1080" w:firstLine="0"/>
    </w:pPr>
    <w:rPr>
      <w:bCs/>
    </w:rPr>
  </w:style>
  <w:style w:type="character" w:customStyle="1" w:styleId="QuoteChar">
    <w:name w:val="Quote Char"/>
    <w:basedOn w:val="DefaultParagraphFont"/>
    <w:link w:val="Quote"/>
    <w:uiPriority w:val="29"/>
    <w:rsid w:val="009C526E"/>
    <w:rPr>
      <w:rFonts w:ascii="Palatino Linotype" w:hAnsi="Palatino Linotype"/>
      <w:bCs/>
      <w:sz w:val="24"/>
    </w:rPr>
  </w:style>
  <w:style w:type="paragraph" w:styleId="IntenseQuote">
    <w:name w:val="Intense Quote"/>
    <w:basedOn w:val="Normal"/>
    <w:next w:val="Normal"/>
    <w:link w:val="IntenseQuoteChar"/>
    <w:uiPriority w:val="30"/>
    <w:qFormat/>
    <w:rsid w:val="009C526E"/>
    <w:pPr>
      <w:spacing w:before="320" w:after="480"/>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9C526E"/>
    <w:rPr>
      <w:rFonts w:asciiTheme="majorHAnsi" w:eastAsiaTheme="majorEastAsia" w:hAnsiTheme="majorHAnsi" w:cstheme="majorBidi"/>
      <w:i/>
      <w:iCs/>
      <w:sz w:val="20"/>
      <w:szCs w:val="20"/>
    </w:rPr>
  </w:style>
  <w:style w:type="character" w:styleId="SubtleEmphasis">
    <w:name w:val="Subtle Emphasis"/>
    <w:uiPriority w:val="19"/>
    <w:qFormat/>
    <w:rsid w:val="009C526E"/>
    <w:rPr>
      <w:i/>
      <w:iCs/>
      <w:color w:val="5A5A5A" w:themeColor="text1" w:themeTint="A5"/>
    </w:rPr>
  </w:style>
  <w:style w:type="character" w:styleId="IntenseEmphasis">
    <w:name w:val="Intense Emphasis"/>
    <w:uiPriority w:val="21"/>
    <w:qFormat/>
    <w:rsid w:val="009C526E"/>
    <w:rPr>
      <w:b/>
      <w:bCs/>
      <w:i/>
      <w:iCs/>
      <w:color w:val="auto"/>
      <w:u w:val="single"/>
    </w:rPr>
  </w:style>
  <w:style w:type="character" w:styleId="SubtleReference">
    <w:name w:val="Subtle Reference"/>
    <w:uiPriority w:val="31"/>
    <w:qFormat/>
    <w:rsid w:val="009C526E"/>
    <w:rPr>
      <w:smallCaps/>
    </w:rPr>
  </w:style>
  <w:style w:type="character" w:styleId="IntenseReference">
    <w:name w:val="Intense Reference"/>
    <w:uiPriority w:val="32"/>
    <w:qFormat/>
    <w:rsid w:val="009C526E"/>
    <w:rPr>
      <w:b/>
      <w:bCs/>
      <w:smallCaps/>
      <w:color w:val="auto"/>
    </w:rPr>
  </w:style>
  <w:style w:type="character" w:styleId="BookTitle">
    <w:name w:val="Book Title"/>
    <w:uiPriority w:val="33"/>
    <w:qFormat/>
    <w:rsid w:val="009C526E"/>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9C526E"/>
    <w:pPr>
      <w:outlineLvl w:val="9"/>
    </w:pPr>
  </w:style>
  <w:style w:type="paragraph" w:customStyle="1" w:styleId="Default">
    <w:name w:val="Default"/>
    <w:link w:val="DefaultChar"/>
    <w:rsid w:val="00BD3051"/>
    <w:pPr>
      <w:widowControl w:val="0"/>
      <w:autoSpaceDE w:val="0"/>
      <w:autoSpaceDN w:val="0"/>
      <w:adjustRightInd w:val="0"/>
      <w:spacing w:after="0" w:line="240" w:lineRule="auto"/>
    </w:pPr>
    <w:rPr>
      <w:rFonts w:ascii="URW Palladio L" w:eastAsia="URW Palladio L" w:cs="URW Palladio L"/>
      <w:color w:val="000000"/>
      <w:sz w:val="24"/>
      <w:szCs w:val="24"/>
    </w:rPr>
  </w:style>
  <w:style w:type="paragraph" w:customStyle="1" w:styleId="CM1">
    <w:name w:val="CM1"/>
    <w:basedOn w:val="Default"/>
    <w:next w:val="Default"/>
    <w:uiPriority w:val="99"/>
    <w:rsid w:val="00BD3051"/>
    <w:pPr>
      <w:spacing w:line="483" w:lineRule="atLeast"/>
    </w:pPr>
    <w:rPr>
      <w:rFonts w:cs="Times New Roman"/>
      <w:color w:val="auto"/>
    </w:rPr>
  </w:style>
  <w:style w:type="paragraph" w:customStyle="1" w:styleId="CM15">
    <w:name w:val="CM15"/>
    <w:basedOn w:val="Default"/>
    <w:next w:val="Default"/>
    <w:uiPriority w:val="99"/>
    <w:rsid w:val="00BD3051"/>
    <w:rPr>
      <w:rFonts w:cs="Times New Roman"/>
      <w:color w:val="auto"/>
    </w:rPr>
  </w:style>
  <w:style w:type="paragraph" w:customStyle="1" w:styleId="CM2">
    <w:name w:val="CM2"/>
    <w:basedOn w:val="Default"/>
    <w:next w:val="Default"/>
    <w:uiPriority w:val="99"/>
    <w:rsid w:val="00BD3051"/>
    <w:rPr>
      <w:rFonts w:cs="Times New Roman"/>
      <w:color w:val="auto"/>
    </w:rPr>
  </w:style>
  <w:style w:type="paragraph" w:customStyle="1" w:styleId="CM16">
    <w:name w:val="CM16"/>
    <w:basedOn w:val="Default"/>
    <w:next w:val="Default"/>
    <w:uiPriority w:val="99"/>
    <w:rsid w:val="00BD3051"/>
    <w:rPr>
      <w:rFonts w:cs="Times New Roman"/>
      <w:color w:val="auto"/>
    </w:rPr>
  </w:style>
  <w:style w:type="paragraph" w:customStyle="1" w:styleId="CM3">
    <w:name w:val="CM3"/>
    <w:basedOn w:val="Default"/>
    <w:next w:val="Default"/>
    <w:uiPriority w:val="99"/>
    <w:rsid w:val="00BD3051"/>
    <w:pPr>
      <w:spacing w:line="286" w:lineRule="atLeast"/>
    </w:pPr>
    <w:rPr>
      <w:rFonts w:cs="Times New Roman"/>
      <w:color w:val="auto"/>
    </w:rPr>
  </w:style>
  <w:style w:type="paragraph" w:customStyle="1" w:styleId="CM17">
    <w:name w:val="CM17"/>
    <w:basedOn w:val="Default"/>
    <w:next w:val="Default"/>
    <w:uiPriority w:val="99"/>
    <w:rsid w:val="00BD3051"/>
    <w:rPr>
      <w:rFonts w:cs="Times New Roman"/>
      <w:color w:val="auto"/>
    </w:rPr>
  </w:style>
  <w:style w:type="paragraph" w:customStyle="1" w:styleId="CM4">
    <w:name w:val="CM4"/>
    <w:basedOn w:val="Default"/>
    <w:next w:val="Default"/>
    <w:uiPriority w:val="99"/>
    <w:rsid w:val="00BD3051"/>
    <w:pPr>
      <w:spacing w:line="288" w:lineRule="atLeast"/>
    </w:pPr>
    <w:rPr>
      <w:rFonts w:cs="Times New Roman"/>
      <w:color w:val="auto"/>
    </w:rPr>
  </w:style>
  <w:style w:type="paragraph" w:customStyle="1" w:styleId="CM18">
    <w:name w:val="CM18"/>
    <w:basedOn w:val="Default"/>
    <w:next w:val="Default"/>
    <w:uiPriority w:val="99"/>
    <w:rsid w:val="00BD3051"/>
    <w:rPr>
      <w:rFonts w:cs="Times New Roman"/>
      <w:color w:val="auto"/>
    </w:rPr>
  </w:style>
  <w:style w:type="paragraph" w:customStyle="1" w:styleId="CM5">
    <w:name w:val="CM5"/>
    <w:basedOn w:val="Default"/>
    <w:next w:val="Default"/>
    <w:uiPriority w:val="99"/>
    <w:rsid w:val="00BD3051"/>
    <w:pPr>
      <w:spacing w:line="478" w:lineRule="atLeast"/>
    </w:pPr>
    <w:rPr>
      <w:rFonts w:cs="Times New Roman"/>
      <w:color w:val="auto"/>
    </w:rPr>
  </w:style>
  <w:style w:type="paragraph" w:customStyle="1" w:styleId="CM6">
    <w:name w:val="CM6"/>
    <w:basedOn w:val="Default"/>
    <w:next w:val="Default"/>
    <w:uiPriority w:val="99"/>
    <w:rsid w:val="00BD3051"/>
    <w:pPr>
      <w:spacing w:line="478" w:lineRule="atLeast"/>
    </w:pPr>
    <w:rPr>
      <w:rFonts w:cs="Times New Roman"/>
      <w:color w:val="auto"/>
    </w:rPr>
  </w:style>
  <w:style w:type="paragraph" w:customStyle="1" w:styleId="CM19">
    <w:name w:val="CM19"/>
    <w:basedOn w:val="Default"/>
    <w:next w:val="Default"/>
    <w:uiPriority w:val="99"/>
    <w:rsid w:val="00BD3051"/>
    <w:rPr>
      <w:rFonts w:cs="Times New Roman"/>
      <w:color w:val="auto"/>
    </w:rPr>
  </w:style>
  <w:style w:type="paragraph" w:customStyle="1" w:styleId="CM7">
    <w:name w:val="CM7"/>
    <w:basedOn w:val="Default"/>
    <w:next w:val="Default"/>
    <w:uiPriority w:val="99"/>
    <w:rsid w:val="00BD3051"/>
    <w:pPr>
      <w:spacing w:line="240" w:lineRule="atLeast"/>
    </w:pPr>
    <w:rPr>
      <w:rFonts w:cs="Times New Roman"/>
      <w:color w:val="auto"/>
    </w:rPr>
  </w:style>
  <w:style w:type="paragraph" w:customStyle="1" w:styleId="CM21">
    <w:name w:val="CM21"/>
    <w:basedOn w:val="Default"/>
    <w:next w:val="Default"/>
    <w:uiPriority w:val="99"/>
    <w:rsid w:val="00BD3051"/>
    <w:rPr>
      <w:rFonts w:cs="Times New Roman"/>
      <w:color w:val="auto"/>
    </w:rPr>
  </w:style>
  <w:style w:type="paragraph" w:customStyle="1" w:styleId="CM8">
    <w:name w:val="CM8"/>
    <w:basedOn w:val="Default"/>
    <w:next w:val="Default"/>
    <w:uiPriority w:val="99"/>
    <w:rsid w:val="00BD3051"/>
    <w:rPr>
      <w:rFonts w:cs="Times New Roman"/>
      <w:color w:val="auto"/>
    </w:rPr>
  </w:style>
  <w:style w:type="paragraph" w:customStyle="1" w:styleId="CM20">
    <w:name w:val="CM20"/>
    <w:basedOn w:val="Default"/>
    <w:next w:val="Default"/>
    <w:link w:val="CM20Char"/>
    <w:uiPriority w:val="99"/>
    <w:rsid w:val="00BD3051"/>
    <w:rPr>
      <w:rFonts w:cs="Times New Roman"/>
    </w:rPr>
  </w:style>
  <w:style w:type="paragraph" w:customStyle="1" w:styleId="CM23">
    <w:name w:val="CM23"/>
    <w:basedOn w:val="Default"/>
    <w:next w:val="Default"/>
    <w:uiPriority w:val="99"/>
    <w:rsid w:val="00BD3051"/>
    <w:rPr>
      <w:rFonts w:cs="Times New Roman"/>
      <w:color w:val="auto"/>
    </w:rPr>
  </w:style>
  <w:style w:type="paragraph" w:customStyle="1" w:styleId="CM9">
    <w:name w:val="CM9"/>
    <w:basedOn w:val="Default"/>
    <w:next w:val="Default"/>
    <w:uiPriority w:val="99"/>
    <w:rsid w:val="00BD3051"/>
    <w:rPr>
      <w:rFonts w:cs="Times New Roman"/>
      <w:color w:val="auto"/>
    </w:rPr>
  </w:style>
  <w:style w:type="paragraph" w:customStyle="1" w:styleId="CM10">
    <w:name w:val="CM10"/>
    <w:basedOn w:val="Default"/>
    <w:next w:val="Default"/>
    <w:uiPriority w:val="99"/>
    <w:rsid w:val="00BD3051"/>
    <w:rPr>
      <w:rFonts w:cs="Times New Roman"/>
      <w:color w:val="auto"/>
    </w:rPr>
  </w:style>
  <w:style w:type="paragraph" w:customStyle="1" w:styleId="CM11">
    <w:name w:val="CM11"/>
    <w:basedOn w:val="Default"/>
    <w:next w:val="Default"/>
    <w:uiPriority w:val="99"/>
    <w:rsid w:val="00BD3051"/>
    <w:pPr>
      <w:spacing w:line="238" w:lineRule="atLeast"/>
    </w:pPr>
    <w:rPr>
      <w:rFonts w:cs="Times New Roman"/>
      <w:color w:val="auto"/>
    </w:rPr>
  </w:style>
  <w:style w:type="paragraph" w:customStyle="1" w:styleId="CM12">
    <w:name w:val="CM12"/>
    <w:basedOn w:val="Default"/>
    <w:next w:val="Default"/>
    <w:uiPriority w:val="99"/>
    <w:rsid w:val="00BD3051"/>
    <w:pPr>
      <w:spacing w:line="478" w:lineRule="atLeast"/>
    </w:pPr>
    <w:rPr>
      <w:rFonts w:cs="Times New Roman"/>
      <w:color w:val="auto"/>
    </w:rPr>
  </w:style>
  <w:style w:type="paragraph" w:customStyle="1" w:styleId="CM24">
    <w:name w:val="CM24"/>
    <w:basedOn w:val="Default"/>
    <w:next w:val="Default"/>
    <w:uiPriority w:val="99"/>
    <w:rsid w:val="00BD3051"/>
    <w:rPr>
      <w:rFonts w:cs="Times New Roman"/>
      <w:color w:val="auto"/>
    </w:rPr>
  </w:style>
  <w:style w:type="paragraph" w:customStyle="1" w:styleId="CM13">
    <w:name w:val="CM13"/>
    <w:basedOn w:val="Default"/>
    <w:next w:val="Default"/>
    <w:uiPriority w:val="99"/>
    <w:rsid w:val="00BD3051"/>
    <w:pPr>
      <w:spacing w:line="478" w:lineRule="atLeast"/>
    </w:pPr>
    <w:rPr>
      <w:rFonts w:cs="Times New Roman"/>
      <w:color w:val="auto"/>
    </w:rPr>
  </w:style>
  <w:style w:type="paragraph" w:customStyle="1" w:styleId="CM14">
    <w:name w:val="CM14"/>
    <w:basedOn w:val="Default"/>
    <w:next w:val="Default"/>
    <w:uiPriority w:val="99"/>
    <w:rsid w:val="00BD3051"/>
    <w:pPr>
      <w:spacing w:line="478" w:lineRule="atLeast"/>
    </w:pPr>
    <w:rPr>
      <w:rFonts w:cs="Times New Roman"/>
      <w:color w:val="auto"/>
    </w:rPr>
  </w:style>
  <w:style w:type="paragraph" w:styleId="BalloonText">
    <w:name w:val="Balloon Text"/>
    <w:basedOn w:val="Normal"/>
    <w:link w:val="BalloonTextChar"/>
    <w:uiPriority w:val="99"/>
    <w:semiHidden/>
    <w:unhideWhenUsed/>
    <w:rsid w:val="00BD3051"/>
    <w:pPr>
      <w:spacing w:after="0"/>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051"/>
    <w:rPr>
      <w:rFonts w:ascii="Tahoma" w:hAnsi="Tahoma" w:cs="Tahoma"/>
      <w:sz w:val="16"/>
      <w:szCs w:val="16"/>
    </w:rPr>
  </w:style>
  <w:style w:type="paragraph" w:styleId="Date">
    <w:name w:val="Date"/>
    <w:basedOn w:val="Normal"/>
    <w:next w:val="Normal"/>
    <w:link w:val="DateChar"/>
    <w:uiPriority w:val="99"/>
    <w:semiHidden/>
    <w:unhideWhenUsed/>
    <w:rsid w:val="00BD3051"/>
    <w:pPr>
      <w:spacing w:after="0"/>
      <w:ind w:firstLine="0"/>
    </w:pPr>
  </w:style>
  <w:style w:type="character" w:customStyle="1" w:styleId="DateChar">
    <w:name w:val="Date Char"/>
    <w:basedOn w:val="DefaultParagraphFont"/>
    <w:link w:val="Date"/>
    <w:uiPriority w:val="99"/>
    <w:semiHidden/>
    <w:rsid w:val="00BD3051"/>
    <w:rPr>
      <w:rFonts w:ascii="Palatino Linotype" w:hAnsi="Palatino Linotype"/>
      <w:sz w:val="24"/>
    </w:rPr>
  </w:style>
  <w:style w:type="paragraph" w:styleId="NormalWeb">
    <w:name w:val="Normal (Web)"/>
    <w:basedOn w:val="Normal"/>
    <w:uiPriority w:val="99"/>
    <w:semiHidden/>
    <w:unhideWhenUsed/>
    <w:rsid w:val="00BD3051"/>
    <w:pPr>
      <w:spacing w:before="100" w:beforeAutospacing="1" w:after="100" w:afterAutospacing="1"/>
      <w:ind w:firstLine="0"/>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BD3051"/>
    <w:pPr>
      <w:spacing w:after="0"/>
      <w:ind w:firstLine="0"/>
    </w:pPr>
    <w:rPr>
      <w:sz w:val="20"/>
      <w:szCs w:val="20"/>
    </w:rPr>
  </w:style>
  <w:style w:type="character" w:customStyle="1" w:styleId="FootnoteTextChar">
    <w:name w:val="Footnote Text Char"/>
    <w:basedOn w:val="DefaultParagraphFont"/>
    <w:link w:val="FootnoteText"/>
    <w:uiPriority w:val="99"/>
    <w:semiHidden/>
    <w:rsid w:val="00BD3051"/>
    <w:rPr>
      <w:rFonts w:ascii="Palatino Linotype" w:hAnsi="Palatino Linotype"/>
      <w:sz w:val="20"/>
      <w:szCs w:val="20"/>
    </w:rPr>
  </w:style>
  <w:style w:type="character" w:styleId="FootnoteReference">
    <w:name w:val="footnote reference"/>
    <w:basedOn w:val="DefaultParagraphFont"/>
    <w:uiPriority w:val="99"/>
    <w:semiHidden/>
    <w:unhideWhenUsed/>
    <w:rsid w:val="00BD3051"/>
    <w:rPr>
      <w:vertAlign w:val="superscript"/>
    </w:rPr>
  </w:style>
  <w:style w:type="character" w:styleId="Hyperlink">
    <w:name w:val="Hyperlink"/>
    <w:basedOn w:val="DefaultParagraphFont"/>
    <w:uiPriority w:val="99"/>
    <w:unhideWhenUsed/>
    <w:rsid w:val="00BD3051"/>
    <w:rPr>
      <w:color w:val="0000FF" w:themeColor="hyperlink"/>
      <w:u w:val="single"/>
    </w:rPr>
  </w:style>
  <w:style w:type="paragraph" w:customStyle="1" w:styleId="ArticleBibliography">
    <w:name w:val="Article Bibliography"/>
    <w:basedOn w:val="CM20"/>
    <w:link w:val="ArticleBibliographyChar"/>
    <w:qFormat/>
    <w:rsid w:val="00BD3051"/>
    <w:pPr>
      <w:spacing w:after="120"/>
      <w:ind w:left="720" w:hanging="720"/>
      <w:jc w:val="both"/>
    </w:pPr>
    <w:rPr>
      <w:rFonts w:ascii="Palatino Linotype" w:hAnsi="Palatino Linotype" w:cs="URW Palladio L"/>
    </w:rPr>
  </w:style>
  <w:style w:type="character" w:customStyle="1" w:styleId="DefaultChar">
    <w:name w:val="Default Char"/>
    <w:basedOn w:val="DefaultParagraphFont"/>
    <w:link w:val="Default"/>
    <w:rsid w:val="00BD3051"/>
    <w:rPr>
      <w:rFonts w:ascii="URW Palladio L" w:eastAsia="URW Palladio L" w:cs="URW Palladio L"/>
      <w:color w:val="000000"/>
      <w:sz w:val="24"/>
      <w:szCs w:val="24"/>
    </w:rPr>
  </w:style>
  <w:style w:type="character" w:customStyle="1" w:styleId="CM20Char">
    <w:name w:val="CM20 Char"/>
    <w:basedOn w:val="DefaultChar"/>
    <w:link w:val="CM20"/>
    <w:uiPriority w:val="99"/>
    <w:rsid w:val="00BD3051"/>
    <w:rPr>
      <w:rFonts w:ascii="URW Palladio L" w:eastAsia="URW Palladio L" w:cs="Times New Roman"/>
      <w:color w:val="000000"/>
      <w:sz w:val="24"/>
      <w:szCs w:val="24"/>
    </w:rPr>
  </w:style>
  <w:style w:type="character" w:customStyle="1" w:styleId="ArticleBibliographyChar">
    <w:name w:val="Article Bibliography Char"/>
    <w:basedOn w:val="CM20Char"/>
    <w:link w:val="ArticleBibliography"/>
    <w:rsid w:val="00BD3051"/>
    <w:rPr>
      <w:rFonts w:ascii="Palatino Linotype" w:eastAsia="URW Palladio L" w:hAnsi="Palatino Linotype" w:cs="URW Palladio L"/>
      <w:color w:val="000000"/>
      <w:sz w:val="24"/>
      <w:szCs w:val="24"/>
    </w:rPr>
  </w:style>
  <w:style w:type="paragraph" w:styleId="Header">
    <w:name w:val="header"/>
    <w:basedOn w:val="Normal"/>
    <w:link w:val="HeaderChar"/>
    <w:uiPriority w:val="99"/>
    <w:unhideWhenUsed/>
    <w:rsid w:val="00BD3051"/>
    <w:pPr>
      <w:tabs>
        <w:tab w:val="center" w:pos="4680"/>
        <w:tab w:val="right" w:pos="9360"/>
      </w:tabs>
      <w:spacing w:after="0"/>
      <w:ind w:firstLine="0"/>
    </w:pPr>
  </w:style>
  <w:style w:type="character" w:customStyle="1" w:styleId="HeaderChar">
    <w:name w:val="Header Char"/>
    <w:basedOn w:val="DefaultParagraphFont"/>
    <w:link w:val="Header"/>
    <w:uiPriority w:val="99"/>
    <w:rsid w:val="00BD3051"/>
    <w:rPr>
      <w:rFonts w:ascii="Palatino Linotype" w:hAnsi="Palatino Linotype"/>
      <w:sz w:val="24"/>
    </w:rPr>
  </w:style>
  <w:style w:type="paragraph" w:styleId="Footer">
    <w:name w:val="footer"/>
    <w:basedOn w:val="Normal"/>
    <w:link w:val="FooterChar"/>
    <w:uiPriority w:val="99"/>
    <w:unhideWhenUsed/>
    <w:rsid w:val="00BD3051"/>
    <w:pPr>
      <w:tabs>
        <w:tab w:val="center" w:pos="4680"/>
        <w:tab w:val="right" w:pos="9360"/>
      </w:tabs>
      <w:spacing w:after="0"/>
      <w:ind w:firstLine="0"/>
    </w:pPr>
  </w:style>
  <w:style w:type="character" w:customStyle="1" w:styleId="FooterChar">
    <w:name w:val="Footer Char"/>
    <w:basedOn w:val="DefaultParagraphFont"/>
    <w:link w:val="Footer"/>
    <w:uiPriority w:val="99"/>
    <w:rsid w:val="00BD3051"/>
    <w:rPr>
      <w:rFonts w:ascii="Palatino Linotype" w:hAnsi="Palatino Linotype"/>
      <w:sz w:val="24"/>
    </w:rPr>
  </w:style>
  <w:style w:type="paragraph" w:styleId="Bibliography">
    <w:name w:val="Bibliography"/>
    <w:basedOn w:val="Normal"/>
    <w:next w:val="Normal"/>
    <w:uiPriority w:val="37"/>
    <w:unhideWhenUsed/>
    <w:rsid w:val="00BD3051"/>
    <w:pPr>
      <w:spacing w:after="0" w:line="480" w:lineRule="auto"/>
      <w:ind w:left="720" w:hanging="720"/>
    </w:pPr>
  </w:style>
  <w:style w:type="table" w:styleId="TableGrid">
    <w:name w:val="Table Grid"/>
    <w:basedOn w:val="TableNormal"/>
    <w:uiPriority w:val="59"/>
    <w:rsid w:val="00BD3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D3051"/>
  </w:style>
  <w:style w:type="table" w:customStyle="1" w:styleId="TableGrid1">
    <w:name w:val="Table Grid1"/>
    <w:basedOn w:val="TableNormal"/>
    <w:next w:val="TableGrid"/>
    <w:uiPriority w:val="59"/>
    <w:rsid w:val="00BD3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3-eee.net/3Echina/china_index.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1988</Words>
  <Characters>11336</Characters>
  <Application>Microsoft Office Word</Application>
  <DocSecurity>0</DocSecurity>
  <Lines>94</Lines>
  <Paragraphs>26</Paragraphs>
  <ScaleCrop>false</ScaleCrop>
  <Company>University</Company>
  <LinksUpToDate>false</LinksUpToDate>
  <CharactersWithSpaces>13298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Wallace</dc:creator>
  <cp:lastModifiedBy>Jeremy Wallace</cp:lastModifiedBy>
  <cp:revision>1</cp:revision>
  <dcterms:created xsi:type="dcterms:W3CDTF">2014-02-25T20:12:00Z</dcterms:created>
  <dcterms:modified xsi:type="dcterms:W3CDTF">2014-02-25T20:17:00Z</dcterms:modified>
</cp:coreProperties>
</file>