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391" w:rsidRPr="0059674C" w:rsidRDefault="00BE5391" w:rsidP="00BE5391">
      <w:pPr>
        <w:spacing w:line="480" w:lineRule="auto"/>
        <w:jc w:val="center"/>
        <w:rPr>
          <w:rFonts w:ascii="Times New Roman Bold" w:hAnsi="Times New Roman Bold"/>
        </w:rPr>
      </w:pPr>
      <w:bookmarkStart w:id="0" w:name="_GoBack"/>
      <w:bookmarkEnd w:id="0"/>
      <w:r w:rsidRPr="0059674C">
        <w:rPr>
          <w:rFonts w:ascii="Times New Roman Bold" w:hAnsi="Times New Roman Bold"/>
        </w:rPr>
        <w:t>APPENDIX A: DATA ENVELOPMENT ANALYSIS</w:t>
      </w:r>
    </w:p>
    <w:p w:rsidR="00BE5391" w:rsidRPr="0059674C" w:rsidRDefault="00BE5391" w:rsidP="00BE5391">
      <w:pPr>
        <w:pStyle w:val="PlainText1"/>
        <w:spacing w:line="480" w:lineRule="auto"/>
        <w:ind w:firstLine="720"/>
        <w:rPr>
          <w:rFonts w:ascii="Times New Roman" w:hAnsi="Times New Roman"/>
          <w:sz w:val="24"/>
          <w:szCs w:val="24"/>
        </w:rPr>
      </w:pPr>
      <w:r w:rsidRPr="0059674C">
        <w:rPr>
          <w:rFonts w:ascii="Times New Roman" w:hAnsi="Times New Roman"/>
          <w:sz w:val="24"/>
          <w:szCs w:val="24"/>
        </w:rPr>
        <w:t>In Data Envelopment Analysis (DEA), observations lying on the convex frontier of the sample are extracted using a simple algorithm. There are a number of algorithms in use today for the generation of convex hulls. One of the simplest algorithms is the QUICKHULL algorithm.</w:t>
      </w:r>
      <w:r w:rsidRPr="0059674C">
        <w:rPr>
          <w:rStyle w:val="FootnoteReference1"/>
          <w:rFonts w:ascii="Times New Roman" w:hAnsi="Times New Roman"/>
          <w:sz w:val="24"/>
          <w:szCs w:val="24"/>
        </w:rPr>
        <w:footnoteReference w:id="1"/>
      </w:r>
      <w:r w:rsidRPr="0059674C">
        <w:rPr>
          <w:rFonts w:ascii="Times New Roman" w:hAnsi="Times New Roman"/>
          <w:sz w:val="24"/>
          <w:szCs w:val="24"/>
        </w:rPr>
        <w:t xml:space="preserve"> To illustrate this in the context of the growth-instability data, the axes of the growth-instability plots such as those shown in Figures 3b and 4 are transposed so that growth is on the horizontal axis and instability is on the vertical axis. In the first step, the scatter plot is divided into two parts by the line, say AB, joining the points with the minimal (point A) and maximal (point B) values in the </w:t>
      </w:r>
      <w:r w:rsidRPr="0059674C">
        <w:rPr>
          <w:rFonts w:ascii="Times New Roman Italic" w:hAnsi="Times New Roman Italic"/>
          <w:sz w:val="24"/>
          <w:szCs w:val="24"/>
        </w:rPr>
        <w:t>x</w:t>
      </w:r>
      <w:r w:rsidRPr="0059674C">
        <w:rPr>
          <w:rFonts w:ascii="Times New Roman" w:hAnsi="Times New Roman"/>
          <w:sz w:val="24"/>
          <w:szCs w:val="24"/>
        </w:rPr>
        <w:t xml:space="preserve"> or growth coordinate (Figure A1a). In the second step, for the lower subsample, the point C in the subsample below the line AB and with the farthest distance from it is selected (Figure A1b). In the third step, the second step is applied to each of the two subsamples below the lines AC and CB (Figure A1c). This procedure is applied recursively until there are no points below the lines generated. The lower part of the convex hull is the concatenation of the points identified by this algorithm.</w:t>
      </w:r>
      <w:r w:rsidRPr="0059674C">
        <w:rPr>
          <w:rStyle w:val="FootnoteReference1"/>
          <w:rFonts w:ascii="Times New Roman" w:hAnsi="Times New Roman"/>
          <w:sz w:val="24"/>
          <w:szCs w:val="24"/>
        </w:rPr>
        <w:footnoteReference w:id="2"/>
      </w:r>
      <w:r w:rsidRPr="0059674C">
        <w:rPr>
          <w:rFonts w:ascii="Times New Roman" w:hAnsi="Times New Roman"/>
          <w:sz w:val="24"/>
          <w:szCs w:val="24"/>
        </w:rPr>
        <w:t xml:space="preserve"> In order to generate a sufficient number of observations to estimate the shape of the hull, upon generating the convex hull, the points identified are deleted and a second hull, consisting of the layer of points which lies inside the first hull, is generated. This algorithm is repeatedly applied to the data until a predetermined number of observations, layers of data, or fraction of the original sample is extracted. Figures B2 and B3 (below) are plots of convex hulls obtained using this method. DEA is the preferred method of analysis for the </w:t>
      </w:r>
      <w:r w:rsidRPr="0059674C">
        <w:rPr>
          <w:rFonts w:ascii="Times New Roman" w:hAnsi="Times New Roman"/>
          <w:sz w:val="24"/>
          <w:szCs w:val="24"/>
        </w:rPr>
        <w:lastRenderedPageBreak/>
        <w:t>estimation of frontier in a number of disciplines. Because the results of the public deliberation</w:t>
      </w:r>
      <w:r w:rsidRPr="0059674C">
        <w:rPr>
          <w:sz w:val="24"/>
          <w:szCs w:val="24"/>
        </w:rPr>
        <w:t xml:space="preserve"> </w:t>
      </w:r>
      <w:r w:rsidRPr="0059674C">
        <w:rPr>
          <w:rFonts w:ascii="Times New Roman" w:hAnsi="Times New Roman"/>
          <w:sz w:val="24"/>
          <w:szCs w:val="24"/>
        </w:rPr>
        <w:t>model predict a convex frontier, this method is appropriate for the estimation of the shape of the frontier.</w:t>
      </w:r>
    </w:p>
    <w:p w:rsidR="00BE5391" w:rsidRPr="0059674C" w:rsidRDefault="00BE5391" w:rsidP="00BE5391">
      <w:pPr>
        <w:jc w:val="center"/>
        <w:rPr>
          <w:rFonts w:ascii="Times New Roman Bold" w:hAnsi="Times New Roman Bold"/>
        </w:rPr>
      </w:pPr>
    </w:p>
    <w:p w:rsidR="00BE5391" w:rsidRPr="0059674C" w:rsidRDefault="00BE5391" w:rsidP="00BE5391">
      <w:pPr>
        <w:jc w:val="center"/>
        <w:rPr>
          <w:rFonts w:ascii="Times New Roman Bold" w:hAnsi="Times New Roman Bold"/>
        </w:rPr>
      </w:pPr>
      <w:r w:rsidRPr="0059674C">
        <w:rPr>
          <w:noProof/>
          <w:lang w:val="en-GB" w:eastAsia="en-GB"/>
        </w:rPr>
        <w:drawing>
          <wp:inline distT="0" distB="0" distL="0" distR="0" wp14:anchorId="0AAD8377" wp14:editId="3D9935A9">
            <wp:extent cx="3776472" cy="2743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76472" cy="2743200"/>
                    </a:xfrm>
                    <a:prstGeom prst="rect">
                      <a:avLst/>
                    </a:prstGeom>
                    <a:noFill/>
                    <a:ln>
                      <a:noFill/>
                    </a:ln>
                  </pic:spPr>
                </pic:pic>
              </a:graphicData>
            </a:graphic>
          </wp:inline>
        </w:drawing>
      </w:r>
    </w:p>
    <w:p w:rsidR="00BE5391" w:rsidRPr="0059674C" w:rsidRDefault="00BE5391" w:rsidP="00BE5391">
      <w:pPr>
        <w:jc w:val="center"/>
        <w:rPr>
          <w:rFonts w:ascii="Times New Roman Bold" w:hAnsi="Times New Roman Bold"/>
        </w:rPr>
      </w:pPr>
    </w:p>
    <w:p w:rsidR="00BE5391" w:rsidRPr="0059674C" w:rsidRDefault="00BE5391" w:rsidP="00BE5391">
      <w:pPr>
        <w:jc w:val="center"/>
        <w:rPr>
          <w:rFonts w:ascii="Times New Roman Bold" w:hAnsi="Times New Roman Bold"/>
        </w:rPr>
      </w:pPr>
      <w:r w:rsidRPr="0059674C">
        <w:rPr>
          <w:noProof/>
          <w:lang w:val="en-GB" w:eastAsia="en-GB"/>
        </w:rPr>
        <w:drawing>
          <wp:inline distT="0" distB="0" distL="0" distR="0" wp14:anchorId="39AC6E89" wp14:editId="271944F4">
            <wp:extent cx="3776472" cy="2743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6472" cy="2743200"/>
                    </a:xfrm>
                    <a:prstGeom prst="rect">
                      <a:avLst/>
                    </a:prstGeom>
                    <a:noFill/>
                    <a:ln>
                      <a:noFill/>
                    </a:ln>
                  </pic:spPr>
                </pic:pic>
              </a:graphicData>
            </a:graphic>
          </wp:inline>
        </w:drawing>
      </w:r>
    </w:p>
    <w:p w:rsidR="00BE5391" w:rsidRPr="0059674C" w:rsidRDefault="00BE5391" w:rsidP="00BE5391">
      <w:pPr>
        <w:jc w:val="center"/>
        <w:rPr>
          <w:rFonts w:ascii="Times New Roman Bold" w:hAnsi="Times New Roman Bold"/>
        </w:rPr>
      </w:pPr>
    </w:p>
    <w:p w:rsidR="00BE5391" w:rsidRPr="0059674C" w:rsidRDefault="00BE5391" w:rsidP="00BE5391">
      <w:pPr>
        <w:jc w:val="center"/>
        <w:rPr>
          <w:rFonts w:ascii="Times New Roman Bold" w:hAnsi="Times New Roman Bold"/>
        </w:rPr>
      </w:pPr>
    </w:p>
    <w:p w:rsidR="00BE5391" w:rsidRPr="0059674C" w:rsidRDefault="00BE5391" w:rsidP="00BE5391">
      <w:pPr>
        <w:jc w:val="center"/>
        <w:rPr>
          <w:rFonts w:ascii="Times New Roman Bold" w:hAnsi="Times New Roman Bold"/>
        </w:rPr>
      </w:pPr>
      <w:r w:rsidRPr="0059674C">
        <w:rPr>
          <w:noProof/>
          <w:lang w:val="en-GB" w:eastAsia="en-GB"/>
        </w:rPr>
        <w:lastRenderedPageBreak/>
        <w:drawing>
          <wp:inline distT="0" distB="0" distL="0" distR="0" wp14:anchorId="0F770D8D" wp14:editId="654F8395">
            <wp:extent cx="3776472" cy="2743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76472" cy="2743200"/>
                    </a:xfrm>
                    <a:prstGeom prst="rect">
                      <a:avLst/>
                    </a:prstGeom>
                    <a:noFill/>
                    <a:ln>
                      <a:noFill/>
                    </a:ln>
                  </pic:spPr>
                </pic:pic>
              </a:graphicData>
            </a:graphic>
          </wp:inline>
        </w:drawing>
      </w:r>
    </w:p>
    <w:p w:rsidR="00BE5391" w:rsidRPr="0059674C" w:rsidRDefault="00BE5391" w:rsidP="00BE5391">
      <w:pPr>
        <w:jc w:val="center"/>
        <w:rPr>
          <w:rFonts w:ascii="Times New Roman Bold" w:hAnsi="Times New Roman Bold"/>
        </w:rPr>
      </w:pPr>
    </w:p>
    <w:p w:rsidR="00BE5391" w:rsidRPr="0059674C" w:rsidRDefault="00BE5391" w:rsidP="00BE5391">
      <w:pPr>
        <w:rPr>
          <w:rFonts w:ascii="Times New Roman Bold" w:hAnsi="Times New Roman Bold"/>
        </w:rPr>
      </w:pPr>
      <w:r w:rsidRPr="0059674C">
        <w:rPr>
          <w:rFonts w:ascii="Times New Roman Bold" w:hAnsi="Times New Roman Bold"/>
        </w:rPr>
        <w:br w:type="page"/>
      </w:r>
    </w:p>
    <w:p w:rsidR="00BE5391" w:rsidRPr="0059674C" w:rsidRDefault="00BE5391" w:rsidP="00BE5391">
      <w:pPr>
        <w:jc w:val="center"/>
        <w:rPr>
          <w:rFonts w:ascii="Times New Roman Bold" w:hAnsi="Times New Roman Bold"/>
        </w:rPr>
      </w:pPr>
      <w:r w:rsidRPr="0059674C">
        <w:rPr>
          <w:rFonts w:ascii="Times New Roman Bold" w:hAnsi="Times New Roman Bold"/>
        </w:rPr>
        <w:t xml:space="preserve">APPENDIX B: GROWTH-INSTABILITY DATA AND DATA ENVELOPMENT ANALYSIS HULLS: TWO-DECADE DATA </w:t>
      </w:r>
    </w:p>
    <w:p w:rsidR="00BE5391" w:rsidRPr="0059674C" w:rsidRDefault="00BE5391" w:rsidP="00BE5391">
      <w:pPr>
        <w:jc w:val="center"/>
        <w:rPr>
          <w:rFonts w:ascii="Times New Roman Bold" w:hAnsi="Times New Roman Bold"/>
        </w:rPr>
      </w:pPr>
    </w:p>
    <w:p w:rsidR="00BE5391" w:rsidRPr="0059674C" w:rsidRDefault="00BE5391" w:rsidP="00BE5391">
      <w:pPr>
        <w:jc w:val="center"/>
        <w:rPr>
          <w:rFonts w:ascii="Times New Roman Bold" w:hAnsi="Times New Roman Bold"/>
        </w:rPr>
      </w:pPr>
    </w:p>
    <w:p w:rsidR="00BE5391" w:rsidRPr="0059674C" w:rsidRDefault="00BE5391" w:rsidP="00BE5391">
      <w:pPr>
        <w:jc w:val="center"/>
        <w:rPr>
          <w:rFonts w:ascii="Times New Roman Bold" w:hAnsi="Times New Roman Bold"/>
        </w:rPr>
      </w:pPr>
      <w:r w:rsidRPr="0059674C">
        <w:rPr>
          <w:noProof/>
          <w:lang w:val="en-GB" w:eastAsia="en-GB"/>
        </w:rPr>
        <w:drawing>
          <wp:inline distT="0" distB="0" distL="0" distR="0" wp14:anchorId="3677CF29" wp14:editId="2D531E2E">
            <wp:extent cx="5229225" cy="4010025"/>
            <wp:effectExtent l="0" t="0" r="0" b="0"/>
            <wp:docPr id="85" name="Object 9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E5391" w:rsidRPr="0059674C" w:rsidRDefault="00BE5391" w:rsidP="00BE5391">
      <w:pPr>
        <w:jc w:val="center"/>
        <w:rPr>
          <w:rFonts w:ascii="Times New Roman Bold" w:hAnsi="Times New Roman Bold"/>
        </w:rPr>
      </w:pPr>
    </w:p>
    <w:p w:rsidR="00BE5391" w:rsidRPr="0059674C" w:rsidRDefault="00BE5391" w:rsidP="00BE5391">
      <w:pPr>
        <w:jc w:val="center"/>
        <w:rPr>
          <w:rFonts w:ascii="Times New Roman Bold" w:hAnsi="Times New Roman Bold"/>
        </w:rPr>
      </w:pPr>
    </w:p>
    <w:p w:rsidR="00BE5391" w:rsidRPr="0059674C" w:rsidRDefault="00BE5391" w:rsidP="00BE5391">
      <w:pPr>
        <w:jc w:val="center"/>
        <w:rPr>
          <w:rFonts w:ascii="Times New Roman Bold" w:hAnsi="Times New Roman Bold"/>
        </w:rPr>
      </w:pPr>
      <w:r w:rsidRPr="0059674C">
        <w:rPr>
          <w:b/>
          <w:noProof/>
          <w:lang w:val="en-GB" w:eastAsia="en-GB"/>
        </w:rPr>
        <w:drawing>
          <wp:inline distT="0" distB="0" distL="0" distR="0" wp14:anchorId="68B98CB8" wp14:editId="31587005">
            <wp:extent cx="5838825" cy="2981325"/>
            <wp:effectExtent l="0" t="0" r="0" b="0"/>
            <wp:docPr id="17" name="Object 3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E5391" w:rsidRPr="0059674C" w:rsidRDefault="00BE5391" w:rsidP="00BE5391">
      <w:pPr>
        <w:jc w:val="center"/>
        <w:rPr>
          <w:rFonts w:ascii="Courier New" w:hAnsi="Courier New"/>
        </w:rPr>
      </w:pPr>
    </w:p>
    <w:p w:rsidR="00BE5391" w:rsidRPr="0059674C" w:rsidRDefault="00BE5391" w:rsidP="00BE5391">
      <w:pPr>
        <w:jc w:val="center"/>
      </w:pPr>
    </w:p>
    <w:p w:rsidR="00BE5391" w:rsidRPr="0059674C" w:rsidRDefault="00BE5391" w:rsidP="00BE5391">
      <w:pPr>
        <w:pStyle w:val="FreeForm"/>
        <w:rPr>
          <w:sz w:val="24"/>
          <w:szCs w:val="24"/>
        </w:rPr>
      </w:pPr>
      <w:r w:rsidRPr="0059674C">
        <w:rPr>
          <w:sz w:val="24"/>
          <w:szCs w:val="24"/>
        </w:rPr>
        <w:br w:type="page"/>
      </w:r>
      <w:r w:rsidRPr="0059674C">
        <w:rPr>
          <w:rFonts w:ascii="Courier New" w:hAnsi="Courier New" w:cs="Courier New"/>
          <w:noProof/>
          <w:sz w:val="24"/>
          <w:szCs w:val="24"/>
          <w:lang w:val="en-GB" w:eastAsia="en-GB"/>
        </w:rPr>
        <w:drawing>
          <wp:inline distT="0" distB="0" distL="0" distR="0" wp14:anchorId="28CE4F5A" wp14:editId="0DC6F9E1">
            <wp:extent cx="5029200" cy="3657600"/>
            <wp:effectExtent l="0" t="0" r="0" b="0"/>
            <wp:docPr id="86" name="Object 9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5391" w:rsidRPr="0059674C" w:rsidRDefault="00BE5391" w:rsidP="00BE5391">
      <w:pPr>
        <w:pStyle w:val="FreeForm"/>
        <w:rPr>
          <w:sz w:val="24"/>
          <w:szCs w:val="24"/>
        </w:rPr>
      </w:pPr>
    </w:p>
    <w:p w:rsidR="00BE5391" w:rsidRPr="0059674C" w:rsidRDefault="00BE5391" w:rsidP="00BE5391">
      <w:pPr>
        <w:pStyle w:val="FreeForm"/>
        <w:rPr>
          <w:rFonts w:ascii="Times New Roman Bold" w:hAnsi="Times New Roman Bold"/>
          <w:sz w:val="24"/>
          <w:szCs w:val="24"/>
        </w:rPr>
      </w:pPr>
    </w:p>
    <w:p w:rsidR="00BE5391" w:rsidRPr="0059674C" w:rsidRDefault="00BE5391" w:rsidP="00BE5391">
      <w:pPr>
        <w:rPr>
          <w:rFonts w:ascii="Times New Roman Bold" w:hAnsi="Times New Roman Bold"/>
        </w:rPr>
      </w:pPr>
      <w:r w:rsidRPr="0059674C">
        <w:rPr>
          <w:rFonts w:ascii="Times New Roman Bold" w:hAnsi="Times New Roman Bold"/>
        </w:rPr>
        <w:br w:type="page"/>
      </w:r>
    </w:p>
    <w:p w:rsidR="00BE5391" w:rsidRPr="0059674C" w:rsidRDefault="00BE5391" w:rsidP="00BE5391">
      <w:pPr>
        <w:jc w:val="center"/>
        <w:rPr>
          <w:rFonts w:ascii="Times New Roman Bold" w:hAnsi="Times New Roman Bold"/>
        </w:rPr>
      </w:pPr>
      <w:r w:rsidRPr="0059674C">
        <w:rPr>
          <w:rFonts w:ascii="Times New Roman Bold" w:hAnsi="Times New Roman Bold"/>
        </w:rPr>
        <w:t>APPENDIX C: FRONTIER ESTIMATES USING DATA ENVELOPMENT ANALYSIS</w:t>
      </w:r>
    </w:p>
    <w:p w:rsidR="00BE5391" w:rsidRPr="0059674C" w:rsidRDefault="00BE5391" w:rsidP="00BE5391">
      <w:pPr>
        <w:jc w:val="center"/>
        <w:rPr>
          <w:rFonts w:ascii="Times New Roman Bold" w:hAnsi="Times New Roman Bold"/>
        </w:rPr>
      </w:pPr>
    </w:p>
    <w:p w:rsidR="00BE5391" w:rsidRPr="0059674C" w:rsidRDefault="00BE5391" w:rsidP="00BE5391">
      <w:pPr>
        <w:jc w:val="center"/>
      </w:pPr>
      <w:r w:rsidRPr="0059674C">
        <w:rPr>
          <w:noProof/>
          <w:lang w:val="en-GB" w:eastAsia="en-GB"/>
        </w:rPr>
        <w:drawing>
          <wp:inline distT="0" distB="0" distL="0" distR="0" wp14:anchorId="256CD979" wp14:editId="5BDFBB4A">
            <wp:extent cx="5410200" cy="4200525"/>
            <wp:effectExtent l="0" t="0" r="0" b="9525"/>
            <wp:docPr id="9"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0200" cy="4200525"/>
                    </a:xfrm>
                    <a:prstGeom prst="rect">
                      <a:avLst/>
                    </a:prstGeom>
                    <a:noFill/>
                    <a:ln>
                      <a:noFill/>
                    </a:ln>
                  </pic:spPr>
                </pic:pic>
              </a:graphicData>
            </a:graphic>
          </wp:inline>
        </w:drawing>
      </w:r>
    </w:p>
    <w:p w:rsidR="00BE5391" w:rsidRPr="0059674C" w:rsidRDefault="00BE5391" w:rsidP="00BE5391">
      <w:pPr>
        <w:jc w:val="center"/>
      </w:pPr>
      <w:r w:rsidRPr="0059674C">
        <w:t>***</w:t>
      </w:r>
      <w:r w:rsidRPr="0059674C">
        <w:rPr>
          <w:rFonts w:ascii="Times New Roman Italic" w:hAnsi="Times New Roman Italic"/>
        </w:rPr>
        <w:t xml:space="preserve"> p</w:t>
      </w:r>
      <w:r w:rsidRPr="0059674C">
        <w:t>&lt;0.01;**</w:t>
      </w:r>
      <w:r w:rsidRPr="0059674C">
        <w:rPr>
          <w:rFonts w:ascii="Times New Roman Italic" w:hAnsi="Times New Roman Italic"/>
        </w:rPr>
        <w:t>p</w:t>
      </w:r>
      <w:r w:rsidRPr="0059674C">
        <w:t>&lt;0.05;*</w:t>
      </w:r>
      <w:r w:rsidRPr="0059674C">
        <w:rPr>
          <w:rFonts w:ascii="Times New Roman Italic" w:hAnsi="Times New Roman Italic"/>
        </w:rPr>
        <w:t>p</w:t>
      </w:r>
      <w:r w:rsidRPr="0059674C">
        <w:t>&lt;0.10</w:t>
      </w:r>
    </w:p>
    <w:p w:rsidR="00BE5391" w:rsidRPr="0059674C" w:rsidRDefault="00BE5391" w:rsidP="00BE5391">
      <w:pPr>
        <w:jc w:val="center"/>
        <w:rPr>
          <w:rFonts w:ascii="Times New Roman Bold" w:hAnsi="Times New Roman Bold"/>
        </w:rPr>
      </w:pPr>
    </w:p>
    <w:p w:rsidR="00BE5391" w:rsidRPr="0059674C" w:rsidRDefault="00BE5391" w:rsidP="00BE5391">
      <w:pPr>
        <w:pStyle w:val="FreeForm"/>
        <w:rPr>
          <w:rFonts w:ascii="Times New Roman Bold" w:hAnsi="Times New Roman Bold"/>
          <w:sz w:val="24"/>
          <w:szCs w:val="24"/>
        </w:rPr>
      </w:pPr>
      <w:r w:rsidRPr="0059674C">
        <w:rPr>
          <w:sz w:val="24"/>
          <w:szCs w:val="24"/>
        </w:rPr>
        <w:br w:type="page"/>
      </w:r>
    </w:p>
    <w:p w:rsidR="00BE5391" w:rsidRPr="0059674C" w:rsidRDefault="00BE5391" w:rsidP="00BE5391">
      <w:pPr>
        <w:spacing w:line="480" w:lineRule="auto"/>
        <w:jc w:val="center"/>
        <w:rPr>
          <w:rFonts w:ascii="Times New Roman Bold" w:hAnsi="Times New Roman Bold"/>
        </w:rPr>
      </w:pPr>
      <w:r w:rsidRPr="0059674C">
        <w:rPr>
          <w:rFonts w:ascii="Times New Roman Bold" w:hAnsi="Times New Roman Bold"/>
        </w:rPr>
        <w:t>APPENDIX D: STOCHASTIC FRONTIER ESTIMATION</w:t>
      </w:r>
    </w:p>
    <w:p w:rsidR="00BE5391" w:rsidRPr="0059674C" w:rsidRDefault="00BE5391" w:rsidP="00BE5391">
      <w:pPr>
        <w:spacing w:line="480" w:lineRule="auto"/>
        <w:rPr>
          <w:rFonts w:ascii="Times New Roman Italic" w:hAnsi="Times New Roman Italic"/>
        </w:rPr>
      </w:pPr>
      <w:r w:rsidRPr="0059674C">
        <w:rPr>
          <w:rFonts w:ascii="Times New Roman Italic" w:hAnsi="Times New Roman Italic"/>
        </w:rPr>
        <w:t>Frontier Estimation using Stochastic Frontier Estimation</w:t>
      </w:r>
    </w:p>
    <w:p w:rsidR="00BE5391" w:rsidRPr="0059674C" w:rsidRDefault="00BE5391" w:rsidP="00BE5391">
      <w:pPr>
        <w:spacing w:line="480" w:lineRule="auto"/>
      </w:pPr>
      <w:r w:rsidRPr="0059674C">
        <w:t>Stochastic frontier estimation (SFE) is the second method that we use to test for and estimate the convex growth-instability frontier predicted by the public deliberation model. SFE uses the assumption of a one-sided error (hence the frontier interpretation). In other words, the error term is assumed to be distributed such that it is always 0 on the “outside” of the frontier, and can be non-zero on the “inside” of the frontier. The stochastic frontier model is written as</w:t>
      </w:r>
    </w:p>
    <w:p w:rsidR="00BE5391" w:rsidRPr="0059674C" w:rsidRDefault="00BE5391" w:rsidP="00BE5391">
      <w:pPr>
        <w:spacing w:line="480" w:lineRule="auto"/>
        <w:jc w:val="center"/>
      </w:pPr>
      <w:r w:rsidRPr="0059674C">
        <w:rPr>
          <w:noProof/>
          <w:lang w:val="en-GB" w:eastAsia="en-GB"/>
        </w:rPr>
        <w:drawing>
          <wp:inline distT="0" distB="0" distL="0" distR="0" wp14:anchorId="3120F8E6" wp14:editId="58F9626D">
            <wp:extent cx="3419475" cy="228600"/>
            <wp:effectExtent l="0" t="0" r="9525" b="0"/>
            <wp:docPr id="8"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19475" cy="228600"/>
                    </a:xfrm>
                    <a:prstGeom prst="rect">
                      <a:avLst/>
                    </a:prstGeom>
                    <a:noFill/>
                    <a:ln>
                      <a:noFill/>
                    </a:ln>
                  </pic:spPr>
                </pic:pic>
              </a:graphicData>
            </a:graphic>
          </wp:inline>
        </w:drawing>
      </w:r>
      <w:r w:rsidRPr="0059674C">
        <w:rPr>
          <w:vertAlign w:val="subscript"/>
        </w:rPr>
        <w:t>.</w:t>
      </w:r>
    </w:p>
    <w:p w:rsidR="00BE5391" w:rsidRPr="0059674C" w:rsidRDefault="00BE5391" w:rsidP="00BE5391">
      <w:pPr>
        <w:spacing w:line="480" w:lineRule="auto"/>
      </w:pPr>
      <w:r w:rsidRPr="0059674C">
        <w:t xml:space="preserve">Here, </w:t>
      </w:r>
      <w:r w:rsidRPr="0059674C">
        <w:rPr>
          <w:noProof/>
          <w:lang w:val="en-GB" w:eastAsia="en-GB"/>
        </w:rPr>
        <w:drawing>
          <wp:inline distT="0" distB="0" distL="0" distR="0" wp14:anchorId="7241C563" wp14:editId="603E6657">
            <wp:extent cx="190500" cy="228600"/>
            <wp:effectExtent l="0" t="0" r="0" b="0"/>
            <wp:docPr id="7"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59674C">
        <w:t xml:space="preserve"> is the standard deviation of the growth rate of economy </w:t>
      </w:r>
      <w:r w:rsidRPr="0059674C">
        <w:rPr>
          <w:rFonts w:ascii="Times New Roman Italic" w:hAnsi="Times New Roman Italic"/>
        </w:rPr>
        <w:t>i</w:t>
      </w:r>
      <w:r w:rsidRPr="0059674C">
        <w:t xml:space="preserve"> over time period (for our purposes, decade) period </w:t>
      </w:r>
      <w:r w:rsidRPr="0059674C">
        <w:rPr>
          <w:rFonts w:ascii="Times New Roman Italic" w:hAnsi="Times New Roman Italic"/>
        </w:rPr>
        <w:t>t</w:t>
      </w:r>
      <w:r w:rsidRPr="0059674C">
        <w:t xml:space="preserve">, </w:t>
      </w:r>
      <w:r w:rsidRPr="0059674C">
        <w:rPr>
          <w:noProof/>
          <w:lang w:val="en-GB" w:eastAsia="en-GB"/>
        </w:rPr>
        <w:drawing>
          <wp:inline distT="0" distB="0" distL="0" distR="0" wp14:anchorId="54E90FB7" wp14:editId="0C0CBFD7">
            <wp:extent cx="219075" cy="228600"/>
            <wp:effectExtent l="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59674C">
        <w:t xml:space="preserve"> is the average growth rate of economy </w:t>
      </w:r>
      <w:r w:rsidRPr="0059674C">
        <w:rPr>
          <w:rFonts w:ascii="Times New Roman Italic" w:hAnsi="Times New Roman Italic"/>
        </w:rPr>
        <w:t>i</w:t>
      </w:r>
      <w:r w:rsidRPr="0059674C">
        <w:t xml:space="preserve"> over time period </w:t>
      </w:r>
      <w:r w:rsidRPr="0059674C">
        <w:rPr>
          <w:rFonts w:ascii="Times New Roman Italic" w:hAnsi="Times New Roman Italic"/>
        </w:rPr>
        <w:t>t</w:t>
      </w:r>
      <w:r w:rsidRPr="0059674C">
        <w:t>,</w:t>
      </w:r>
      <w:r w:rsidRPr="0059674C">
        <w:rPr>
          <w:noProof/>
          <w:lang w:val="en-GB" w:eastAsia="en-GB"/>
        </w:rPr>
        <w:drawing>
          <wp:inline distT="0" distB="0" distL="0" distR="0" wp14:anchorId="60286535" wp14:editId="08BF94BF">
            <wp:extent cx="180975" cy="219075"/>
            <wp:effectExtent l="0" t="0" r="9525"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59674C">
        <w:t xml:space="preserve"> and </w:t>
      </w:r>
      <w:r w:rsidRPr="0059674C">
        <w:rPr>
          <w:noProof/>
          <w:lang w:val="en-GB" w:eastAsia="en-GB"/>
        </w:rPr>
        <w:drawing>
          <wp:inline distT="0" distB="0" distL="0" distR="0" wp14:anchorId="38BA2BD8" wp14:editId="5930C9BF">
            <wp:extent cx="190500" cy="219075"/>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Pr="0059674C">
        <w:t xml:space="preserve"> are curvature parameters of the frontier, </w:t>
      </w:r>
      <w:r w:rsidRPr="0059674C">
        <w:rPr>
          <w:noProof/>
          <w:lang w:val="en-GB" w:eastAsia="en-GB"/>
        </w:rPr>
        <w:drawing>
          <wp:inline distT="0" distB="0" distL="0" distR="0" wp14:anchorId="3FB87AC8" wp14:editId="234B0EB1">
            <wp:extent cx="180975" cy="228600"/>
            <wp:effectExtent l="0" t="0" r="952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59674C">
        <w:t xml:space="preserve"> is an i.i.d. random variable with normal distribution, mean 0, and standard deviation </w:t>
      </w:r>
      <w:r w:rsidRPr="0059674C">
        <w:rPr>
          <w:noProof/>
          <w:lang w:val="en-GB" w:eastAsia="en-GB"/>
        </w:rPr>
        <w:drawing>
          <wp:inline distT="0" distB="0" distL="0" distR="0" wp14:anchorId="117F7372" wp14:editId="617C9967">
            <wp:extent cx="219075" cy="228600"/>
            <wp:effectExtent l="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59674C">
        <w:t xml:space="preserve">, and </w:t>
      </w:r>
      <w:r w:rsidRPr="0059674C">
        <w:rPr>
          <w:noProof/>
          <w:lang w:val="en-GB" w:eastAsia="en-GB"/>
        </w:rPr>
        <w:drawing>
          <wp:inline distT="0" distB="0" distL="0" distR="0" wp14:anchorId="0415FF14" wp14:editId="5AE76301">
            <wp:extent cx="219075" cy="228600"/>
            <wp:effectExtent l="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59674C">
        <w:t xml:space="preserve">is a non-negative random variable with a truncated (at 0) normal distribution, mean </w:t>
      </w:r>
      <w:r w:rsidRPr="0059674C">
        <w:rPr>
          <w:noProof/>
          <w:lang w:val="en-GB" w:eastAsia="en-GB"/>
        </w:rPr>
        <w:drawing>
          <wp:inline distT="0" distB="0" distL="0" distR="0" wp14:anchorId="79CDF4CD" wp14:editId="6D355BB3">
            <wp:extent cx="219075" cy="228600"/>
            <wp:effectExtent l="0" t="0" r="952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59674C">
        <w:t xml:space="preserve">, and standard deviation </w:t>
      </w:r>
      <w:r w:rsidRPr="0059674C">
        <w:rPr>
          <w:noProof/>
          <w:lang w:val="en-GB" w:eastAsia="en-GB"/>
        </w:rPr>
        <w:drawing>
          <wp:inline distT="0" distB="0" distL="0" distR="0" wp14:anchorId="330BCC34" wp14:editId="66A5A933">
            <wp:extent cx="228600" cy="2286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9674C">
        <w:t xml:space="preserve">. Further, the mean of this distribution </w:t>
      </w:r>
      <w:r w:rsidRPr="0059674C">
        <w:rPr>
          <w:noProof/>
          <w:lang w:val="en-GB" w:eastAsia="en-GB"/>
        </w:rPr>
        <w:drawing>
          <wp:inline distT="0" distB="0" distL="0" distR="0" wp14:anchorId="7C590036" wp14:editId="7D6A0D07">
            <wp:extent cx="657225" cy="228600"/>
            <wp:effectExtent l="0" t="0" r="952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57225" cy="228600"/>
                    </a:xfrm>
                    <a:prstGeom prst="rect">
                      <a:avLst/>
                    </a:prstGeom>
                    <a:noFill/>
                    <a:ln>
                      <a:noFill/>
                    </a:ln>
                  </pic:spPr>
                </pic:pic>
              </a:graphicData>
            </a:graphic>
          </wp:inline>
        </w:drawing>
      </w:r>
      <w:r w:rsidRPr="0059674C">
        <w:t xml:space="preserve"> where the vector </w:t>
      </w:r>
      <w:r w:rsidRPr="0059674C">
        <w:rPr>
          <w:noProof/>
          <w:lang w:val="en-GB" w:eastAsia="en-GB"/>
        </w:rPr>
        <w:drawing>
          <wp:inline distT="0" distB="0" distL="0" distR="0" wp14:anchorId="6882B7A8" wp14:editId="79CC9A72">
            <wp:extent cx="180975" cy="228600"/>
            <wp:effectExtent l="0" t="0" r="952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59674C">
        <w:t xml:space="preserve">contains the factors hypothesized to affect the horizontal distance of an observation from the frontier (Figure 3), and </w:t>
      </w:r>
      <w:r w:rsidRPr="0059674C">
        <w:rPr>
          <w:noProof/>
          <w:lang w:val="en-GB" w:eastAsia="en-GB"/>
        </w:rPr>
        <w:drawing>
          <wp:inline distT="0" distB="0" distL="0" distR="0" wp14:anchorId="394DEF44" wp14:editId="7DE0D419">
            <wp:extent cx="142875" cy="180975"/>
            <wp:effectExtent l="0" t="0" r="0"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59674C">
        <w:t xml:space="preserve">is a vector of parameters. This method is based on Battese and Coelli (1995), and uses the FRONTIER software package (Coelli 1996). </w:t>
      </w:r>
    </w:p>
    <w:p w:rsidR="00BE5391" w:rsidRPr="0059674C" w:rsidRDefault="00BE5391" w:rsidP="00BE5391">
      <w:pPr>
        <w:spacing w:line="480" w:lineRule="auto"/>
        <w:ind w:firstLine="720"/>
      </w:pPr>
      <w:r w:rsidRPr="0059674C">
        <w:t xml:space="preserve">Because stochastic frontier estimation is not based on any a priori convexity property of the data being analyzed, it can also be used to test hypotheses about the convexity of the frontier. The country-specific and time effects together represent growth-adjusted volatility, and their relationship with the hypothesized drivers of these effects are estimated after the estimation of the curvature of the frontier. </w:t>
      </w:r>
    </w:p>
    <w:p w:rsidR="00BE5391" w:rsidRPr="0059674C" w:rsidRDefault="00BE5391" w:rsidP="00BE5391">
      <w:pPr>
        <w:spacing w:line="480" w:lineRule="auto"/>
        <w:ind w:firstLine="720"/>
      </w:pPr>
      <w:r w:rsidRPr="0059674C">
        <w:t xml:space="preserve">Table D1 contains the results of this analysis for the one- and two-decade data. The frontier estimate is convex. In sum, there is strong evidence of a convex growth-instability frontier for economic growth, as predicted by the model of informal public deliberation. This concludes our test of the first prediction of the model using SFE. </w:t>
      </w:r>
    </w:p>
    <w:p w:rsidR="00BE5391" w:rsidRPr="0059674C" w:rsidRDefault="00BE5391" w:rsidP="00BE5391">
      <w:pPr>
        <w:spacing w:line="480" w:lineRule="auto"/>
        <w:jc w:val="center"/>
      </w:pPr>
      <w:r w:rsidRPr="0059674C">
        <w:rPr>
          <w:noProof/>
          <w:lang w:val="en-GB" w:eastAsia="en-GB"/>
        </w:rPr>
        <w:drawing>
          <wp:inline distT="0" distB="0" distL="0" distR="0" wp14:anchorId="3535BF77" wp14:editId="69FEFFC9">
            <wp:extent cx="5419725" cy="4095750"/>
            <wp:effectExtent l="0" t="0" r="952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19725" cy="4095750"/>
                    </a:xfrm>
                    <a:prstGeom prst="rect">
                      <a:avLst/>
                    </a:prstGeom>
                    <a:noFill/>
                    <a:ln>
                      <a:noFill/>
                    </a:ln>
                  </pic:spPr>
                </pic:pic>
              </a:graphicData>
            </a:graphic>
          </wp:inline>
        </w:drawing>
      </w:r>
    </w:p>
    <w:p w:rsidR="00BE5391" w:rsidRPr="0059674C" w:rsidRDefault="00BE5391" w:rsidP="00BE5391">
      <w:pPr>
        <w:pStyle w:val="FreeForm"/>
        <w:rPr>
          <w:rFonts w:ascii="Times New Roman Bold" w:hAnsi="Times New Roman Bold"/>
          <w:sz w:val="24"/>
          <w:szCs w:val="24"/>
        </w:rPr>
      </w:pPr>
      <w:r w:rsidRPr="0059674C">
        <w:rPr>
          <w:sz w:val="24"/>
          <w:szCs w:val="24"/>
        </w:rPr>
        <w:br w:type="page"/>
      </w:r>
    </w:p>
    <w:p w:rsidR="00BE5391" w:rsidRPr="0059674C" w:rsidRDefault="00BE5391" w:rsidP="00BE5391">
      <w:pPr>
        <w:spacing w:line="480" w:lineRule="auto"/>
        <w:jc w:val="center"/>
        <w:rPr>
          <w:rFonts w:ascii="Times New Roman Bold" w:hAnsi="Times New Roman Bold"/>
        </w:rPr>
      </w:pPr>
      <w:r w:rsidRPr="0059674C">
        <w:rPr>
          <w:rFonts w:ascii="Times New Roman Bold" w:hAnsi="Times New Roman Bold"/>
        </w:rPr>
        <w:t>APPENDIX E: ROBUSTNESS CHECKS</w:t>
      </w:r>
    </w:p>
    <w:p w:rsidR="00BE5391" w:rsidRPr="0059674C" w:rsidRDefault="00BE5391" w:rsidP="00BE5391">
      <w:pPr>
        <w:jc w:val="center"/>
      </w:pPr>
      <w:r w:rsidRPr="0059674C">
        <w:t>Table E1: Models using the Dependent Variable Generated by SFE and the PARCOMP Residual Variable (Authoritarian Regimes Only)</w:t>
      </w:r>
    </w:p>
    <w:p w:rsidR="00BE5391" w:rsidRPr="0059674C" w:rsidRDefault="00BE5391" w:rsidP="00BE5391"/>
    <w:tbl>
      <w:tblPr>
        <w:tblW w:w="0" w:type="auto"/>
        <w:tblInd w:w="10" w:type="dxa"/>
        <w:shd w:val="clear" w:color="auto" w:fill="FFFFFF"/>
        <w:tblLayout w:type="fixed"/>
        <w:tblLook w:val="0000" w:firstRow="0" w:lastRow="0" w:firstColumn="0" w:lastColumn="0" w:noHBand="0" w:noVBand="0"/>
      </w:tblPr>
      <w:tblGrid>
        <w:gridCol w:w="1034"/>
        <w:gridCol w:w="1170"/>
        <w:gridCol w:w="1336"/>
        <w:gridCol w:w="1002"/>
        <w:gridCol w:w="887"/>
        <w:gridCol w:w="950"/>
        <w:gridCol w:w="960"/>
        <w:gridCol w:w="934"/>
      </w:tblGrid>
      <w:tr w:rsidR="00BE5391" w:rsidRPr="0005249E" w:rsidTr="002638E0">
        <w:trPr>
          <w:cantSplit/>
          <w:trHeight w:val="300"/>
        </w:trPr>
        <w:tc>
          <w:tcPr>
            <w:tcW w:w="2204" w:type="dxa"/>
            <w:gridSpan w:val="2"/>
            <w:tcBorders>
              <w:top w:val="single" w:sz="4" w:space="0" w:color="000000"/>
              <w:bottom w:val="single" w:sz="4" w:space="0" w:color="auto"/>
            </w:tcBorders>
            <w:shd w:val="clear" w:color="auto" w:fill="FFFFFF"/>
            <w:tcMar>
              <w:top w:w="0" w:type="dxa"/>
              <w:left w:w="0" w:type="dxa"/>
              <w:bottom w:w="0" w:type="dxa"/>
              <w:right w:w="0" w:type="dxa"/>
            </w:tcMar>
            <w:vAlign w:val="bottom"/>
          </w:tcPr>
          <w:p w:rsidR="00BE5391" w:rsidRPr="0005249E" w:rsidRDefault="00BE5391" w:rsidP="002638E0"/>
        </w:tc>
        <w:tc>
          <w:tcPr>
            <w:tcW w:w="6069" w:type="dxa"/>
            <w:gridSpan w:val="6"/>
            <w:tcBorders>
              <w:top w:val="single" w:sz="4" w:space="0" w:color="000000"/>
              <w:bottom w:val="single" w:sz="4" w:space="0" w:color="auto"/>
            </w:tcBorders>
            <w:shd w:val="clear" w:color="auto" w:fill="FFFFFF"/>
            <w:tcMar>
              <w:top w:w="0" w:type="dxa"/>
              <w:left w:w="0" w:type="dxa"/>
              <w:bottom w:w="0" w:type="dxa"/>
              <w:right w:w="0" w:type="dxa"/>
            </w:tcMar>
            <w:vAlign w:val="bottom"/>
          </w:tcPr>
          <w:p w:rsidR="00BE5391" w:rsidRPr="0005249E" w:rsidRDefault="00BE5391" w:rsidP="002638E0">
            <w:pPr>
              <w:jc w:val="center"/>
            </w:pPr>
            <w:r w:rsidRPr="0005249E">
              <w:t>Frontier Distance (Stochastic Frontier Estimation: 1-decade observations)</w:t>
            </w:r>
          </w:p>
        </w:tc>
      </w:tr>
      <w:tr w:rsidR="00BE5391" w:rsidRPr="0005249E" w:rsidTr="002638E0">
        <w:trPr>
          <w:cantSplit/>
          <w:trHeight w:val="290"/>
        </w:trPr>
        <w:tc>
          <w:tcPr>
            <w:tcW w:w="1034" w:type="dxa"/>
            <w:vMerge w:val="restart"/>
            <w:tcBorders>
              <w:top w:val="single" w:sz="4" w:space="0" w:color="auto"/>
            </w:tcBorders>
            <w:shd w:val="clear" w:color="auto" w:fill="FFFFFF"/>
            <w:tcMar>
              <w:top w:w="0" w:type="dxa"/>
              <w:left w:w="0" w:type="dxa"/>
              <w:bottom w:w="0" w:type="dxa"/>
              <w:right w:w="0" w:type="dxa"/>
            </w:tcMar>
            <w:vAlign w:val="bottom"/>
          </w:tcPr>
          <w:p w:rsidR="00BE5391" w:rsidRPr="0005249E" w:rsidRDefault="00BE5391" w:rsidP="002638E0">
            <w:pPr>
              <w:jc w:val="center"/>
            </w:pPr>
            <w:r w:rsidRPr="0005249E">
              <w:t> </w:t>
            </w:r>
          </w:p>
        </w:tc>
        <w:tc>
          <w:tcPr>
            <w:tcW w:w="1170" w:type="dxa"/>
            <w:vMerge w:val="restart"/>
            <w:tcBorders>
              <w:top w:val="single" w:sz="4" w:space="0" w:color="auto"/>
            </w:tcBorders>
            <w:shd w:val="clear" w:color="auto" w:fill="FFFFFF"/>
            <w:tcMar>
              <w:top w:w="0" w:type="dxa"/>
              <w:left w:w="0" w:type="dxa"/>
              <w:bottom w:w="0" w:type="dxa"/>
              <w:right w:w="0" w:type="dxa"/>
            </w:tcMar>
          </w:tcPr>
          <w:p w:rsidR="00BE5391" w:rsidRPr="0005249E" w:rsidRDefault="00BE5391" w:rsidP="002638E0">
            <w:r w:rsidRPr="0005249E">
              <w:t>Intercept</w:t>
            </w:r>
          </w:p>
        </w:tc>
        <w:tc>
          <w:tcPr>
            <w:tcW w:w="1336" w:type="dxa"/>
            <w:tcBorders>
              <w:top w:val="single" w:sz="4" w:space="0" w:color="auto"/>
            </w:tcBorders>
            <w:shd w:val="clear" w:color="auto" w:fill="FFFFFF"/>
            <w:tcMar>
              <w:top w:w="0" w:type="dxa"/>
              <w:left w:w="0" w:type="dxa"/>
              <w:bottom w:w="0" w:type="dxa"/>
              <w:right w:w="0" w:type="dxa"/>
            </w:tcMar>
            <w:vAlign w:val="bottom"/>
          </w:tcPr>
          <w:p w:rsidR="00BE5391" w:rsidRPr="0005249E" w:rsidRDefault="00BE5391" w:rsidP="002638E0">
            <w:pPr>
              <w:jc w:val="center"/>
            </w:pPr>
            <w:r w:rsidRPr="0005249E">
              <w:t>5.85***</w:t>
            </w:r>
          </w:p>
        </w:tc>
        <w:tc>
          <w:tcPr>
            <w:tcW w:w="1002" w:type="dxa"/>
            <w:tcBorders>
              <w:top w:val="single" w:sz="4" w:space="0" w:color="auto"/>
            </w:tcBorders>
            <w:shd w:val="clear" w:color="auto" w:fill="FFFFFF"/>
            <w:tcMar>
              <w:top w:w="0" w:type="dxa"/>
              <w:left w:w="0" w:type="dxa"/>
              <w:bottom w:w="0" w:type="dxa"/>
              <w:right w:w="0" w:type="dxa"/>
            </w:tcMar>
            <w:vAlign w:val="bottom"/>
          </w:tcPr>
          <w:p w:rsidR="00BE5391" w:rsidRPr="0005249E" w:rsidRDefault="00BE5391" w:rsidP="002638E0">
            <w:pPr>
              <w:jc w:val="center"/>
            </w:pPr>
            <w:r w:rsidRPr="0005249E">
              <w:t>-0.99</w:t>
            </w:r>
          </w:p>
        </w:tc>
        <w:tc>
          <w:tcPr>
            <w:tcW w:w="887" w:type="dxa"/>
            <w:tcBorders>
              <w:top w:val="single" w:sz="4" w:space="0" w:color="auto"/>
            </w:tcBorders>
            <w:shd w:val="clear" w:color="auto" w:fill="FFFFFF"/>
            <w:tcMar>
              <w:top w:w="0" w:type="dxa"/>
              <w:left w:w="0" w:type="dxa"/>
              <w:bottom w:w="0" w:type="dxa"/>
              <w:right w:w="0" w:type="dxa"/>
            </w:tcMar>
            <w:vAlign w:val="bottom"/>
          </w:tcPr>
          <w:p w:rsidR="00BE5391" w:rsidRPr="0005249E" w:rsidRDefault="00BE5391" w:rsidP="002638E0">
            <w:pPr>
              <w:jc w:val="center"/>
            </w:pPr>
            <w:r w:rsidRPr="0005249E">
              <w:t>3.95*</w:t>
            </w:r>
          </w:p>
        </w:tc>
        <w:tc>
          <w:tcPr>
            <w:tcW w:w="950" w:type="dxa"/>
            <w:tcBorders>
              <w:top w:val="single" w:sz="4" w:space="0" w:color="auto"/>
            </w:tcBorders>
            <w:shd w:val="clear" w:color="auto" w:fill="FFFFFF"/>
            <w:tcMar>
              <w:top w:w="0" w:type="dxa"/>
              <w:left w:w="0" w:type="dxa"/>
              <w:bottom w:w="0" w:type="dxa"/>
              <w:right w:w="0" w:type="dxa"/>
            </w:tcMar>
            <w:vAlign w:val="bottom"/>
          </w:tcPr>
          <w:p w:rsidR="00BE5391" w:rsidRPr="0005249E" w:rsidRDefault="00BE5391" w:rsidP="002638E0">
            <w:pPr>
              <w:jc w:val="center"/>
            </w:pPr>
            <w:r w:rsidRPr="0005249E">
              <w:t>-1.90</w:t>
            </w:r>
          </w:p>
        </w:tc>
        <w:tc>
          <w:tcPr>
            <w:tcW w:w="960" w:type="dxa"/>
            <w:tcBorders>
              <w:top w:val="single" w:sz="4" w:space="0" w:color="auto"/>
            </w:tcBorders>
            <w:shd w:val="clear" w:color="auto" w:fill="FFFFFF"/>
            <w:tcMar>
              <w:top w:w="0" w:type="dxa"/>
              <w:left w:w="0" w:type="dxa"/>
              <w:bottom w:w="0" w:type="dxa"/>
              <w:right w:w="0" w:type="dxa"/>
            </w:tcMar>
            <w:vAlign w:val="bottom"/>
          </w:tcPr>
          <w:p w:rsidR="00BE5391" w:rsidRPr="0005249E" w:rsidRDefault="00BE5391" w:rsidP="002638E0">
            <w:pPr>
              <w:jc w:val="center"/>
            </w:pPr>
            <w:r w:rsidRPr="0005249E">
              <w:t>3.61*</w:t>
            </w:r>
          </w:p>
        </w:tc>
        <w:tc>
          <w:tcPr>
            <w:tcW w:w="934" w:type="dxa"/>
            <w:tcBorders>
              <w:top w:val="single" w:sz="4" w:space="0" w:color="auto"/>
            </w:tcBorders>
            <w:shd w:val="clear" w:color="auto" w:fill="FFFFFF"/>
            <w:tcMar>
              <w:top w:w="0" w:type="dxa"/>
              <w:left w:w="0" w:type="dxa"/>
              <w:bottom w:w="0" w:type="dxa"/>
              <w:right w:w="0" w:type="dxa"/>
            </w:tcMar>
            <w:vAlign w:val="bottom"/>
          </w:tcPr>
          <w:p w:rsidR="00BE5391" w:rsidRPr="0005249E" w:rsidRDefault="00BE5391" w:rsidP="002638E0">
            <w:pPr>
              <w:jc w:val="center"/>
            </w:pPr>
            <w:r w:rsidRPr="0005249E">
              <w:t>-1.22</w:t>
            </w:r>
          </w:p>
        </w:tc>
      </w:tr>
      <w:tr w:rsidR="00BE5391" w:rsidRPr="0005249E" w:rsidTr="002638E0">
        <w:trPr>
          <w:cantSplit/>
          <w:trHeight w:val="275"/>
        </w:trPr>
        <w:tc>
          <w:tcPr>
            <w:tcW w:w="1034" w:type="dxa"/>
            <w:vMerge/>
            <w:shd w:val="clear" w:color="auto" w:fill="FFFFFF"/>
            <w:tcMar>
              <w:top w:w="0" w:type="dxa"/>
              <w:left w:w="0" w:type="dxa"/>
              <w:bottom w:w="0" w:type="dxa"/>
              <w:right w:w="0" w:type="dxa"/>
            </w:tcMar>
            <w:vAlign w:val="center"/>
          </w:tcPr>
          <w:p w:rsidR="00BE5391" w:rsidRPr="0005249E" w:rsidRDefault="00BE5391" w:rsidP="002638E0">
            <w:pPr>
              <w:jc w:val="center"/>
            </w:pPr>
          </w:p>
        </w:tc>
        <w:tc>
          <w:tcPr>
            <w:tcW w:w="1170" w:type="dxa"/>
            <w:vMerge/>
            <w:shd w:val="clear" w:color="auto" w:fill="FFFFFF"/>
            <w:tcMar>
              <w:top w:w="0" w:type="dxa"/>
              <w:left w:w="0" w:type="dxa"/>
              <w:bottom w:w="0" w:type="dxa"/>
              <w:right w:w="0" w:type="dxa"/>
            </w:tcMar>
          </w:tcPr>
          <w:p w:rsidR="00BE5391" w:rsidRPr="0005249E" w:rsidRDefault="00BE5391" w:rsidP="002638E0"/>
        </w:tc>
        <w:tc>
          <w:tcPr>
            <w:tcW w:w="1336"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2.81</w:t>
            </w:r>
          </w:p>
        </w:tc>
        <w:tc>
          <w:tcPr>
            <w:tcW w:w="1002"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-0.12</w:t>
            </w:r>
          </w:p>
        </w:tc>
        <w:tc>
          <w:tcPr>
            <w:tcW w:w="887"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1.87</w:t>
            </w:r>
          </w:p>
        </w:tc>
        <w:tc>
          <w:tcPr>
            <w:tcW w:w="950"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-0.22</w:t>
            </w:r>
          </w:p>
        </w:tc>
        <w:tc>
          <w:tcPr>
            <w:tcW w:w="960"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1.82</w:t>
            </w:r>
          </w:p>
        </w:tc>
        <w:tc>
          <w:tcPr>
            <w:tcW w:w="934"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-0.15</w:t>
            </w:r>
          </w:p>
        </w:tc>
      </w:tr>
      <w:tr w:rsidR="00BE5391" w:rsidRPr="0005249E" w:rsidTr="002638E0">
        <w:trPr>
          <w:cantSplit/>
          <w:trHeight w:val="280"/>
        </w:trPr>
        <w:tc>
          <w:tcPr>
            <w:tcW w:w="1034" w:type="dxa"/>
            <w:vMerge w:val="restart"/>
            <w:shd w:val="clear" w:color="auto" w:fill="FFFFFF"/>
            <w:tcMar>
              <w:top w:w="0" w:type="dxa"/>
              <w:left w:w="0" w:type="dxa"/>
              <w:bottom w:w="0" w:type="dxa"/>
              <w:right w:w="0" w:type="dxa"/>
            </w:tcMar>
          </w:tcPr>
          <w:p w:rsidR="00BE5391" w:rsidRPr="0005249E" w:rsidRDefault="00BE5391" w:rsidP="002638E0">
            <w:r w:rsidRPr="0005249E">
              <w:t>Political variables</w:t>
            </w:r>
          </w:p>
        </w:tc>
        <w:tc>
          <w:tcPr>
            <w:tcW w:w="1170" w:type="dxa"/>
            <w:vMerge w:val="restart"/>
            <w:shd w:val="clear" w:color="auto" w:fill="FFFFFF"/>
            <w:tcMar>
              <w:top w:w="0" w:type="dxa"/>
              <w:left w:w="0" w:type="dxa"/>
              <w:bottom w:w="0" w:type="dxa"/>
              <w:right w:w="0" w:type="dxa"/>
            </w:tcMar>
          </w:tcPr>
          <w:p w:rsidR="00BE5391" w:rsidRPr="0005249E" w:rsidRDefault="00BE5391" w:rsidP="002638E0">
            <w:r w:rsidRPr="0005249E">
              <w:t>Allowance of public deliberation</w:t>
            </w:r>
          </w:p>
        </w:tc>
        <w:tc>
          <w:tcPr>
            <w:tcW w:w="1336"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-2.44***</w:t>
            </w:r>
          </w:p>
        </w:tc>
        <w:tc>
          <w:tcPr>
            <w:tcW w:w="1002"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-4.02**</w:t>
            </w:r>
          </w:p>
        </w:tc>
        <w:tc>
          <w:tcPr>
            <w:tcW w:w="887"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w:t>
            </w:r>
          </w:p>
        </w:tc>
        <w:tc>
          <w:tcPr>
            <w:tcW w:w="950"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w:t>
            </w:r>
          </w:p>
        </w:tc>
        <w:tc>
          <w:tcPr>
            <w:tcW w:w="960"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w:t>
            </w:r>
          </w:p>
        </w:tc>
        <w:tc>
          <w:tcPr>
            <w:tcW w:w="934"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w:t>
            </w:r>
          </w:p>
        </w:tc>
      </w:tr>
      <w:tr w:rsidR="00BE5391" w:rsidRPr="0005249E" w:rsidTr="002638E0">
        <w:trPr>
          <w:cantSplit/>
          <w:trHeight w:val="440"/>
        </w:trPr>
        <w:tc>
          <w:tcPr>
            <w:tcW w:w="1034" w:type="dxa"/>
            <w:vMerge/>
            <w:shd w:val="clear" w:color="auto" w:fill="FFFFFF"/>
            <w:tcMar>
              <w:top w:w="0" w:type="dxa"/>
              <w:left w:w="0" w:type="dxa"/>
              <w:bottom w:w="0" w:type="dxa"/>
              <w:right w:w="0" w:type="dxa"/>
            </w:tcMar>
          </w:tcPr>
          <w:p w:rsidR="00BE5391" w:rsidRPr="0005249E" w:rsidRDefault="00BE5391" w:rsidP="002638E0"/>
        </w:tc>
        <w:tc>
          <w:tcPr>
            <w:tcW w:w="1170" w:type="dxa"/>
            <w:vMerge/>
            <w:shd w:val="clear" w:color="auto" w:fill="FFFFFF"/>
            <w:tcMar>
              <w:top w:w="0" w:type="dxa"/>
              <w:left w:w="0" w:type="dxa"/>
              <w:bottom w:w="0" w:type="dxa"/>
              <w:right w:w="0" w:type="dxa"/>
            </w:tcMar>
          </w:tcPr>
          <w:p w:rsidR="00BE5391" w:rsidRPr="0005249E" w:rsidRDefault="00BE5391" w:rsidP="002638E0"/>
        </w:tc>
        <w:tc>
          <w:tcPr>
            <w:tcW w:w="1336"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-3.09</w:t>
            </w:r>
          </w:p>
        </w:tc>
        <w:tc>
          <w:tcPr>
            <w:tcW w:w="1002"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-2.61</w:t>
            </w:r>
          </w:p>
        </w:tc>
        <w:tc>
          <w:tcPr>
            <w:tcW w:w="887"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 </w:t>
            </w:r>
          </w:p>
        </w:tc>
        <w:tc>
          <w:tcPr>
            <w:tcW w:w="950"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 </w:t>
            </w:r>
          </w:p>
        </w:tc>
        <w:tc>
          <w:tcPr>
            <w:tcW w:w="960" w:type="dxa"/>
            <w:shd w:val="clear" w:color="auto" w:fill="FFFFFF"/>
            <w:tcMar>
              <w:top w:w="0" w:type="dxa"/>
              <w:left w:w="0" w:type="dxa"/>
              <w:bottom w:w="0" w:type="dxa"/>
              <w:right w:w="0" w:type="dxa"/>
            </w:tcMar>
            <w:vAlign w:val="bottom"/>
          </w:tcPr>
          <w:p w:rsidR="00BE5391" w:rsidRPr="0005249E" w:rsidRDefault="00BE5391" w:rsidP="002638E0">
            <w:pPr>
              <w:jc w:val="center"/>
            </w:pPr>
          </w:p>
        </w:tc>
        <w:tc>
          <w:tcPr>
            <w:tcW w:w="934" w:type="dxa"/>
            <w:shd w:val="clear" w:color="auto" w:fill="FFFFFF"/>
            <w:tcMar>
              <w:top w:w="0" w:type="dxa"/>
              <w:left w:w="0" w:type="dxa"/>
              <w:bottom w:w="0" w:type="dxa"/>
              <w:right w:w="0" w:type="dxa"/>
            </w:tcMar>
            <w:vAlign w:val="bottom"/>
          </w:tcPr>
          <w:p w:rsidR="00BE5391" w:rsidRPr="0005249E" w:rsidRDefault="00BE5391" w:rsidP="002638E0">
            <w:pPr>
              <w:jc w:val="center"/>
            </w:pPr>
          </w:p>
        </w:tc>
      </w:tr>
      <w:tr w:rsidR="00BE5391" w:rsidRPr="0005249E" w:rsidTr="002638E0">
        <w:trPr>
          <w:cantSplit/>
          <w:trHeight w:val="280"/>
        </w:trPr>
        <w:tc>
          <w:tcPr>
            <w:tcW w:w="1034" w:type="dxa"/>
            <w:vMerge/>
            <w:shd w:val="clear" w:color="auto" w:fill="FFFFFF"/>
            <w:tcMar>
              <w:top w:w="0" w:type="dxa"/>
              <w:left w:w="0" w:type="dxa"/>
              <w:bottom w:w="0" w:type="dxa"/>
              <w:right w:w="0" w:type="dxa"/>
            </w:tcMar>
          </w:tcPr>
          <w:p w:rsidR="00BE5391" w:rsidRPr="0005249E" w:rsidRDefault="00BE5391" w:rsidP="002638E0"/>
        </w:tc>
        <w:tc>
          <w:tcPr>
            <w:tcW w:w="1170" w:type="dxa"/>
            <w:vMerge w:val="restart"/>
            <w:shd w:val="clear" w:color="auto" w:fill="FFFFFF"/>
            <w:tcMar>
              <w:top w:w="0" w:type="dxa"/>
              <w:left w:w="0" w:type="dxa"/>
              <w:bottom w:w="0" w:type="dxa"/>
              <w:right w:w="0" w:type="dxa"/>
            </w:tcMar>
          </w:tcPr>
          <w:p w:rsidR="00BE5391" w:rsidRPr="0005249E" w:rsidRDefault="00BE5391" w:rsidP="002638E0">
            <w:r>
              <w:t>Exec Cnstrt</w:t>
            </w:r>
          </w:p>
        </w:tc>
        <w:tc>
          <w:tcPr>
            <w:tcW w:w="1336"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w:t>
            </w:r>
          </w:p>
        </w:tc>
        <w:tc>
          <w:tcPr>
            <w:tcW w:w="1002"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w:t>
            </w:r>
          </w:p>
        </w:tc>
        <w:tc>
          <w:tcPr>
            <w:tcW w:w="887"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-0.47</w:t>
            </w:r>
          </w:p>
        </w:tc>
        <w:tc>
          <w:tcPr>
            <w:tcW w:w="950"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-0.72</w:t>
            </w:r>
          </w:p>
        </w:tc>
        <w:tc>
          <w:tcPr>
            <w:tcW w:w="960"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w:t>
            </w:r>
          </w:p>
        </w:tc>
        <w:tc>
          <w:tcPr>
            <w:tcW w:w="934"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w:t>
            </w:r>
          </w:p>
        </w:tc>
      </w:tr>
      <w:tr w:rsidR="00BE5391" w:rsidRPr="0005249E" w:rsidTr="002638E0">
        <w:trPr>
          <w:cantSplit/>
          <w:trHeight w:val="275"/>
        </w:trPr>
        <w:tc>
          <w:tcPr>
            <w:tcW w:w="1034" w:type="dxa"/>
            <w:vMerge/>
            <w:shd w:val="clear" w:color="auto" w:fill="FFFFFF"/>
            <w:tcMar>
              <w:top w:w="0" w:type="dxa"/>
              <w:left w:w="0" w:type="dxa"/>
              <w:bottom w:w="0" w:type="dxa"/>
              <w:right w:w="0" w:type="dxa"/>
            </w:tcMar>
          </w:tcPr>
          <w:p w:rsidR="00BE5391" w:rsidRPr="0005249E" w:rsidRDefault="00BE5391" w:rsidP="002638E0"/>
        </w:tc>
        <w:tc>
          <w:tcPr>
            <w:tcW w:w="1170" w:type="dxa"/>
            <w:vMerge/>
            <w:shd w:val="clear" w:color="auto" w:fill="FFFFFF"/>
            <w:tcMar>
              <w:top w:w="0" w:type="dxa"/>
              <w:left w:w="0" w:type="dxa"/>
              <w:bottom w:w="0" w:type="dxa"/>
              <w:right w:w="0" w:type="dxa"/>
            </w:tcMar>
          </w:tcPr>
          <w:p w:rsidR="00BE5391" w:rsidRPr="0005249E" w:rsidRDefault="00BE5391" w:rsidP="002638E0"/>
        </w:tc>
        <w:tc>
          <w:tcPr>
            <w:tcW w:w="1336"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 </w:t>
            </w:r>
          </w:p>
        </w:tc>
        <w:tc>
          <w:tcPr>
            <w:tcW w:w="1002"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 </w:t>
            </w:r>
          </w:p>
        </w:tc>
        <w:tc>
          <w:tcPr>
            <w:tcW w:w="887"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-1.17</w:t>
            </w:r>
          </w:p>
        </w:tc>
        <w:tc>
          <w:tcPr>
            <w:tcW w:w="950"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-0.85</w:t>
            </w:r>
          </w:p>
        </w:tc>
        <w:tc>
          <w:tcPr>
            <w:tcW w:w="960" w:type="dxa"/>
            <w:shd w:val="clear" w:color="auto" w:fill="FFFFFF"/>
            <w:tcMar>
              <w:top w:w="0" w:type="dxa"/>
              <w:left w:w="0" w:type="dxa"/>
              <w:bottom w:w="0" w:type="dxa"/>
              <w:right w:w="0" w:type="dxa"/>
            </w:tcMar>
            <w:vAlign w:val="bottom"/>
          </w:tcPr>
          <w:p w:rsidR="00BE5391" w:rsidRPr="0005249E" w:rsidRDefault="00BE5391" w:rsidP="002638E0">
            <w:pPr>
              <w:jc w:val="center"/>
            </w:pPr>
          </w:p>
        </w:tc>
        <w:tc>
          <w:tcPr>
            <w:tcW w:w="934" w:type="dxa"/>
            <w:shd w:val="clear" w:color="auto" w:fill="FFFFFF"/>
            <w:tcMar>
              <w:top w:w="0" w:type="dxa"/>
              <w:left w:w="0" w:type="dxa"/>
              <w:bottom w:w="0" w:type="dxa"/>
              <w:right w:w="0" w:type="dxa"/>
            </w:tcMar>
            <w:vAlign w:val="bottom"/>
          </w:tcPr>
          <w:p w:rsidR="00BE5391" w:rsidRPr="0005249E" w:rsidRDefault="00BE5391" w:rsidP="002638E0">
            <w:pPr>
              <w:jc w:val="center"/>
            </w:pPr>
          </w:p>
        </w:tc>
      </w:tr>
      <w:tr w:rsidR="00BE5391" w:rsidRPr="0005249E" w:rsidTr="002638E0">
        <w:trPr>
          <w:cantSplit/>
          <w:trHeight w:val="315"/>
        </w:trPr>
        <w:tc>
          <w:tcPr>
            <w:tcW w:w="1034" w:type="dxa"/>
            <w:vMerge/>
            <w:shd w:val="clear" w:color="auto" w:fill="FFFFFF"/>
            <w:tcMar>
              <w:top w:w="0" w:type="dxa"/>
              <w:left w:w="0" w:type="dxa"/>
              <w:bottom w:w="0" w:type="dxa"/>
              <w:right w:w="0" w:type="dxa"/>
            </w:tcMar>
          </w:tcPr>
          <w:p w:rsidR="00BE5391" w:rsidRPr="0005249E" w:rsidRDefault="00BE5391" w:rsidP="002638E0"/>
        </w:tc>
        <w:tc>
          <w:tcPr>
            <w:tcW w:w="1170" w:type="dxa"/>
            <w:vMerge w:val="restart"/>
            <w:shd w:val="clear" w:color="auto" w:fill="FFFFFF"/>
            <w:tcMar>
              <w:top w:w="0" w:type="dxa"/>
              <w:left w:w="0" w:type="dxa"/>
              <w:bottom w:w="0" w:type="dxa"/>
              <w:right w:w="0" w:type="dxa"/>
            </w:tcMar>
            <w:vAlign w:val="center"/>
          </w:tcPr>
          <w:p w:rsidR="00BE5391" w:rsidRPr="0005249E" w:rsidRDefault="00BE5391" w:rsidP="002638E0">
            <w:r w:rsidRPr="0005249E">
              <w:t>Allowance of public deliberation (residual)</w:t>
            </w:r>
          </w:p>
        </w:tc>
        <w:tc>
          <w:tcPr>
            <w:tcW w:w="1336"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w:t>
            </w:r>
          </w:p>
        </w:tc>
        <w:tc>
          <w:tcPr>
            <w:tcW w:w="1002"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w:t>
            </w:r>
          </w:p>
        </w:tc>
        <w:tc>
          <w:tcPr>
            <w:tcW w:w="887"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w:t>
            </w:r>
          </w:p>
        </w:tc>
        <w:tc>
          <w:tcPr>
            <w:tcW w:w="950"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w:t>
            </w:r>
          </w:p>
        </w:tc>
        <w:tc>
          <w:tcPr>
            <w:tcW w:w="960"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-2.93</w:t>
            </w:r>
          </w:p>
        </w:tc>
        <w:tc>
          <w:tcPr>
            <w:tcW w:w="934"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-7.42**</w:t>
            </w:r>
          </w:p>
        </w:tc>
      </w:tr>
      <w:tr w:rsidR="00BE5391" w:rsidRPr="0005249E" w:rsidTr="002638E0">
        <w:trPr>
          <w:cantSplit/>
          <w:trHeight w:val="445"/>
        </w:trPr>
        <w:tc>
          <w:tcPr>
            <w:tcW w:w="1034" w:type="dxa"/>
            <w:vMerge/>
            <w:shd w:val="clear" w:color="auto" w:fill="FFFFFF"/>
            <w:tcMar>
              <w:top w:w="0" w:type="dxa"/>
              <w:left w:w="0" w:type="dxa"/>
              <w:bottom w:w="0" w:type="dxa"/>
              <w:right w:w="0" w:type="dxa"/>
            </w:tcMar>
          </w:tcPr>
          <w:p w:rsidR="00BE5391" w:rsidRPr="0005249E" w:rsidRDefault="00BE5391" w:rsidP="002638E0"/>
        </w:tc>
        <w:tc>
          <w:tcPr>
            <w:tcW w:w="1170" w:type="dxa"/>
            <w:vMerge/>
            <w:shd w:val="clear" w:color="auto" w:fill="FFFFFF"/>
            <w:tcMar>
              <w:top w:w="0" w:type="dxa"/>
              <w:left w:w="0" w:type="dxa"/>
              <w:bottom w:w="0" w:type="dxa"/>
              <w:right w:w="0" w:type="dxa"/>
            </w:tcMar>
            <w:vAlign w:val="center"/>
          </w:tcPr>
          <w:p w:rsidR="00BE5391" w:rsidRPr="0005249E" w:rsidRDefault="00BE5391" w:rsidP="002638E0"/>
        </w:tc>
        <w:tc>
          <w:tcPr>
            <w:tcW w:w="1336" w:type="dxa"/>
            <w:shd w:val="clear" w:color="auto" w:fill="FFFFFF"/>
            <w:tcMar>
              <w:top w:w="0" w:type="dxa"/>
              <w:left w:w="0" w:type="dxa"/>
              <w:bottom w:w="0" w:type="dxa"/>
              <w:right w:w="0" w:type="dxa"/>
            </w:tcMar>
            <w:vAlign w:val="bottom"/>
          </w:tcPr>
          <w:p w:rsidR="00BE5391" w:rsidRPr="0005249E" w:rsidRDefault="00BE5391" w:rsidP="002638E0">
            <w:pPr>
              <w:jc w:val="center"/>
            </w:pPr>
          </w:p>
        </w:tc>
        <w:tc>
          <w:tcPr>
            <w:tcW w:w="1002" w:type="dxa"/>
            <w:shd w:val="clear" w:color="auto" w:fill="FFFFFF"/>
            <w:tcMar>
              <w:top w:w="0" w:type="dxa"/>
              <w:left w:w="0" w:type="dxa"/>
              <w:bottom w:w="0" w:type="dxa"/>
              <w:right w:w="0" w:type="dxa"/>
            </w:tcMar>
            <w:vAlign w:val="bottom"/>
          </w:tcPr>
          <w:p w:rsidR="00BE5391" w:rsidRPr="0005249E" w:rsidRDefault="00BE5391" w:rsidP="002638E0">
            <w:pPr>
              <w:jc w:val="center"/>
            </w:pPr>
          </w:p>
        </w:tc>
        <w:tc>
          <w:tcPr>
            <w:tcW w:w="887" w:type="dxa"/>
            <w:shd w:val="clear" w:color="auto" w:fill="FFFFFF"/>
            <w:tcMar>
              <w:top w:w="0" w:type="dxa"/>
              <w:left w:w="0" w:type="dxa"/>
              <w:bottom w:w="0" w:type="dxa"/>
              <w:right w:w="0" w:type="dxa"/>
            </w:tcMar>
            <w:vAlign w:val="bottom"/>
          </w:tcPr>
          <w:p w:rsidR="00BE5391" w:rsidRPr="0005249E" w:rsidRDefault="00BE5391" w:rsidP="002638E0">
            <w:pPr>
              <w:jc w:val="center"/>
            </w:pPr>
          </w:p>
        </w:tc>
        <w:tc>
          <w:tcPr>
            <w:tcW w:w="950" w:type="dxa"/>
            <w:shd w:val="clear" w:color="auto" w:fill="FFFFFF"/>
            <w:tcMar>
              <w:top w:w="0" w:type="dxa"/>
              <w:left w:w="0" w:type="dxa"/>
              <w:bottom w:w="0" w:type="dxa"/>
              <w:right w:w="0" w:type="dxa"/>
            </w:tcMar>
            <w:vAlign w:val="bottom"/>
          </w:tcPr>
          <w:p w:rsidR="00BE5391" w:rsidRPr="0005249E" w:rsidRDefault="00BE5391" w:rsidP="002638E0">
            <w:pPr>
              <w:jc w:val="center"/>
            </w:pPr>
          </w:p>
        </w:tc>
        <w:tc>
          <w:tcPr>
            <w:tcW w:w="960"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-1.48</w:t>
            </w:r>
          </w:p>
        </w:tc>
        <w:tc>
          <w:tcPr>
            <w:tcW w:w="934"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-2.47</w:t>
            </w:r>
          </w:p>
        </w:tc>
      </w:tr>
      <w:tr w:rsidR="00BE5391" w:rsidRPr="0005249E" w:rsidTr="002638E0">
        <w:trPr>
          <w:cantSplit/>
          <w:trHeight w:val="280"/>
        </w:trPr>
        <w:tc>
          <w:tcPr>
            <w:tcW w:w="1034" w:type="dxa"/>
            <w:vMerge w:val="restart"/>
            <w:shd w:val="clear" w:color="auto" w:fill="FFFFFF"/>
            <w:tcMar>
              <w:top w:w="0" w:type="dxa"/>
              <w:left w:w="0" w:type="dxa"/>
              <w:bottom w:w="0" w:type="dxa"/>
              <w:right w:w="0" w:type="dxa"/>
            </w:tcMar>
          </w:tcPr>
          <w:p w:rsidR="00BE5391" w:rsidRPr="0005249E" w:rsidRDefault="00BE5391" w:rsidP="002638E0">
            <w:r w:rsidRPr="0005249E">
              <w:t>Political Control Variable</w:t>
            </w:r>
          </w:p>
        </w:tc>
        <w:tc>
          <w:tcPr>
            <w:tcW w:w="1170" w:type="dxa"/>
            <w:vMerge w:val="restart"/>
            <w:shd w:val="clear" w:color="auto" w:fill="FFFFFF"/>
            <w:tcMar>
              <w:top w:w="0" w:type="dxa"/>
              <w:left w:w="0" w:type="dxa"/>
              <w:bottom w:w="0" w:type="dxa"/>
              <w:right w:w="0" w:type="dxa"/>
            </w:tcMar>
          </w:tcPr>
          <w:p w:rsidR="00BE5391" w:rsidRPr="0005249E" w:rsidRDefault="00BE5391" w:rsidP="002638E0">
            <w:r w:rsidRPr="0005249E">
              <w:t>Veto players</w:t>
            </w:r>
          </w:p>
        </w:tc>
        <w:tc>
          <w:tcPr>
            <w:tcW w:w="1336"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w:t>
            </w:r>
          </w:p>
        </w:tc>
        <w:tc>
          <w:tcPr>
            <w:tcW w:w="1002"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4.55</w:t>
            </w:r>
          </w:p>
        </w:tc>
        <w:tc>
          <w:tcPr>
            <w:tcW w:w="887"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w:t>
            </w:r>
          </w:p>
        </w:tc>
        <w:tc>
          <w:tcPr>
            <w:tcW w:w="950"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4.30</w:t>
            </w:r>
          </w:p>
        </w:tc>
        <w:tc>
          <w:tcPr>
            <w:tcW w:w="960"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w:t>
            </w:r>
          </w:p>
        </w:tc>
        <w:tc>
          <w:tcPr>
            <w:tcW w:w="934"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3.05</w:t>
            </w:r>
          </w:p>
        </w:tc>
      </w:tr>
      <w:tr w:rsidR="00BE5391" w:rsidRPr="0005249E" w:rsidTr="002638E0">
        <w:trPr>
          <w:cantSplit/>
          <w:trHeight w:val="380"/>
        </w:trPr>
        <w:tc>
          <w:tcPr>
            <w:tcW w:w="1034" w:type="dxa"/>
            <w:vMerge/>
            <w:shd w:val="clear" w:color="auto" w:fill="FFFFFF"/>
            <w:tcMar>
              <w:top w:w="0" w:type="dxa"/>
              <w:left w:w="0" w:type="dxa"/>
              <w:bottom w:w="0" w:type="dxa"/>
              <w:right w:w="0" w:type="dxa"/>
            </w:tcMar>
          </w:tcPr>
          <w:p w:rsidR="00BE5391" w:rsidRPr="0005249E" w:rsidRDefault="00BE5391" w:rsidP="002638E0"/>
        </w:tc>
        <w:tc>
          <w:tcPr>
            <w:tcW w:w="1170" w:type="dxa"/>
            <w:vMerge/>
            <w:shd w:val="clear" w:color="auto" w:fill="FFFFFF"/>
            <w:tcMar>
              <w:top w:w="0" w:type="dxa"/>
              <w:left w:w="0" w:type="dxa"/>
              <w:bottom w:w="0" w:type="dxa"/>
              <w:right w:w="0" w:type="dxa"/>
            </w:tcMar>
          </w:tcPr>
          <w:p w:rsidR="00BE5391" w:rsidRPr="0005249E" w:rsidRDefault="00BE5391" w:rsidP="002638E0"/>
        </w:tc>
        <w:tc>
          <w:tcPr>
            <w:tcW w:w="1336"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 </w:t>
            </w:r>
          </w:p>
        </w:tc>
        <w:tc>
          <w:tcPr>
            <w:tcW w:w="1002"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0.83</w:t>
            </w:r>
          </w:p>
        </w:tc>
        <w:tc>
          <w:tcPr>
            <w:tcW w:w="887"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 </w:t>
            </w:r>
          </w:p>
        </w:tc>
        <w:tc>
          <w:tcPr>
            <w:tcW w:w="950"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0.69</w:t>
            </w:r>
          </w:p>
        </w:tc>
        <w:tc>
          <w:tcPr>
            <w:tcW w:w="960"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 </w:t>
            </w:r>
          </w:p>
        </w:tc>
        <w:tc>
          <w:tcPr>
            <w:tcW w:w="934"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0.58</w:t>
            </w:r>
          </w:p>
        </w:tc>
      </w:tr>
      <w:tr w:rsidR="00BE5391" w:rsidRPr="0005249E" w:rsidTr="002638E0">
        <w:trPr>
          <w:cantSplit/>
          <w:trHeight w:val="420"/>
        </w:trPr>
        <w:tc>
          <w:tcPr>
            <w:tcW w:w="1034" w:type="dxa"/>
            <w:vMerge/>
            <w:shd w:val="clear" w:color="auto" w:fill="FFFFFF"/>
            <w:tcMar>
              <w:top w:w="0" w:type="dxa"/>
              <w:left w:w="0" w:type="dxa"/>
              <w:bottom w:w="0" w:type="dxa"/>
              <w:right w:w="0" w:type="dxa"/>
            </w:tcMar>
          </w:tcPr>
          <w:p w:rsidR="00BE5391" w:rsidRPr="0005249E" w:rsidRDefault="00BE5391" w:rsidP="002638E0"/>
        </w:tc>
        <w:tc>
          <w:tcPr>
            <w:tcW w:w="1170" w:type="dxa"/>
            <w:vMerge w:val="restart"/>
            <w:shd w:val="clear" w:color="auto" w:fill="FFFFFF"/>
            <w:tcMar>
              <w:top w:w="0" w:type="dxa"/>
              <w:left w:w="0" w:type="dxa"/>
              <w:bottom w:w="0" w:type="dxa"/>
              <w:right w:w="0" w:type="dxa"/>
            </w:tcMar>
            <w:vAlign w:val="center"/>
          </w:tcPr>
          <w:p w:rsidR="00BE5391" w:rsidRPr="0005249E" w:rsidRDefault="00BE5391" w:rsidP="002638E0">
            <w:r w:rsidRPr="0005249E">
              <w:t>Political Parties in the Legislature</w:t>
            </w:r>
          </w:p>
          <w:p w:rsidR="00BE5391" w:rsidRPr="0005249E" w:rsidRDefault="00BE5391" w:rsidP="002638E0"/>
        </w:tc>
        <w:tc>
          <w:tcPr>
            <w:tcW w:w="1336"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w:t>
            </w:r>
          </w:p>
        </w:tc>
        <w:tc>
          <w:tcPr>
            <w:tcW w:w="1002"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0.96</w:t>
            </w:r>
          </w:p>
        </w:tc>
        <w:tc>
          <w:tcPr>
            <w:tcW w:w="887"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w:t>
            </w:r>
          </w:p>
        </w:tc>
        <w:tc>
          <w:tcPr>
            <w:tcW w:w="950"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0.05</w:t>
            </w:r>
          </w:p>
        </w:tc>
        <w:tc>
          <w:tcPr>
            <w:tcW w:w="960"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w:t>
            </w:r>
          </w:p>
        </w:tc>
        <w:tc>
          <w:tcPr>
            <w:tcW w:w="934"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0.32</w:t>
            </w:r>
          </w:p>
        </w:tc>
      </w:tr>
      <w:tr w:rsidR="00BE5391" w:rsidRPr="0005249E" w:rsidTr="002638E0">
        <w:trPr>
          <w:cantSplit/>
          <w:trHeight w:val="380"/>
        </w:trPr>
        <w:tc>
          <w:tcPr>
            <w:tcW w:w="1034" w:type="dxa"/>
            <w:vMerge/>
            <w:shd w:val="clear" w:color="auto" w:fill="FFFFFF"/>
            <w:tcMar>
              <w:top w:w="0" w:type="dxa"/>
              <w:left w:w="0" w:type="dxa"/>
              <w:bottom w:w="0" w:type="dxa"/>
              <w:right w:w="0" w:type="dxa"/>
            </w:tcMar>
          </w:tcPr>
          <w:p w:rsidR="00BE5391" w:rsidRPr="0005249E" w:rsidRDefault="00BE5391" w:rsidP="002638E0"/>
        </w:tc>
        <w:tc>
          <w:tcPr>
            <w:tcW w:w="1170" w:type="dxa"/>
            <w:vMerge/>
            <w:shd w:val="clear" w:color="auto" w:fill="FFFFFF"/>
            <w:tcMar>
              <w:top w:w="0" w:type="dxa"/>
              <w:left w:w="0" w:type="dxa"/>
              <w:bottom w:w="0" w:type="dxa"/>
              <w:right w:w="0" w:type="dxa"/>
            </w:tcMar>
            <w:vAlign w:val="center"/>
          </w:tcPr>
          <w:p w:rsidR="00BE5391" w:rsidRPr="0005249E" w:rsidRDefault="00BE5391" w:rsidP="002638E0"/>
        </w:tc>
        <w:tc>
          <w:tcPr>
            <w:tcW w:w="1336" w:type="dxa"/>
            <w:shd w:val="clear" w:color="auto" w:fill="FFFFFF"/>
            <w:tcMar>
              <w:top w:w="0" w:type="dxa"/>
              <w:left w:w="0" w:type="dxa"/>
              <w:bottom w:w="0" w:type="dxa"/>
              <w:right w:w="0" w:type="dxa"/>
            </w:tcMar>
            <w:vAlign w:val="bottom"/>
          </w:tcPr>
          <w:p w:rsidR="00BE5391" w:rsidRPr="0005249E" w:rsidRDefault="00BE5391" w:rsidP="002638E0">
            <w:pPr>
              <w:jc w:val="center"/>
            </w:pPr>
          </w:p>
        </w:tc>
        <w:tc>
          <w:tcPr>
            <w:tcW w:w="1002"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0.92</w:t>
            </w:r>
          </w:p>
        </w:tc>
        <w:tc>
          <w:tcPr>
            <w:tcW w:w="887" w:type="dxa"/>
            <w:shd w:val="clear" w:color="auto" w:fill="FFFFFF"/>
            <w:tcMar>
              <w:top w:w="0" w:type="dxa"/>
              <w:left w:w="0" w:type="dxa"/>
              <w:bottom w:w="0" w:type="dxa"/>
              <w:right w:w="0" w:type="dxa"/>
            </w:tcMar>
            <w:vAlign w:val="bottom"/>
          </w:tcPr>
          <w:p w:rsidR="00BE5391" w:rsidRPr="0005249E" w:rsidRDefault="00BE5391" w:rsidP="002638E0">
            <w:pPr>
              <w:jc w:val="center"/>
            </w:pPr>
          </w:p>
        </w:tc>
        <w:tc>
          <w:tcPr>
            <w:tcW w:w="950"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0.04</w:t>
            </w:r>
          </w:p>
        </w:tc>
        <w:tc>
          <w:tcPr>
            <w:tcW w:w="960" w:type="dxa"/>
            <w:shd w:val="clear" w:color="auto" w:fill="FFFFFF"/>
            <w:tcMar>
              <w:top w:w="0" w:type="dxa"/>
              <w:left w:w="0" w:type="dxa"/>
              <w:bottom w:w="0" w:type="dxa"/>
              <w:right w:w="0" w:type="dxa"/>
            </w:tcMar>
            <w:vAlign w:val="bottom"/>
          </w:tcPr>
          <w:p w:rsidR="00BE5391" w:rsidRPr="0005249E" w:rsidRDefault="00BE5391" w:rsidP="002638E0">
            <w:pPr>
              <w:jc w:val="center"/>
            </w:pPr>
          </w:p>
        </w:tc>
        <w:tc>
          <w:tcPr>
            <w:tcW w:w="934"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0.33</w:t>
            </w:r>
          </w:p>
        </w:tc>
      </w:tr>
      <w:tr w:rsidR="00BE5391" w:rsidRPr="0005249E" w:rsidTr="002638E0">
        <w:trPr>
          <w:cantSplit/>
          <w:trHeight w:val="280"/>
        </w:trPr>
        <w:tc>
          <w:tcPr>
            <w:tcW w:w="1034" w:type="dxa"/>
            <w:vMerge w:val="restart"/>
            <w:shd w:val="clear" w:color="auto" w:fill="FFFFFF"/>
            <w:tcMar>
              <w:top w:w="0" w:type="dxa"/>
              <w:left w:w="0" w:type="dxa"/>
              <w:bottom w:w="0" w:type="dxa"/>
              <w:right w:w="0" w:type="dxa"/>
            </w:tcMar>
          </w:tcPr>
          <w:p w:rsidR="00BE5391" w:rsidRPr="0005249E" w:rsidRDefault="00BE5391" w:rsidP="002638E0">
            <w:pPr>
              <w:jc w:val="center"/>
            </w:pPr>
            <w:r w:rsidRPr="0005249E">
              <w:t>Standard Control Variables</w:t>
            </w:r>
          </w:p>
        </w:tc>
        <w:tc>
          <w:tcPr>
            <w:tcW w:w="1170" w:type="dxa"/>
            <w:vMerge w:val="restart"/>
            <w:shd w:val="clear" w:color="auto" w:fill="FFFFFF"/>
            <w:tcMar>
              <w:top w:w="0" w:type="dxa"/>
              <w:left w:w="0" w:type="dxa"/>
              <w:bottom w:w="0" w:type="dxa"/>
              <w:right w:w="0" w:type="dxa"/>
            </w:tcMar>
          </w:tcPr>
          <w:p w:rsidR="00BE5391" w:rsidRPr="0005249E" w:rsidRDefault="00BE5391" w:rsidP="002638E0">
            <w:r w:rsidRPr="0005249E">
              <w:t>GDP per capita</w:t>
            </w:r>
          </w:p>
        </w:tc>
        <w:tc>
          <w:tcPr>
            <w:tcW w:w="1336"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0.23</w:t>
            </w:r>
          </w:p>
        </w:tc>
        <w:tc>
          <w:tcPr>
            <w:tcW w:w="1002"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-0.24</w:t>
            </w:r>
          </w:p>
        </w:tc>
        <w:tc>
          <w:tcPr>
            <w:tcW w:w="887"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0.18</w:t>
            </w:r>
          </w:p>
        </w:tc>
        <w:tc>
          <w:tcPr>
            <w:tcW w:w="950"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-0.50</w:t>
            </w:r>
          </w:p>
        </w:tc>
        <w:tc>
          <w:tcPr>
            <w:tcW w:w="960"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0.11</w:t>
            </w:r>
          </w:p>
        </w:tc>
        <w:tc>
          <w:tcPr>
            <w:tcW w:w="934"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-0.00</w:t>
            </w:r>
          </w:p>
        </w:tc>
      </w:tr>
      <w:tr w:rsidR="00BE5391" w:rsidRPr="0005249E" w:rsidTr="002638E0">
        <w:trPr>
          <w:cantSplit/>
          <w:trHeight w:val="275"/>
        </w:trPr>
        <w:tc>
          <w:tcPr>
            <w:tcW w:w="1034" w:type="dxa"/>
            <w:vMerge/>
            <w:shd w:val="clear" w:color="auto" w:fill="FFFFFF"/>
            <w:tcMar>
              <w:top w:w="0" w:type="dxa"/>
              <w:left w:w="0" w:type="dxa"/>
              <w:bottom w:w="0" w:type="dxa"/>
              <w:right w:w="0" w:type="dxa"/>
            </w:tcMar>
            <w:vAlign w:val="center"/>
          </w:tcPr>
          <w:p w:rsidR="00BE5391" w:rsidRPr="0005249E" w:rsidRDefault="00BE5391" w:rsidP="002638E0">
            <w:pPr>
              <w:jc w:val="center"/>
            </w:pPr>
          </w:p>
        </w:tc>
        <w:tc>
          <w:tcPr>
            <w:tcW w:w="1170" w:type="dxa"/>
            <w:vMerge/>
            <w:shd w:val="clear" w:color="auto" w:fill="FFFFFF"/>
            <w:tcMar>
              <w:top w:w="0" w:type="dxa"/>
              <w:left w:w="0" w:type="dxa"/>
              <w:bottom w:w="0" w:type="dxa"/>
              <w:right w:w="0" w:type="dxa"/>
            </w:tcMar>
          </w:tcPr>
          <w:p w:rsidR="00BE5391" w:rsidRPr="0005249E" w:rsidRDefault="00BE5391" w:rsidP="002638E0"/>
        </w:tc>
        <w:tc>
          <w:tcPr>
            <w:tcW w:w="1336"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0.82</w:t>
            </w:r>
          </w:p>
        </w:tc>
        <w:tc>
          <w:tcPr>
            <w:tcW w:w="1002"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-0.26</w:t>
            </w:r>
          </w:p>
        </w:tc>
        <w:tc>
          <w:tcPr>
            <w:tcW w:w="887"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0.61</w:t>
            </w:r>
          </w:p>
        </w:tc>
        <w:tc>
          <w:tcPr>
            <w:tcW w:w="950"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-0.51</w:t>
            </w:r>
          </w:p>
        </w:tc>
        <w:tc>
          <w:tcPr>
            <w:tcW w:w="960"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0.35</w:t>
            </w:r>
          </w:p>
        </w:tc>
        <w:tc>
          <w:tcPr>
            <w:tcW w:w="934"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-0.00</w:t>
            </w:r>
          </w:p>
        </w:tc>
      </w:tr>
      <w:tr w:rsidR="00BE5391" w:rsidRPr="0005249E" w:rsidTr="002638E0">
        <w:trPr>
          <w:cantSplit/>
          <w:trHeight w:val="385"/>
        </w:trPr>
        <w:tc>
          <w:tcPr>
            <w:tcW w:w="1034" w:type="dxa"/>
            <w:vMerge/>
            <w:shd w:val="clear" w:color="auto" w:fill="FFFFFF"/>
            <w:tcMar>
              <w:top w:w="0" w:type="dxa"/>
              <w:left w:w="0" w:type="dxa"/>
              <w:bottom w:w="0" w:type="dxa"/>
              <w:right w:w="0" w:type="dxa"/>
            </w:tcMar>
            <w:vAlign w:val="center"/>
          </w:tcPr>
          <w:p w:rsidR="00BE5391" w:rsidRPr="0005249E" w:rsidRDefault="00BE5391" w:rsidP="002638E0">
            <w:pPr>
              <w:jc w:val="center"/>
            </w:pPr>
          </w:p>
        </w:tc>
        <w:tc>
          <w:tcPr>
            <w:tcW w:w="1170" w:type="dxa"/>
            <w:vMerge w:val="restart"/>
            <w:shd w:val="clear" w:color="auto" w:fill="FFFFFF"/>
            <w:tcMar>
              <w:top w:w="0" w:type="dxa"/>
              <w:left w:w="0" w:type="dxa"/>
              <w:bottom w:w="0" w:type="dxa"/>
              <w:right w:w="0" w:type="dxa"/>
            </w:tcMar>
          </w:tcPr>
          <w:p w:rsidR="00BE5391" w:rsidRPr="0005249E" w:rsidRDefault="00BE5391" w:rsidP="002638E0">
            <w:r w:rsidRPr="0005249E">
              <w:t>Primary Enrollment</w:t>
            </w:r>
          </w:p>
        </w:tc>
        <w:tc>
          <w:tcPr>
            <w:tcW w:w="1336"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w:t>
            </w:r>
          </w:p>
        </w:tc>
        <w:tc>
          <w:tcPr>
            <w:tcW w:w="1002"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0.02</w:t>
            </w:r>
          </w:p>
        </w:tc>
        <w:tc>
          <w:tcPr>
            <w:tcW w:w="887"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w:t>
            </w:r>
          </w:p>
        </w:tc>
        <w:tc>
          <w:tcPr>
            <w:tcW w:w="950"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-0.25</w:t>
            </w:r>
          </w:p>
        </w:tc>
        <w:tc>
          <w:tcPr>
            <w:tcW w:w="960"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w:t>
            </w:r>
          </w:p>
        </w:tc>
        <w:tc>
          <w:tcPr>
            <w:tcW w:w="934"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-0.89</w:t>
            </w:r>
          </w:p>
        </w:tc>
      </w:tr>
      <w:tr w:rsidR="00BE5391" w:rsidRPr="0005249E" w:rsidTr="002638E0">
        <w:trPr>
          <w:cantSplit/>
          <w:trHeight w:val="275"/>
        </w:trPr>
        <w:tc>
          <w:tcPr>
            <w:tcW w:w="1034" w:type="dxa"/>
            <w:vMerge/>
            <w:shd w:val="clear" w:color="auto" w:fill="FFFFFF"/>
            <w:tcMar>
              <w:top w:w="0" w:type="dxa"/>
              <w:left w:w="0" w:type="dxa"/>
              <w:bottom w:w="0" w:type="dxa"/>
              <w:right w:w="0" w:type="dxa"/>
            </w:tcMar>
            <w:vAlign w:val="center"/>
          </w:tcPr>
          <w:p w:rsidR="00BE5391" w:rsidRPr="0005249E" w:rsidRDefault="00BE5391" w:rsidP="002638E0">
            <w:pPr>
              <w:jc w:val="center"/>
            </w:pPr>
          </w:p>
        </w:tc>
        <w:tc>
          <w:tcPr>
            <w:tcW w:w="1170" w:type="dxa"/>
            <w:vMerge/>
            <w:shd w:val="clear" w:color="auto" w:fill="FFFFFF"/>
            <w:tcMar>
              <w:top w:w="0" w:type="dxa"/>
              <w:left w:w="0" w:type="dxa"/>
              <w:bottom w:w="0" w:type="dxa"/>
              <w:right w:w="0" w:type="dxa"/>
            </w:tcMar>
          </w:tcPr>
          <w:p w:rsidR="00BE5391" w:rsidRPr="0005249E" w:rsidRDefault="00BE5391" w:rsidP="002638E0"/>
        </w:tc>
        <w:tc>
          <w:tcPr>
            <w:tcW w:w="1336"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 </w:t>
            </w:r>
          </w:p>
        </w:tc>
        <w:tc>
          <w:tcPr>
            <w:tcW w:w="1002"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0.01</w:t>
            </w:r>
          </w:p>
        </w:tc>
        <w:tc>
          <w:tcPr>
            <w:tcW w:w="887"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 </w:t>
            </w:r>
          </w:p>
        </w:tc>
        <w:tc>
          <w:tcPr>
            <w:tcW w:w="950"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-0.15</w:t>
            </w:r>
          </w:p>
        </w:tc>
        <w:tc>
          <w:tcPr>
            <w:tcW w:w="960"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 </w:t>
            </w:r>
          </w:p>
        </w:tc>
        <w:tc>
          <w:tcPr>
            <w:tcW w:w="934"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-0.53</w:t>
            </w:r>
          </w:p>
        </w:tc>
      </w:tr>
      <w:tr w:rsidR="00BE5391" w:rsidRPr="0005249E" w:rsidTr="002638E0">
        <w:trPr>
          <w:cantSplit/>
          <w:trHeight w:val="865"/>
        </w:trPr>
        <w:tc>
          <w:tcPr>
            <w:tcW w:w="1034" w:type="dxa"/>
            <w:vMerge/>
            <w:shd w:val="clear" w:color="auto" w:fill="FFFFFF"/>
            <w:tcMar>
              <w:top w:w="0" w:type="dxa"/>
              <w:left w:w="0" w:type="dxa"/>
              <w:bottom w:w="0" w:type="dxa"/>
              <w:right w:w="0" w:type="dxa"/>
            </w:tcMar>
            <w:vAlign w:val="center"/>
          </w:tcPr>
          <w:p w:rsidR="00BE5391" w:rsidRPr="0005249E" w:rsidRDefault="00BE5391" w:rsidP="002638E0">
            <w:pPr>
              <w:jc w:val="center"/>
            </w:pPr>
          </w:p>
        </w:tc>
        <w:tc>
          <w:tcPr>
            <w:tcW w:w="1170" w:type="dxa"/>
            <w:vMerge w:val="restart"/>
            <w:shd w:val="clear" w:color="auto" w:fill="FFFFFF"/>
            <w:tcMar>
              <w:top w:w="0" w:type="dxa"/>
              <w:left w:w="0" w:type="dxa"/>
              <w:bottom w:w="0" w:type="dxa"/>
              <w:right w:w="0" w:type="dxa"/>
            </w:tcMar>
          </w:tcPr>
          <w:p w:rsidR="00BE5391" w:rsidRPr="0005249E" w:rsidRDefault="00BE5391" w:rsidP="002638E0">
            <w:r w:rsidRPr="0005249E">
              <w:t>Openness (Imports + Exports % of GDP, logged)</w:t>
            </w:r>
          </w:p>
        </w:tc>
        <w:tc>
          <w:tcPr>
            <w:tcW w:w="1336"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w:t>
            </w:r>
          </w:p>
        </w:tc>
        <w:tc>
          <w:tcPr>
            <w:tcW w:w="1002"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1.56</w:t>
            </w:r>
          </w:p>
        </w:tc>
        <w:tc>
          <w:tcPr>
            <w:tcW w:w="887"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w:t>
            </w:r>
          </w:p>
        </w:tc>
        <w:tc>
          <w:tcPr>
            <w:tcW w:w="950"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1.37</w:t>
            </w:r>
          </w:p>
        </w:tc>
        <w:tc>
          <w:tcPr>
            <w:tcW w:w="960"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w:t>
            </w:r>
          </w:p>
        </w:tc>
        <w:tc>
          <w:tcPr>
            <w:tcW w:w="934"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1.34</w:t>
            </w:r>
          </w:p>
        </w:tc>
      </w:tr>
      <w:tr w:rsidR="00BE5391" w:rsidRPr="0005249E" w:rsidTr="002638E0">
        <w:trPr>
          <w:cantSplit/>
          <w:trHeight w:val="275"/>
        </w:trPr>
        <w:tc>
          <w:tcPr>
            <w:tcW w:w="1034" w:type="dxa"/>
            <w:vMerge/>
            <w:shd w:val="clear" w:color="auto" w:fill="FFFFFF"/>
            <w:tcMar>
              <w:top w:w="0" w:type="dxa"/>
              <w:left w:w="0" w:type="dxa"/>
              <w:bottom w:w="0" w:type="dxa"/>
              <w:right w:w="0" w:type="dxa"/>
            </w:tcMar>
            <w:vAlign w:val="center"/>
          </w:tcPr>
          <w:p w:rsidR="00BE5391" w:rsidRPr="0005249E" w:rsidRDefault="00BE5391" w:rsidP="002638E0">
            <w:pPr>
              <w:jc w:val="center"/>
            </w:pPr>
          </w:p>
        </w:tc>
        <w:tc>
          <w:tcPr>
            <w:tcW w:w="1170" w:type="dxa"/>
            <w:vMerge/>
            <w:shd w:val="clear" w:color="auto" w:fill="FFFFFF"/>
            <w:tcMar>
              <w:top w:w="0" w:type="dxa"/>
              <w:left w:w="0" w:type="dxa"/>
              <w:bottom w:w="0" w:type="dxa"/>
              <w:right w:w="0" w:type="dxa"/>
            </w:tcMar>
          </w:tcPr>
          <w:p w:rsidR="00BE5391" w:rsidRPr="0005249E" w:rsidRDefault="00BE5391" w:rsidP="002638E0"/>
        </w:tc>
        <w:tc>
          <w:tcPr>
            <w:tcW w:w="1336"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 </w:t>
            </w:r>
          </w:p>
        </w:tc>
        <w:tc>
          <w:tcPr>
            <w:tcW w:w="1002"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1.07</w:t>
            </w:r>
          </w:p>
        </w:tc>
        <w:tc>
          <w:tcPr>
            <w:tcW w:w="887"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 </w:t>
            </w:r>
          </w:p>
        </w:tc>
        <w:tc>
          <w:tcPr>
            <w:tcW w:w="950"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0.88</w:t>
            </w:r>
          </w:p>
        </w:tc>
        <w:tc>
          <w:tcPr>
            <w:tcW w:w="960"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 </w:t>
            </w:r>
          </w:p>
        </w:tc>
        <w:tc>
          <w:tcPr>
            <w:tcW w:w="934"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0.90</w:t>
            </w:r>
          </w:p>
        </w:tc>
      </w:tr>
      <w:tr w:rsidR="00BE5391" w:rsidRPr="0005249E" w:rsidTr="002638E0">
        <w:trPr>
          <w:cantSplit/>
          <w:trHeight w:val="280"/>
        </w:trPr>
        <w:tc>
          <w:tcPr>
            <w:tcW w:w="1034" w:type="dxa"/>
            <w:vMerge/>
            <w:shd w:val="clear" w:color="auto" w:fill="FFFFFF"/>
            <w:tcMar>
              <w:top w:w="0" w:type="dxa"/>
              <w:left w:w="0" w:type="dxa"/>
              <w:bottom w:w="0" w:type="dxa"/>
              <w:right w:w="0" w:type="dxa"/>
            </w:tcMar>
            <w:vAlign w:val="center"/>
          </w:tcPr>
          <w:p w:rsidR="00BE5391" w:rsidRPr="0005249E" w:rsidRDefault="00BE5391" w:rsidP="002638E0">
            <w:pPr>
              <w:jc w:val="center"/>
            </w:pPr>
          </w:p>
        </w:tc>
        <w:tc>
          <w:tcPr>
            <w:tcW w:w="1170" w:type="dxa"/>
            <w:vMerge w:val="restart"/>
            <w:shd w:val="clear" w:color="auto" w:fill="FFFFFF"/>
            <w:tcMar>
              <w:top w:w="0" w:type="dxa"/>
              <w:left w:w="0" w:type="dxa"/>
              <w:bottom w:w="0" w:type="dxa"/>
              <w:right w:w="0" w:type="dxa"/>
            </w:tcMar>
          </w:tcPr>
          <w:p w:rsidR="00BE5391" w:rsidRPr="0005249E" w:rsidRDefault="00BE5391" w:rsidP="002638E0">
            <w:r w:rsidRPr="0005249E">
              <w:t>Sectoral Diversity</w:t>
            </w:r>
          </w:p>
        </w:tc>
        <w:tc>
          <w:tcPr>
            <w:tcW w:w="1336"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w:t>
            </w:r>
          </w:p>
        </w:tc>
        <w:tc>
          <w:tcPr>
            <w:tcW w:w="1002"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12.81</w:t>
            </w:r>
          </w:p>
        </w:tc>
        <w:tc>
          <w:tcPr>
            <w:tcW w:w="887"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w:t>
            </w:r>
          </w:p>
        </w:tc>
        <w:tc>
          <w:tcPr>
            <w:tcW w:w="950"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15.82</w:t>
            </w:r>
          </w:p>
        </w:tc>
        <w:tc>
          <w:tcPr>
            <w:tcW w:w="960"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w:t>
            </w:r>
          </w:p>
        </w:tc>
        <w:tc>
          <w:tcPr>
            <w:tcW w:w="934"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10.15</w:t>
            </w:r>
          </w:p>
        </w:tc>
      </w:tr>
      <w:tr w:rsidR="00BE5391" w:rsidRPr="0005249E" w:rsidTr="002638E0">
        <w:trPr>
          <w:cantSplit/>
          <w:trHeight w:val="275"/>
        </w:trPr>
        <w:tc>
          <w:tcPr>
            <w:tcW w:w="1034" w:type="dxa"/>
            <w:vMerge/>
            <w:shd w:val="clear" w:color="auto" w:fill="FFFFFF"/>
            <w:tcMar>
              <w:top w:w="0" w:type="dxa"/>
              <w:left w:w="0" w:type="dxa"/>
              <w:bottom w:w="0" w:type="dxa"/>
              <w:right w:w="0" w:type="dxa"/>
            </w:tcMar>
            <w:vAlign w:val="center"/>
          </w:tcPr>
          <w:p w:rsidR="00BE5391" w:rsidRPr="0005249E" w:rsidRDefault="00BE5391" w:rsidP="002638E0">
            <w:pPr>
              <w:jc w:val="center"/>
            </w:pPr>
          </w:p>
        </w:tc>
        <w:tc>
          <w:tcPr>
            <w:tcW w:w="1170" w:type="dxa"/>
            <w:vMerge/>
            <w:shd w:val="clear" w:color="auto" w:fill="FFFFFF"/>
            <w:tcMar>
              <w:top w:w="0" w:type="dxa"/>
              <w:left w:w="0" w:type="dxa"/>
              <w:bottom w:w="0" w:type="dxa"/>
              <w:right w:w="0" w:type="dxa"/>
            </w:tcMar>
          </w:tcPr>
          <w:p w:rsidR="00BE5391" w:rsidRPr="0005249E" w:rsidRDefault="00BE5391" w:rsidP="002638E0"/>
        </w:tc>
        <w:tc>
          <w:tcPr>
            <w:tcW w:w="1336"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 </w:t>
            </w:r>
          </w:p>
        </w:tc>
        <w:tc>
          <w:tcPr>
            <w:tcW w:w="1002"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1.24</w:t>
            </w:r>
          </w:p>
        </w:tc>
        <w:tc>
          <w:tcPr>
            <w:tcW w:w="887"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 </w:t>
            </w:r>
          </w:p>
        </w:tc>
        <w:tc>
          <w:tcPr>
            <w:tcW w:w="950"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1.44</w:t>
            </w:r>
          </w:p>
        </w:tc>
        <w:tc>
          <w:tcPr>
            <w:tcW w:w="960"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 </w:t>
            </w:r>
          </w:p>
        </w:tc>
        <w:tc>
          <w:tcPr>
            <w:tcW w:w="934"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0.96</w:t>
            </w:r>
          </w:p>
        </w:tc>
      </w:tr>
      <w:tr w:rsidR="00BE5391" w:rsidRPr="0005249E" w:rsidTr="002638E0">
        <w:trPr>
          <w:cantSplit/>
          <w:trHeight w:val="295"/>
        </w:trPr>
        <w:tc>
          <w:tcPr>
            <w:tcW w:w="1034" w:type="dxa"/>
            <w:vMerge/>
            <w:shd w:val="clear" w:color="auto" w:fill="FFFFFF"/>
            <w:tcMar>
              <w:top w:w="0" w:type="dxa"/>
              <w:left w:w="0" w:type="dxa"/>
              <w:bottom w:w="0" w:type="dxa"/>
              <w:right w:w="0" w:type="dxa"/>
            </w:tcMar>
            <w:vAlign w:val="center"/>
          </w:tcPr>
          <w:p w:rsidR="00BE5391" w:rsidRPr="0005249E" w:rsidRDefault="00BE5391" w:rsidP="002638E0">
            <w:pPr>
              <w:jc w:val="center"/>
            </w:pPr>
          </w:p>
        </w:tc>
        <w:tc>
          <w:tcPr>
            <w:tcW w:w="1170" w:type="dxa"/>
            <w:shd w:val="clear" w:color="auto" w:fill="FFFFFF"/>
            <w:tcMar>
              <w:top w:w="0" w:type="dxa"/>
              <w:left w:w="0" w:type="dxa"/>
              <w:bottom w:w="0" w:type="dxa"/>
              <w:right w:w="0" w:type="dxa"/>
            </w:tcMar>
            <w:vAlign w:val="center"/>
          </w:tcPr>
          <w:p w:rsidR="00BE5391" w:rsidRPr="0005249E" w:rsidRDefault="00BE5391" w:rsidP="002638E0">
            <w:r w:rsidRPr="0005249E">
              <w:t>Civil War</w:t>
            </w:r>
          </w:p>
        </w:tc>
        <w:tc>
          <w:tcPr>
            <w:tcW w:w="1336"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w:t>
            </w:r>
          </w:p>
        </w:tc>
        <w:tc>
          <w:tcPr>
            <w:tcW w:w="1002"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3.05</w:t>
            </w:r>
          </w:p>
        </w:tc>
        <w:tc>
          <w:tcPr>
            <w:tcW w:w="887"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w:t>
            </w:r>
          </w:p>
        </w:tc>
        <w:tc>
          <w:tcPr>
            <w:tcW w:w="950"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3.81</w:t>
            </w:r>
          </w:p>
        </w:tc>
        <w:tc>
          <w:tcPr>
            <w:tcW w:w="960"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w:t>
            </w:r>
          </w:p>
        </w:tc>
        <w:tc>
          <w:tcPr>
            <w:tcW w:w="934"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3.65</w:t>
            </w:r>
          </w:p>
        </w:tc>
      </w:tr>
      <w:tr w:rsidR="00BE5391" w:rsidRPr="0005249E" w:rsidTr="002638E0">
        <w:trPr>
          <w:cantSplit/>
          <w:trHeight w:val="275"/>
        </w:trPr>
        <w:tc>
          <w:tcPr>
            <w:tcW w:w="1034" w:type="dxa"/>
            <w:vMerge/>
            <w:shd w:val="clear" w:color="auto" w:fill="FFFFFF"/>
            <w:tcMar>
              <w:top w:w="0" w:type="dxa"/>
              <w:left w:w="0" w:type="dxa"/>
              <w:bottom w:w="0" w:type="dxa"/>
              <w:right w:w="0" w:type="dxa"/>
            </w:tcMar>
            <w:vAlign w:val="center"/>
          </w:tcPr>
          <w:p w:rsidR="00BE5391" w:rsidRPr="0005249E" w:rsidRDefault="00BE5391" w:rsidP="002638E0">
            <w:pPr>
              <w:jc w:val="center"/>
            </w:pPr>
          </w:p>
        </w:tc>
        <w:tc>
          <w:tcPr>
            <w:tcW w:w="1170" w:type="dxa"/>
            <w:shd w:val="clear" w:color="auto" w:fill="FFFFFF"/>
            <w:tcMar>
              <w:top w:w="0" w:type="dxa"/>
              <w:left w:w="0" w:type="dxa"/>
              <w:bottom w:w="0" w:type="dxa"/>
              <w:right w:w="0" w:type="dxa"/>
            </w:tcMar>
            <w:vAlign w:val="center"/>
          </w:tcPr>
          <w:p w:rsidR="00BE5391" w:rsidRPr="0005249E" w:rsidRDefault="00BE5391" w:rsidP="002638E0"/>
        </w:tc>
        <w:tc>
          <w:tcPr>
            <w:tcW w:w="1336" w:type="dxa"/>
            <w:shd w:val="clear" w:color="auto" w:fill="FFFFFF"/>
            <w:tcMar>
              <w:top w:w="0" w:type="dxa"/>
              <w:left w:w="0" w:type="dxa"/>
              <w:bottom w:w="0" w:type="dxa"/>
              <w:right w:w="0" w:type="dxa"/>
            </w:tcMar>
            <w:vAlign w:val="bottom"/>
          </w:tcPr>
          <w:p w:rsidR="00BE5391" w:rsidRPr="0005249E" w:rsidRDefault="00BE5391" w:rsidP="002638E0">
            <w:pPr>
              <w:jc w:val="center"/>
            </w:pPr>
          </w:p>
        </w:tc>
        <w:tc>
          <w:tcPr>
            <w:tcW w:w="1002"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0.96</w:t>
            </w:r>
          </w:p>
        </w:tc>
        <w:tc>
          <w:tcPr>
            <w:tcW w:w="887" w:type="dxa"/>
            <w:shd w:val="clear" w:color="auto" w:fill="FFFFFF"/>
            <w:tcMar>
              <w:top w:w="0" w:type="dxa"/>
              <w:left w:w="0" w:type="dxa"/>
              <w:bottom w:w="0" w:type="dxa"/>
              <w:right w:w="0" w:type="dxa"/>
            </w:tcMar>
            <w:vAlign w:val="bottom"/>
          </w:tcPr>
          <w:p w:rsidR="00BE5391" w:rsidRPr="0005249E" w:rsidRDefault="00BE5391" w:rsidP="002638E0">
            <w:pPr>
              <w:jc w:val="center"/>
            </w:pPr>
          </w:p>
        </w:tc>
        <w:tc>
          <w:tcPr>
            <w:tcW w:w="950"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1.14</w:t>
            </w:r>
          </w:p>
        </w:tc>
        <w:tc>
          <w:tcPr>
            <w:tcW w:w="960" w:type="dxa"/>
            <w:shd w:val="clear" w:color="auto" w:fill="FFFFFF"/>
            <w:tcMar>
              <w:top w:w="0" w:type="dxa"/>
              <w:left w:w="0" w:type="dxa"/>
              <w:bottom w:w="0" w:type="dxa"/>
              <w:right w:w="0" w:type="dxa"/>
            </w:tcMar>
            <w:vAlign w:val="bottom"/>
          </w:tcPr>
          <w:p w:rsidR="00BE5391" w:rsidRPr="0005249E" w:rsidRDefault="00BE5391" w:rsidP="002638E0">
            <w:pPr>
              <w:jc w:val="center"/>
            </w:pPr>
          </w:p>
        </w:tc>
        <w:tc>
          <w:tcPr>
            <w:tcW w:w="934"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1.13</w:t>
            </w:r>
          </w:p>
        </w:tc>
      </w:tr>
      <w:tr w:rsidR="00BE5391" w:rsidRPr="0005249E" w:rsidTr="002638E0">
        <w:trPr>
          <w:cantSplit/>
          <w:trHeight w:val="590"/>
        </w:trPr>
        <w:tc>
          <w:tcPr>
            <w:tcW w:w="1034" w:type="dxa"/>
            <w:vMerge/>
            <w:shd w:val="clear" w:color="auto" w:fill="FFFFFF"/>
            <w:tcMar>
              <w:top w:w="0" w:type="dxa"/>
              <w:left w:w="0" w:type="dxa"/>
              <w:bottom w:w="0" w:type="dxa"/>
              <w:right w:w="0" w:type="dxa"/>
            </w:tcMar>
            <w:vAlign w:val="center"/>
          </w:tcPr>
          <w:p w:rsidR="00BE5391" w:rsidRPr="0005249E" w:rsidRDefault="00BE5391" w:rsidP="002638E0">
            <w:pPr>
              <w:jc w:val="center"/>
            </w:pPr>
          </w:p>
        </w:tc>
        <w:tc>
          <w:tcPr>
            <w:tcW w:w="1170" w:type="dxa"/>
            <w:shd w:val="clear" w:color="auto" w:fill="FFFFFF"/>
            <w:tcMar>
              <w:top w:w="0" w:type="dxa"/>
              <w:left w:w="0" w:type="dxa"/>
              <w:bottom w:w="0" w:type="dxa"/>
              <w:right w:w="0" w:type="dxa"/>
            </w:tcMar>
            <w:vAlign w:val="center"/>
          </w:tcPr>
          <w:p w:rsidR="00BE5391" w:rsidRPr="0005249E" w:rsidRDefault="00BE5391" w:rsidP="002638E0">
            <w:r w:rsidRPr="0005249E">
              <w:t>Fuel Exports (% GDP, logged)</w:t>
            </w:r>
          </w:p>
        </w:tc>
        <w:tc>
          <w:tcPr>
            <w:tcW w:w="1336"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w:t>
            </w:r>
          </w:p>
        </w:tc>
        <w:tc>
          <w:tcPr>
            <w:tcW w:w="1002"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-0.05</w:t>
            </w:r>
          </w:p>
        </w:tc>
        <w:tc>
          <w:tcPr>
            <w:tcW w:w="887"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w:t>
            </w:r>
          </w:p>
        </w:tc>
        <w:tc>
          <w:tcPr>
            <w:tcW w:w="950"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0.06</w:t>
            </w:r>
          </w:p>
        </w:tc>
        <w:tc>
          <w:tcPr>
            <w:tcW w:w="960"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w:t>
            </w:r>
          </w:p>
        </w:tc>
        <w:tc>
          <w:tcPr>
            <w:tcW w:w="934"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-0.10</w:t>
            </w:r>
          </w:p>
        </w:tc>
      </w:tr>
      <w:tr w:rsidR="00BE5391" w:rsidRPr="0005249E" w:rsidTr="002638E0">
        <w:trPr>
          <w:cantSplit/>
          <w:trHeight w:val="275"/>
        </w:trPr>
        <w:tc>
          <w:tcPr>
            <w:tcW w:w="1034" w:type="dxa"/>
            <w:vMerge/>
            <w:shd w:val="clear" w:color="auto" w:fill="FFFFFF"/>
            <w:tcMar>
              <w:top w:w="0" w:type="dxa"/>
              <w:left w:w="0" w:type="dxa"/>
              <w:bottom w:w="0" w:type="dxa"/>
              <w:right w:w="0" w:type="dxa"/>
            </w:tcMar>
            <w:vAlign w:val="center"/>
          </w:tcPr>
          <w:p w:rsidR="00BE5391" w:rsidRPr="0005249E" w:rsidRDefault="00BE5391" w:rsidP="002638E0">
            <w:pPr>
              <w:jc w:val="center"/>
            </w:pPr>
          </w:p>
        </w:tc>
        <w:tc>
          <w:tcPr>
            <w:tcW w:w="1170" w:type="dxa"/>
            <w:shd w:val="clear" w:color="auto" w:fill="FFFFFF"/>
            <w:tcMar>
              <w:top w:w="0" w:type="dxa"/>
              <w:left w:w="0" w:type="dxa"/>
              <w:bottom w:w="0" w:type="dxa"/>
              <w:right w:w="0" w:type="dxa"/>
            </w:tcMar>
            <w:vAlign w:val="center"/>
          </w:tcPr>
          <w:p w:rsidR="00BE5391" w:rsidRPr="0005249E" w:rsidRDefault="00BE5391" w:rsidP="002638E0"/>
        </w:tc>
        <w:tc>
          <w:tcPr>
            <w:tcW w:w="1336" w:type="dxa"/>
            <w:shd w:val="clear" w:color="auto" w:fill="FFFFFF"/>
            <w:tcMar>
              <w:top w:w="0" w:type="dxa"/>
              <w:left w:w="0" w:type="dxa"/>
              <w:bottom w:w="0" w:type="dxa"/>
              <w:right w:w="0" w:type="dxa"/>
            </w:tcMar>
            <w:vAlign w:val="bottom"/>
          </w:tcPr>
          <w:p w:rsidR="00BE5391" w:rsidRPr="0005249E" w:rsidRDefault="00BE5391" w:rsidP="002638E0">
            <w:pPr>
              <w:jc w:val="center"/>
            </w:pPr>
          </w:p>
        </w:tc>
        <w:tc>
          <w:tcPr>
            <w:tcW w:w="1002"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-0.21</w:t>
            </w:r>
          </w:p>
        </w:tc>
        <w:tc>
          <w:tcPr>
            <w:tcW w:w="887" w:type="dxa"/>
            <w:shd w:val="clear" w:color="auto" w:fill="FFFFFF"/>
            <w:tcMar>
              <w:top w:w="0" w:type="dxa"/>
              <w:left w:w="0" w:type="dxa"/>
              <w:bottom w:w="0" w:type="dxa"/>
              <w:right w:w="0" w:type="dxa"/>
            </w:tcMar>
            <w:vAlign w:val="bottom"/>
          </w:tcPr>
          <w:p w:rsidR="00BE5391" w:rsidRPr="0005249E" w:rsidRDefault="00BE5391" w:rsidP="002638E0">
            <w:pPr>
              <w:jc w:val="center"/>
            </w:pPr>
          </w:p>
        </w:tc>
        <w:tc>
          <w:tcPr>
            <w:tcW w:w="950"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0.24</w:t>
            </w:r>
          </w:p>
        </w:tc>
        <w:tc>
          <w:tcPr>
            <w:tcW w:w="960" w:type="dxa"/>
            <w:shd w:val="clear" w:color="auto" w:fill="FFFFFF"/>
            <w:tcMar>
              <w:top w:w="0" w:type="dxa"/>
              <w:left w:w="0" w:type="dxa"/>
              <w:bottom w:w="0" w:type="dxa"/>
              <w:right w:w="0" w:type="dxa"/>
            </w:tcMar>
            <w:vAlign w:val="bottom"/>
          </w:tcPr>
          <w:p w:rsidR="00BE5391" w:rsidRPr="0005249E" w:rsidRDefault="00BE5391" w:rsidP="002638E0">
            <w:pPr>
              <w:jc w:val="center"/>
            </w:pPr>
          </w:p>
        </w:tc>
        <w:tc>
          <w:tcPr>
            <w:tcW w:w="934"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-0.40</w:t>
            </w:r>
          </w:p>
        </w:tc>
      </w:tr>
      <w:tr w:rsidR="00BE5391" w:rsidRPr="0005249E" w:rsidTr="002638E0">
        <w:trPr>
          <w:cantSplit/>
          <w:trHeight w:val="800"/>
        </w:trPr>
        <w:tc>
          <w:tcPr>
            <w:tcW w:w="1034" w:type="dxa"/>
            <w:vMerge w:val="restart"/>
            <w:shd w:val="clear" w:color="auto" w:fill="FFFFFF"/>
            <w:tcMar>
              <w:top w:w="0" w:type="dxa"/>
              <w:left w:w="0" w:type="dxa"/>
              <w:bottom w:w="0" w:type="dxa"/>
              <w:right w:w="0" w:type="dxa"/>
            </w:tcMar>
            <w:vAlign w:val="bottom"/>
          </w:tcPr>
          <w:p w:rsidR="00BE5391" w:rsidRPr="0005249E" w:rsidRDefault="00BE5391" w:rsidP="002638E0">
            <w:pPr>
              <w:jc w:val="center"/>
            </w:pPr>
            <w:r w:rsidRPr="0005249E">
              <w:t> </w:t>
            </w:r>
          </w:p>
        </w:tc>
        <w:tc>
          <w:tcPr>
            <w:tcW w:w="1170" w:type="dxa"/>
            <w:shd w:val="clear" w:color="auto" w:fill="FFFFFF"/>
            <w:tcMar>
              <w:top w:w="0" w:type="dxa"/>
              <w:left w:w="0" w:type="dxa"/>
              <w:bottom w:w="0" w:type="dxa"/>
              <w:right w:w="0" w:type="dxa"/>
            </w:tcMar>
          </w:tcPr>
          <w:p w:rsidR="00BE5391" w:rsidRPr="0005249E" w:rsidRDefault="00BE5391" w:rsidP="002638E0">
            <w:r w:rsidRPr="0005249E">
              <w:t>Number of observations</w:t>
            </w:r>
          </w:p>
        </w:tc>
        <w:tc>
          <w:tcPr>
            <w:tcW w:w="1336"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110</w:t>
            </w:r>
          </w:p>
        </w:tc>
        <w:tc>
          <w:tcPr>
            <w:tcW w:w="1002" w:type="dxa"/>
            <w:shd w:val="clear" w:color="auto" w:fill="FFFFFF"/>
            <w:tcMar>
              <w:top w:w="0" w:type="dxa"/>
              <w:left w:w="0" w:type="dxa"/>
              <w:bottom w:w="0" w:type="dxa"/>
              <w:right w:w="0" w:type="dxa"/>
            </w:tcMar>
          </w:tcPr>
          <w:p w:rsidR="00BE5391" w:rsidRPr="0005249E" w:rsidRDefault="00BE5391" w:rsidP="002638E0">
            <w:pPr>
              <w:jc w:val="center"/>
            </w:pPr>
          </w:p>
          <w:p w:rsidR="00BE5391" w:rsidRPr="0005249E" w:rsidRDefault="00BE5391" w:rsidP="002638E0">
            <w:pPr>
              <w:jc w:val="center"/>
            </w:pPr>
          </w:p>
          <w:p w:rsidR="00BE5391" w:rsidRPr="0005249E" w:rsidRDefault="00BE5391" w:rsidP="002638E0">
            <w:pPr>
              <w:jc w:val="center"/>
            </w:pPr>
          </w:p>
          <w:p w:rsidR="00BE5391" w:rsidRPr="0005249E" w:rsidRDefault="00BE5391" w:rsidP="002638E0">
            <w:pPr>
              <w:jc w:val="center"/>
            </w:pPr>
            <w:r w:rsidRPr="0005249E">
              <w:t>58</w:t>
            </w:r>
          </w:p>
        </w:tc>
        <w:tc>
          <w:tcPr>
            <w:tcW w:w="887"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110</w:t>
            </w:r>
          </w:p>
        </w:tc>
        <w:tc>
          <w:tcPr>
            <w:tcW w:w="950" w:type="dxa"/>
            <w:shd w:val="clear" w:color="auto" w:fill="FFFFFF"/>
            <w:tcMar>
              <w:top w:w="0" w:type="dxa"/>
              <w:left w:w="0" w:type="dxa"/>
              <w:bottom w:w="0" w:type="dxa"/>
              <w:right w:w="0" w:type="dxa"/>
            </w:tcMar>
          </w:tcPr>
          <w:p w:rsidR="00BE5391" w:rsidRPr="0005249E" w:rsidRDefault="00BE5391" w:rsidP="002638E0">
            <w:pPr>
              <w:jc w:val="center"/>
            </w:pPr>
          </w:p>
          <w:p w:rsidR="00BE5391" w:rsidRPr="0005249E" w:rsidRDefault="00BE5391" w:rsidP="002638E0">
            <w:pPr>
              <w:jc w:val="center"/>
            </w:pPr>
          </w:p>
          <w:p w:rsidR="00BE5391" w:rsidRPr="0005249E" w:rsidRDefault="00BE5391" w:rsidP="002638E0">
            <w:pPr>
              <w:jc w:val="center"/>
            </w:pPr>
          </w:p>
          <w:p w:rsidR="00BE5391" w:rsidRPr="0005249E" w:rsidRDefault="00BE5391" w:rsidP="002638E0">
            <w:pPr>
              <w:jc w:val="center"/>
            </w:pPr>
            <w:r w:rsidRPr="0005249E">
              <w:t>58</w:t>
            </w:r>
          </w:p>
        </w:tc>
        <w:tc>
          <w:tcPr>
            <w:tcW w:w="960" w:type="dxa"/>
            <w:shd w:val="clear" w:color="auto" w:fill="FFFFFF"/>
            <w:tcMar>
              <w:top w:w="0" w:type="dxa"/>
              <w:left w:w="0" w:type="dxa"/>
              <w:bottom w:w="0" w:type="dxa"/>
              <w:right w:w="0" w:type="dxa"/>
            </w:tcMar>
            <w:vAlign w:val="bottom"/>
          </w:tcPr>
          <w:p w:rsidR="00BE5391" w:rsidRPr="0005249E" w:rsidRDefault="00BE5391" w:rsidP="002638E0">
            <w:pPr>
              <w:jc w:val="center"/>
            </w:pPr>
            <w:r w:rsidRPr="0005249E">
              <w:t>110</w:t>
            </w:r>
          </w:p>
        </w:tc>
        <w:tc>
          <w:tcPr>
            <w:tcW w:w="934" w:type="dxa"/>
            <w:shd w:val="clear" w:color="auto" w:fill="FFFFFF"/>
            <w:tcMar>
              <w:top w:w="0" w:type="dxa"/>
              <w:left w:w="0" w:type="dxa"/>
              <w:bottom w:w="0" w:type="dxa"/>
              <w:right w:w="0" w:type="dxa"/>
            </w:tcMar>
          </w:tcPr>
          <w:p w:rsidR="00BE5391" w:rsidRPr="0005249E" w:rsidRDefault="00BE5391" w:rsidP="002638E0">
            <w:pPr>
              <w:jc w:val="center"/>
            </w:pPr>
          </w:p>
          <w:p w:rsidR="00BE5391" w:rsidRPr="0005249E" w:rsidRDefault="00BE5391" w:rsidP="002638E0">
            <w:pPr>
              <w:jc w:val="center"/>
            </w:pPr>
          </w:p>
          <w:p w:rsidR="00BE5391" w:rsidRPr="0005249E" w:rsidRDefault="00BE5391" w:rsidP="002638E0">
            <w:pPr>
              <w:jc w:val="center"/>
            </w:pPr>
          </w:p>
          <w:p w:rsidR="00BE5391" w:rsidRPr="0005249E" w:rsidRDefault="00BE5391" w:rsidP="002638E0">
            <w:pPr>
              <w:jc w:val="center"/>
            </w:pPr>
            <w:r w:rsidRPr="0005249E">
              <w:t>58</w:t>
            </w:r>
          </w:p>
        </w:tc>
      </w:tr>
      <w:tr w:rsidR="00BE5391" w:rsidRPr="0005249E" w:rsidTr="002638E0">
        <w:trPr>
          <w:cantSplit/>
          <w:trHeight w:val="810"/>
        </w:trPr>
        <w:tc>
          <w:tcPr>
            <w:tcW w:w="1034" w:type="dxa"/>
            <w:vMerge/>
            <w:shd w:val="clear" w:color="auto" w:fill="FFFFFF"/>
            <w:tcMar>
              <w:top w:w="0" w:type="dxa"/>
              <w:left w:w="0" w:type="dxa"/>
              <w:bottom w:w="0" w:type="dxa"/>
              <w:right w:w="0" w:type="dxa"/>
            </w:tcMar>
            <w:vAlign w:val="center"/>
          </w:tcPr>
          <w:p w:rsidR="00BE5391" w:rsidRPr="0005249E" w:rsidRDefault="00BE5391" w:rsidP="002638E0">
            <w:pPr>
              <w:jc w:val="center"/>
            </w:pPr>
          </w:p>
        </w:tc>
        <w:tc>
          <w:tcPr>
            <w:tcW w:w="1170" w:type="dxa"/>
            <w:tcBorders>
              <w:bottom w:val="single" w:sz="4" w:space="0" w:color="auto"/>
            </w:tcBorders>
            <w:shd w:val="clear" w:color="auto" w:fill="FFFFFF"/>
            <w:tcMar>
              <w:top w:w="0" w:type="dxa"/>
              <w:left w:w="0" w:type="dxa"/>
              <w:bottom w:w="0" w:type="dxa"/>
              <w:right w:w="0" w:type="dxa"/>
            </w:tcMar>
          </w:tcPr>
          <w:p w:rsidR="00BE5391" w:rsidRPr="0005249E" w:rsidRDefault="00BE5391" w:rsidP="002638E0">
            <w:r w:rsidRPr="0005249E">
              <w:t>Akaike's Information Criterion</w:t>
            </w:r>
          </w:p>
        </w:tc>
        <w:tc>
          <w:tcPr>
            <w:tcW w:w="1336" w:type="dxa"/>
            <w:tcBorders>
              <w:bottom w:val="single" w:sz="4" w:space="0" w:color="auto"/>
            </w:tcBorders>
            <w:shd w:val="clear" w:color="auto" w:fill="FFFFFF"/>
            <w:tcMar>
              <w:top w:w="0" w:type="dxa"/>
              <w:left w:w="0" w:type="dxa"/>
              <w:bottom w:w="0" w:type="dxa"/>
              <w:right w:w="0" w:type="dxa"/>
            </w:tcMar>
            <w:vAlign w:val="bottom"/>
          </w:tcPr>
          <w:p w:rsidR="00BE5391" w:rsidRPr="0005249E" w:rsidRDefault="00BE5391" w:rsidP="002638E0">
            <w:pPr>
              <w:jc w:val="center"/>
            </w:pPr>
            <w:r w:rsidRPr="0005249E">
              <w:t>576</w:t>
            </w:r>
          </w:p>
        </w:tc>
        <w:tc>
          <w:tcPr>
            <w:tcW w:w="1002" w:type="dxa"/>
            <w:tcBorders>
              <w:bottom w:val="single" w:sz="4" w:space="0" w:color="auto"/>
            </w:tcBorders>
            <w:shd w:val="clear" w:color="auto" w:fill="FFFFFF"/>
            <w:tcMar>
              <w:top w:w="0" w:type="dxa"/>
              <w:left w:w="0" w:type="dxa"/>
              <w:bottom w:w="0" w:type="dxa"/>
              <w:right w:w="0" w:type="dxa"/>
            </w:tcMar>
          </w:tcPr>
          <w:p w:rsidR="00BE5391" w:rsidRPr="0005249E" w:rsidRDefault="00BE5391" w:rsidP="002638E0">
            <w:pPr>
              <w:jc w:val="center"/>
            </w:pPr>
          </w:p>
          <w:p w:rsidR="00BE5391" w:rsidRPr="0005249E" w:rsidRDefault="00BE5391" w:rsidP="002638E0">
            <w:pPr>
              <w:jc w:val="center"/>
            </w:pPr>
          </w:p>
          <w:p w:rsidR="00BE5391" w:rsidRPr="0005249E" w:rsidRDefault="00BE5391" w:rsidP="002638E0">
            <w:pPr>
              <w:jc w:val="center"/>
            </w:pPr>
          </w:p>
          <w:p w:rsidR="00BE5391" w:rsidRPr="0005249E" w:rsidRDefault="00BE5391" w:rsidP="002638E0">
            <w:pPr>
              <w:jc w:val="center"/>
            </w:pPr>
            <w:r w:rsidRPr="0005249E">
              <w:t>287.6</w:t>
            </w:r>
          </w:p>
        </w:tc>
        <w:tc>
          <w:tcPr>
            <w:tcW w:w="887" w:type="dxa"/>
            <w:tcBorders>
              <w:bottom w:val="single" w:sz="4" w:space="0" w:color="auto"/>
            </w:tcBorders>
            <w:shd w:val="clear" w:color="auto" w:fill="FFFFFF"/>
            <w:tcMar>
              <w:top w:w="0" w:type="dxa"/>
              <w:left w:w="0" w:type="dxa"/>
              <w:bottom w:w="0" w:type="dxa"/>
              <w:right w:w="0" w:type="dxa"/>
            </w:tcMar>
            <w:vAlign w:val="bottom"/>
          </w:tcPr>
          <w:p w:rsidR="00BE5391" w:rsidRPr="0005249E" w:rsidRDefault="00BE5391" w:rsidP="002638E0">
            <w:pPr>
              <w:jc w:val="center"/>
            </w:pPr>
            <w:r w:rsidRPr="0005249E">
              <w:t>585</w:t>
            </w:r>
          </w:p>
        </w:tc>
        <w:tc>
          <w:tcPr>
            <w:tcW w:w="950" w:type="dxa"/>
            <w:tcBorders>
              <w:bottom w:val="single" w:sz="4" w:space="0" w:color="auto"/>
            </w:tcBorders>
            <w:shd w:val="clear" w:color="auto" w:fill="FFFFFF"/>
            <w:tcMar>
              <w:top w:w="0" w:type="dxa"/>
              <w:left w:w="0" w:type="dxa"/>
              <w:bottom w:w="0" w:type="dxa"/>
              <w:right w:w="0" w:type="dxa"/>
            </w:tcMar>
          </w:tcPr>
          <w:p w:rsidR="00BE5391" w:rsidRPr="0005249E" w:rsidRDefault="00BE5391" w:rsidP="002638E0">
            <w:pPr>
              <w:jc w:val="center"/>
            </w:pPr>
          </w:p>
          <w:p w:rsidR="00BE5391" w:rsidRPr="0005249E" w:rsidRDefault="00BE5391" w:rsidP="002638E0">
            <w:pPr>
              <w:jc w:val="center"/>
            </w:pPr>
          </w:p>
          <w:p w:rsidR="00BE5391" w:rsidRPr="0005249E" w:rsidRDefault="00BE5391" w:rsidP="002638E0">
            <w:pPr>
              <w:jc w:val="center"/>
            </w:pPr>
          </w:p>
          <w:p w:rsidR="00BE5391" w:rsidRPr="0005249E" w:rsidRDefault="00BE5391" w:rsidP="002638E0">
            <w:pPr>
              <w:jc w:val="center"/>
            </w:pPr>
            <w:r w:rsidRPr="0005249E">
              <w:t>294.6</w:t>
            </w:r>
          </w:p>
        </w:tc>
        <w:tc>
          <w:tcPr>
            <w:tcW w:w="960" w:type="dxa"/>
            <w:tcBorders>
              <w:bottom w:val="single" w:sz="4" w:space="0" w:color="auto"/>
            </w:tcBorders>
            <w:shd w:val="clear" w:color="auto" w:fill="FFFFFF"/>
            <w:tcMar>
              <w:top w:w="0" w:type="dxa"/>
              <w:left w:w="0" w:type="dxa"/>
              <w:bottom w:w="0" w:type="dxa"/>
              <w:right w:w="0" w:type="dxa"/>
            </w:tcMar>
            <w:vAlign w:val="bottom"/>
          </w:tcPr>
          <w:p w:rsidR="00BE5391" w:rsidRPr="0005249E" w:rsidRDefault="00BE5391" w:rsidP="002638E0">
            <w:pPr>
              <w:jc w:val="center"/>
            </w:pPr>
            <w:r w:rsidRPr="0005249E">
              <w:t>583.0</w:t>
            </w:r>
          </w:p>
        </w:tc>
        <w:tc>
          <w:tcPr>
            <w:tcW w:w="934" w:type="dxa"/>
            <w:tcBorders>
              <w:bottom w:val="single" w:sz="4" w:space="0" w:color="auto"/>
            </w:tcBorders>
            <w:shd w:val="clear" w:color="auto" w:fill="FFFFFF"/>
            <w:tcMar>
              <w:top w:w="0" w:type="dxa"/>
              <w:left w:w="0" w:type="dxa"/>
              <w:bottom w:w="0" w:type="dxa"/>
              <w:right w:w="0" w:type="dxa"/>
            </w:tcMar>
          </w:tcPr>
          <w:p w:rsidR="00BE5391" w:rsidRPr="0005249E" w:rsidRDefault="00BE5391" w:rsidP="002638E0">
            <w:pPr>
              <w:jc w:val="center"/>
            </w:pPr>
          </w:p>
          <w:p w:rsidR="00BE5391" w:rsidRPr="0005249E" w:rsidRDefault="00BE5391" w:rsidP="002638E0">
            <w:pPr>
              <w:jc w:val="center"/>
            </w:pPr>
          </w:p>
          <w:p w:rsidR="00BE5391" w:rsidRPr="0005249E" w:rsidRDefault="00BE5391" w:rsidP="002638E0">
            <w:pPr>
              <w:jc w:val="center"/>
            </w:pPr>
          </w:p>
          <w:p w:rsidR="00BE5391" w:rsidRPr="0005249E" w:rsidRDefault="00BE5391" w:rsidP="002638E0">
            <w:pPr>
              <w:jc w:val="center"/>
            </w:pPr>
            <w:r w:rsidRPr="0005249E">
              <w:t>287.1</w:t>
            </w:r>
          </w:p>
        </w:tc>
      </w:tr>
    </w:tbl>
    <w:p w:rsidR="00BE5391" w:rsidRPr="0059674C" w:rsidRDefault="00BE5391" w:rsidP="00BE5391">
      <w:pPr>
        <w:spacing w:line="480" w:lineRule="auto"/>
      </w:pPr>
      <w:r w:rsidRPr="0059674C">
        <w:t>***</w:t>
      </w:r>
      <w:r w:rsidRPr="0059674C">
        <w:rPr>
          <w:rFonts w:ascii="Times New Roman Italic" w:hAnsi="Times New Roman Italic"/>
        </w:rPr>
        <w:t>p</w:t>
      </w:r>
      <w:r w:rsidRPr="0059674C">
        <w:t>&lt;0.01;**</w:t>
      </w:r>
      <w:r w:rsidRPr="0059674C">
        <w:rPr>
          <w:rFonts w:ascii="Times New Roman Italic" w:hAnsi="Times New Roman Italic"/>
        </w:rPr>
        <w:t>p</w:t>
      </w:r>
      <w:r w:rsidRPr="0059674C">
        <w:t>&lt;0.05;*</w:t>
      </w:r>
      <w:r w:rsidRPr="0059674C">
        <w:rPr>
          <w:rFonts w:ascii="Times New Roman Italic" w:hAnsi="Times New Roman Italic"/>
        </w:rPr>
        <w:t>p</w:t>
      </w:r>
      <w:r w:rsidRPr="0059674C">
        <w:t>&lt;0.10</w:t>
      </w:r>
    </w:p>
    <w:p w:rsidR="00BE5391" w:rsidRPr="0059674C" w:rsidRDefault="00BE5391" w:rsidP="00BE5391"/>
    <w:p w:rsidR="00BE5391" w:rsidRPr="0059674C" w:rsidRDefault="00BE5391" w:rsidP="00BE5391">
      <w:pPr>
        <w:jc w:val="center"/>
      </w:pPr>
      <w:r w:rsidRPr="0059674C">
        <w:t>Table E2: Models using the Civil Society Index (Full Sample)</w:t>
      </w:r>
    </w:p>
    <w:p w:rsidR="00BE5391" w:rsidRPr="0059674C" w:rsidRDefault="00BE5391" w:rsidP="00BE5391"/>
    <w:tbl>
      <w:tblPr>
        <w:tblW w:w="0" w:type="auto"/>
        <w:tblInd w:w="10" w:type="dxa"/>
        <w:shd w:val="clear" w:color="auto" w:fill="FFFFFF"/>
        <w:tblLayout w:type="fixed"/>
        <w:tblLook w:val="0000" w:firstRow="0" w:lastRow="0" w:firstColumn="0" w:lastColumn="0" w:noHBand="0" w:noVBand="0"/>
      </w:tblPr>
      <w:tblGrid>
        <w:gridCol w:w="2291"/>
        <w:gridCol w:w="538"/>
        <w:gridCol w:w="352"/>
        <w:gridCol w:w="867"/>
        <w:gridCol w:w="853"/>
        <w:gridCol w:w="571"/>
        <w:gridCol w:w="338"/>
        <w:gridCol w:w="1214"/>
        <w:gridCol w:w="322"/>
        <w:gridCol w:w="337"/>
      </w:tblGrid>
      <w:tr w:rsidR="00BE5391" w:rsidRPr="0016699A" w:rsidTr="002638E0">
        <w:trPr>
          <w:cantSplit/>
          <w:trHeight w:val="280"/>
        </w:trPr>
        <w:tc>
          <w:tcPr>
            <w:tcW w:w="3181" w:type="dxa"/>
            <w:gridSpan w:val="3"/>
            <w:vMerge w:val="restart"/>
            <w:tcBorders>
              <w:top w:val="single" w:sz="4" w:space="0" w:color="auto"/>
            </w:tcBorders>
            <w:shd w:val="clear" w:color="auto" w:fill="FFFFFF"/>
            <w:tcMar>
              <w:top w:w="0" w:type="dxa"/>
              <w:left w:w="0" w:type="dxa"/>
              <w:bottom w:w="0" w:type="dxa"/>
              <w:right w:w="0" w:type="dxa"/>
            </w:tcMar>
            <w:vAlign w:val="bottom"/>
          </w:tcPr>
          <w:p w:rsidR="00BE5391" w:rsidRPr="0016699A" w:rsidRDefault="00BE5391" w:rsidP="002638E0">
            <w:pPr>
              <w:jc w:val="center"/>
            </w:pPr>
          </w:p>
        </w:tc>
        <w:tc>
          <w:tcPr>
            <w:tcW w:w="4165" w:type="dxa"/>
            <w:gridSpan w:val="6"/>
            <w:tcBorders>
              <w:top w:val="single" w:sz="4" w:space="0" w:color="auto"/>
            </w:tcBorders>
            <w:shd w:val="clear" w:color="auto" w:fill="FFFFFF"/>
            <w:tcMar>
              <w:top w:w="0" w:type="dxa"/>
              <w:left w:w="0" w:type="dxa"/>
              <w:bottom w:w="0" w:type="dxa"/>
              <w:right w:w="0" w:type="dxa"/>
            </w:tcMar>
          </w:tcPr>
          <w:p w:rsidR="00BE5391" w:rsidRPr="0016699A" w:rsidRDefault="00BE5391" w:rsidP="002638E0">
            <w:pPr>
              <w:jc w:val="center"/>
            </w:pPr>
            <w:r w:rsidRPr="0016699A">
              <w:t>Dependent Variable</w:t>
            </w:r>
          </w:p>
        </w:tc>
        <w:tc>
          <w:tcPr>
            <w:tcW w:w="337" w:type="dxa"/>
            <w:tcBorders>
              <w:top w:val="none" w:sz="8" w:space="0" w:color="000000"/>
              <w:left w:val="nil"/>
              <w:bottom w:val="none" w:sz="8" w:space="0" w:color="000000"/>
              <w:right w:val="none" w:sz="8" w:space="0" w:color="000000"/>
            </w:tcBorders>
            <w:shd w:val="clear" w:color="auto" w:fill="FFFFFF"/>
            <w:tcMar>
              <w:top w:w="100" w:type="dxa"/>
              <w:left w:w="100" w:type="dxa"/>
              <w:bottom w:w="100" w:type="dxa"/>
              <w:right w:w="100" w:type="dxa"/>
            </w:tcMar>
          </w:tcPr>
          <w:p w:rsidR="00BE5391" w:rsidRPr="0016699A" w:rsidRDefault="00BE5391" w:rsidP="002638E0">
            <w:pPr>
              <w:pStyle w:val="Body"/>
              <w:rPr>
                <w:rFonts w:ascii="Times New Roman" w:hAnsi="Times New Roman"/>
                <w:szCs w:val="24"/>
              </w:rPr>
            </w:pPr>
          </w:p>
        </w:tc>
      </w:tr>
      <w:tr w:rsidR="00BE5391" w:rsidRPr="0016699A" w:rsidTr="002638E0">
        <w:trPr>
          <w:cantSplit/>
          <w:trHeight w:val="969"/>
        </w:trPr>
        <w:tc>
          <w:tcPr>
            <w:tcW w:w="3181" w:type="dxa"/>
            <w:gridSpan w:val="3"/>
            <w:vMerge/>
            <w:tcBorders>
              <w:bottom w:val="single" w:sz="4" w:space="0" w:color="auto"/>
            </w:tcBorders>
            <w:shd w:val="clear" w:color="auto" w:fill="FFFFFF"/>
            <w:tcMar>
              <w:top w:w="0" w:type="dxa"/>
              <w:left w:w="0" w:type="dxa"/>
              <w:bottom w:w="0" w:type="dxa"/>
              <w:right w:w="0" w:type="dxa"/>
            </w:tcMar>
            <w:vAlign w:val="center"/>
          </w:tcPr>
          <w:p w:rsidR="00BE5391" w:rsidRPr="0016699A" w:rsidRDefault="00BE5391" w:rsidP="002638E0">
            <w:pPr>
              <w:jc w:val="center"/>
            </w:pPr>
          </w:p>
        </w:tc>
        <w:tc>
          <w:tcPr>
            <w:tcW w:w="2291" w:type="dxa"/>
            <w:gridSpan w:val="3"/>
            <w:tcBorders>
              <w:bottom w:val="single" w:sz="4" w:space="0" w:color="auto"/>
            </w:tcBorders>
            <w:shd w:val="clear" w:color="auto" w:fill="FFFFFF"/>
            <w:tcMar>
              <w:top w:w="0" w:type="dxa"/>
              <w:left w:w="0" w:type="dxa"/>
              <w:bottom w:w="0" w:type="dxa"/>
              <w:right w:w="0" w:type="dxa"/>
            </w:tcMar>
            <w:vAlign w:val="bottom"/>
          </w:tcPr>
          <w:p w:rsidR="00BE5391" w:rsidRPr="0016699A" w:rsidRDefault="00BE5391" w:rsidP="002638E0">
            <w:pPr>
              <w:jc w:val="center"/>
            </w:pPr>
            <w:r w:rsidRPr="0016699A">
              <w:t>Frontier Distance (Data Envelopment Analysis: 1-decade observations, 5-hull Model)</w:t>
            </w:r>
          </w:p>
          <w:p w:rsidR="00BE5391" w:rsidRPr="0016699A" w:rsidRDefault="00BE5391" w:rsidP="002638E0">
            <w:pPr>
              <w:jc w:val="center"/>
            </w:pPr>
          </w:p>
        </w:tc>
        <w:tc>
          <w:tcPr>
            <w:tcW w:w="1873" w:type="dxa"/>
            <w:gridSpan w:val="3"/>
            <w:tcBorders>
              <w:bottom w:val="single" w:sz="4" w:space="0" w:color="auto"/>
            </w:tcBorders>
            <w:shd w:val="clear" w:color="auto" w:fill="FFFFFF"/>
            <w:tcMar>
              <w:top w:w="0" w:type="dxa"/>
              <w:left w:w="0" w:type="dxa"/>
              <w:bottom w:w="0" w:type="dxa"/>
              <w:right w:w="0" w:type="dxa"/>
            </w:tcMar>
            <w:vAlign w:val="bottom"/>
          </w:tcPr>
          <w:p w:rsidR="00BE5391" w:rsidRPr="0016699A" w:rsidRDefault="00BE5391" w:rsidP="002638E0">
            <w:pPr>
              <w:jc w:val="center"/>
            </w:pPr>
            <w:r w:rsidRPr="0016699A">
              <w:t>Frontier Distance (Stochastic Frontier Estimation: 1-decade observations)</w:t>
            </w:r>
          </w:p>
          <w:p w:rsidR="00BE5391" w:rsidRPr="0016699A" w:rsidRDefault="00BE5391" w:rsidP="002638E0">
            <w:pPr>
              <w:jc w:val="center"/>
            </w:pPr>
          </w:p>
        </w:tc>
        <w:tc>
          <w:tcPr>
            <w:tcW w:w="337" w:type="dxa"/>
            <w:tcBorders>
              <w:top w:val="none" w:sz="8" w:space="0" w:color="000000"/>
              <w:left w:val="nil"/>
              <w:bottom w:val="none" w:sz="8" w:space="0" w:color="000000"/>
              <w:right w:val="none" w:sz="8" w:space="0" w:color="000000"/>
            </w:tcBorders>
            <w:shd w:val="clear" w:color="auto" w:fill="FFFFFF"/>
            <w:tcMar>
              <w:top w:w="100" w:type="dxa"/>
              <w:left w:w="100" w:type="dxa"/>
              <w:bottom w:w="100" w:type="dxa"/>
              <w:right w:w="100" w:type="dxa"/>
            </w:tcMar>
          </w:tcPr>
          <w:p w:rsidR="00BE5391" w:rsidRPr="0016699A" w:rsidRDefault="00BE5391" w:rsidP="002638E0">
            <w:pPr>
              <w:pStyle w:val="Body"/>
              <w:rPr>
                <w:rFonts w:ascii="Times New Roman" w:hAnsi="Times New Roman"/>
                <w:szCs w:val="24"/>
              </w:rPr>
            </w:pPr>
          </w:p>
        </w:tc>
      </w:tr>
      <w:tr w:rsidR="00BE5391" w:rsidRPr="0016699A" w:rsidTr="002638E0">
        <w:trPr>
          <w:cantSplit/>
          <w:trHeight w:val="270"/>
        </w:trPr>
        <w:tc>
          <w:tcPr>
            <w:tcW w:w="3181" w:type="dxa"/>
            <w:gridSpan w:val="3"/>
            <w:vMerge w:val="restart"/>
            <w:tcBorders>
              <w:top w:val="single" w:sz="4" w:space="0" w:color="auto"/>
            </w:tcBorders>
            <w:shd w:val="clear" w:color="auto" w:fill="FFFFFF"/>
            <w:tcMar>
              <w:top w:w="0" w:type="dxa"/>
              <w:left w:w="0" w:type="dxa"/>
              <w:bottom w:w="0" w:type="dxa"/>
              <w:right w:w="0" w:type="dxa"/>
            </w:tcMar>
          </w:tcPr>
          <w:p w:rsidR="00BE5391" w:rsidRPr="0016699A" w:rsidRDefault="00BE5391" w:rsidP="002638E0"/>
          <w:p w:rsidR="00BE5391" w:rsidRPr="0016699A" w:rsidRDefault="00BE5391" w:rsidP="002638E0">
            <w:r w:rsidRPr="0016699A">
              <w:t>Intercept</w:t>
            </w:r>
          </w:p>
        </w:tc>
        <w:tc>
          <w:tcPr>
            <w:tcW w:w="2291" w:type="dxa"/>
            <w:gridSpan w:val="3"/>
            <w:tcBorders>
              <w:top w:val="single" w:sz="4" w:space="0" w:color="auto"/>
            </w:tcBorders>
            <w:shd w:val="clear" w:color="auto" w:fill="FFFFFF"/>
            <w:tcMar>
              <w:top w:w="0" w:type="dxa"/>
              <w:left w:w="0" w:type="dxa"/>
              <w:bottom w:w="0" w:type="dxa"/>
              <w:right w:w="0" w:type="dxa"/>
            </w:tcMar>
            <w:vAlign w:val="bottom"/>
          </w:tcPr>
          <w:p w:rsidR="00BE5391" w:rsidRPr="0016699A" w:rsidRDefault="00BE5391" w:rsidP="002638E0">
            <w:pPr>
              <w:jc w:val="center"/>
            </w:pPr>
            <w:r w:rsidRPr="0016699A">
              <w:t>4.09**</w:t>
            </w:r>
          </w:p>
        </w:tc>
        <w:tc>
          <w:tcPr>
            <w:tcW w:w="1873" w:type="dxa"/>
            <w:gridSpan w:val="3"/>
            <w:tcBorders>
              <w:top w:val="single" w:sz="4" w:space="0" w:color="auto"/>
            </w:tcBorders>
            <w:shd w:val="clear" w:color="auto" w:fill="FFFFFF"/>
            <w:tcMar>
              <w:top w:w="0" w:type="dxa"/>
              <w:left w:w="0" w:type="dxa"/>
              <w:bottom w:w="0" w:type="dxa"/>
              <w:right w:w="0" w:type="dxa"/>
            </w:tcMar>
            <w:vAlign w:val="bottom"/>
          </w:tcPr>
          <w:p w:rsidR="00BE5391" w:rsidRPr="0016699A" w:rsidRDefault="00BE5391" w:rsidP="002638E0">
            <w:pPr>
              <w:jc w:val="center"/>
            </w:pPr>
            <w:r w:rsidRPr="0016699A">
              <w:t>2.44</w:t>
            </w:r>
          </w:p>
        </w:tc>
        <w:tc>
          <w:tcPr>
            <w:tcW w:w="337" w:type="dxa"/>
            <w:tcBorders>
              <w:top w:val="none" w:sz="8" w:space="0" w:color="000000"/>
              <w:left w:val="nil"/>
              <w:bottom w:val="none" w:sz="8" w:space="0" w:color="000000"/>
              <w:right w:val="none" w:sz="8" w:space="0" w:color="000000"/>
            </w:tcBorders>
            <w:shd w:val="clear" w:color="auto" w:fill="FFFFFF"/>
            <w:tcMar>
              <w:top w:w="100" w:type="dxa"/>
              <w:left w:w="100" w:type="dxa"/>
              <w:bottom w:w="100" w:type="dxa"/>
              <w:right w:w="100" w:type="dxa"/>
            </w:tcMar>
          </w:tcPr>
          <w:p w:rsidR="00BE5391" w:rsidRPr="0016699A" w:rsidRDefault="00BE5391" w:rsidP="002638E0">
            <w:pPr>
              <w:pStyle w:val="Body"/>
              <w:rPr>
                <w:rFonts w:ascii="Times New Roman" w:hAnsi="Times New Roman"/>
                <w:szCs w:val="24"/>
              </w:rPr>
            </w:pPr>
          </w:p>
        </w:tc>
      </w:tr>
      <w:tr w:rsidR="00BE5391" w:rsidRPr="0016699A" w:rsidTr="002638E0">
        <w:trPr>
          <w:cantSplit/>
          <w:trHeight w:val="89"/>
        </w:trPr>
        <w:tc>
          <w:tcPr>
            <w:tcW w:w="3181" w:type="dxa"/>
            <w:gridSpan w:val="3"/>
            <w:vMerge/>
            <w:shd w:val="clear" w:color="auto" w:fill="FFFFFF"/>
            <w:tcMar>
              <w:top w:w="0" w:type="dxa"/>
              <w:left w:w="0" w:type="dxa"/>
              <w:bottom w:w="0" w:type="dxa"/>
              <w:right w:w="0" w:type="dxa"/>
            </w:tcMar>
          </w:tcPr>
          <w:p w:rsidR="00BE5391" w:rsidRPr="0016699A" w:rsidRDefault="00BE5391" w:rsidP="002638E0"/>
        </w:tc>
        <w:tc>
          <w:tcPr>
            <w:tcW w:w="2291" w:type="dxa"/>
            <w:gridSpan w:val="3"/>
            <w:shd w:val="clear" w:color="auto" w:fill="FFFFFF"/>
            <w:tcMar>
              <w:top w:w="0" w:type="dxa"/>
              <w:left w:w="0" w:type="dxa"/>
              <w:bottom w:w="0" w:type="dxa"/>
              <w:right w:w="0" w:type="dxa"/>
            </w:tcMar>
            <w:vAlign w:val="bottom"/>
          </w:tcPr>
          <w:p w:rsidR="00BE5391" w:rsidRPr="0016699A" w:rsidRDefault="00BE5391" w:rsidP="002638E0">
            <w:pPr>
              <w:jc w:val="center"/>
            </w:pPr>
            <w:r w:rsidRPr="0016699A">
              <w:t>2.48</w:t>
            </w:r>
          </w:p>
        </w:tc>
        <w:tc>
          <w:tcPr>
            <w:tcW w:w="1873" w:type="dxa"/>
            <w:gridSpan w:val="3"/>
            <w:shd w:val="clear" w:color="auto" w:fill="FFFFFF"/>
            <w:tcMar>
              <w:top w:w="0" w:type="dxa"/>
              <w:left w:w="0" w:type="dxa"/>
              <w:bottom w:w="0" w:type="dxa"/>
              <w:right w:w="0" w:type="dxa"/>
            </w:tcMar>
            <w:vAlign w:val="bottom"/>
          </w:tcPr>
          <w:p w:rsidR="00BE5391" w:rsidRPr="0016699A" w:rsidRDefault="00BE5391" w:rsidP="002638E0">
            <w:pPr>
              <w:jc w:val="center"/>
            </w:pPr>
            <w:r w:rsidRPr="0016699A">
              <w:t>1.37</w:t>
            </w:r>
          </w:p>
        </w:tc>
        <w:tc>
          <w:tcPr>
            <w:tcW w:w="337" w:type="dxa"/>
            <w:tcBorders>
              <w:top w:val="none" w:sz="8" w:space="0" w:color="000000"/>
              <w:left w:val="nil"/>
              <w:bottom w:val="none" w:sz="8" w:space="0" w:color="000000"/>
              <w:right w:val="none" w:sz="8" w:space="0" w:color="000000"/>
            </w:tcBorders>
            <w:shd w:val="clear" w:color="auto" w:fill="FFFFFF"/>
            <w:tcMar>
              <w:top w:w="100" w:type="dxa"/>
              <w:left w:w="100" w:type="dxa"/>
              <w:bottom w:w="100" w:type="dxa"/>
              <w:right w:w="100" w:type="dxa"/>
            </w:tcMar>
          </w:tcPr>
          <w:p w:rsidR="00BE5391" w:rsidRPr="0016699A" w:rsidRDefault="00BE5391" w:rsidP="002638E0">
            <w:pPr>
              <w:pStyle w:val="Body"/>
              <w:rPr>
                <w:rFonts w:ascii="Times New Roman" w:hAnsi="Times New Roman"/>
                <w:szCs w:val="24"/>
              </w:rPr>
            </w:pPr>
          </w:p>
        </w:tc>
      </w:tr>
      <w:tr w:rsidR="00BE5391" w:rsidRPr="0016699A" w:rsidTr="002638E0">
        <w:trPr>
          <w:cantSplit/>
          <w:trHeight w:val="270"/>
        </w:trPr>
        <w:tc>
          <w:tcPr>
            <w:tcW w:w="3181" w:type="dxa"/>
            <w:gridSpan w:val="3"/>
            <w:vMerge w:val="restart"/>
            <w:shd w:val="clear" w:color="auto" w:fill="FFFFFF"/>
            <w:tcMar>
              <w:top w:w="0" w:type="dxa"/>
              <w:left w:w="0" w:type="dxa"/>
              <w:bottom w:w="0" w:type="dxa"/>
              <w:right w:w="0" w:type="dxa"/>
            </w:tcMar>
          </w:tcPr>
          <w:p w:rsidR="00BE5391" w:rsidRPr="0016699A" w:rsidRDefault="00BE5391" w:rsidP="002638E0"/>
          <w:p w:rsidR="00BE5391" w:rsidRPr="0016699A" w:rsidRDefault="00BE5391" w:rsidP="002638E0">
            <w:r w:rsidRPr="0016699A">
              <w:t>Civil Society Index</w:t>
            </w:r>
          </w:p>
        </w:tc>
        <w:tc>
          <w:tcPr>
            <w:tcW w:w="2291" w:type="dxa"/>
            <w:gridSpan w:val="3"/>
            <w:shd w:val="clear" w:color="auto" w:fill="FFFFFF"/>
            <w:tcMar>
              <w:top w:w="0" w:type="dxa"/>
              <w:left w:w="0" w:type="dxa"/>
              <w:bottom w:w="0" w:type="dxa"/>
              <w:right w:w="0" w:type="dxa"/>
            </w:tcMar>
            <w:vAlign w:val="bottom"/>
          </w:tcPr>
          <w:p w:rsidR="00BE5391" w:rsidRPr="0016699A" w:rsidRDefault="00BE5391" w:rsidP="002638E0">
            <w:pPr>
              <w:jc w:val="center"/>
            </w:pPr>
            <w:r w:rsidRPr="0016699A">
              <w:t>-14.17*</w:t>
            </w:r>
          </w:p>
        </w:tc>
        <w:tc>
          <w:tcPr>
            <w:tcW w:w="1873" w:type="dxa"/>
            <w:gridSpan w:val="3"/>
            <w:shd w:val="clear" w:color="auto" w:fill="FFFFFF"/>
            <w:tcMar>
              <w:top w:w="0" w:type="dxa"/>
              <w:left w:w="0" w:type="dxa"/>
              <w:bottom w:w="0" w:type="dxa"/>
              <w:right w:w="0" w:type="dxa"/>
            </w:tcMar>
            <w:vAlign w:val="bottom"/>
          </w:tcPr>
          <w:p w:rsidR="00BE5391" w:rsidRPr="0016699A" w:rsidRDefault="00BE5391" w:rsidP="002638E0">
            <w:pPr>
              <w:jc w:val="center"/>
            </w:pPr>
            <w:r w:rsidRPr="0016699A">
              <w:t>-22.57**</w:t>
            </w:r>
          </w:p>
        </w:tc>
        <w:tc>
          <w:tcPr>
            <w:tcW w:w="337" w:type="dxa"/>
            <w:tcBorders>
              <w:top w:val="none" w:sz="8" w:space="0" w:color="000000"/>
              <w:left w:val="nil"/>
              <w:bottom w:val="none" w:sz="8" w:space="0" w:color="000000"/>
              <w:right w:val="none" w:sz="8" w:space="0" w:color="000000"/>
            </w:tcBorders>
            <w:shd w:val="clear" w:color="auto" w:fill="FFFFFF"/>
            <w:tcMar>
              <w:top w:w="100" w:type="dxa"/>
              <w:left w:w="100" w:type="dxa"/>
              <w:bottom w:w="100" w:type="dxa"/>
              <w:right w:w="100" w:type="dxa"/>
            </w:tcMar>
          </w:tcPr>
          <w:p w:rsidR="00BE5391" w:rsidRPr="0016699A" w:rsidRDefault="00BE5391" w:rsidP="002638E0">
            <w:pPr>
              <w:pStyle w:val="Body"/>
              <w:rPr>
                <w:rFonts w:ascii="Times New Roman" w:hAnsi="Times New Roman"/>
                <w:szCs w:val="24"/>
              </w:rPr>
            </w:pPr>
          </w:p>
        </w:tc>
      </w:tr>
      <w:tr w:rsidR="00BE5391" w:rsidRPr="0016699A" w:rsidTr="002638E0">
        <w:trPr>
          <w:cantSplit/>
          <w:trHeight w:val="250"/>
        </w:trPr>
        <w:tc>
          <w:tcPr>
            <w:tcW w:w="3181" w:type="dxa"/>
            <w:gridSpan w:val="3"/>
            <w:vMerge/>
            <w:shd w:val="clear" w:color="auto" w:fill="FFFFFF"/>
            <w:tcMar>
              <w:top w:w="0" w:type="dxa"/>
              <w:left w:w="0" w:type="dxa"/>
              <w:bottom w:w="0" w:type="dxa"/>
              <w:right w:w="0" w:type="dxa"/>
            </w:tcMar>
          </w:tcPr>
          <w:p w:rsidR="00BE5391" w:rsidRPr="0016699A" w:rsidRDefault="00BE5391" w:rsidP="002638E0"/>
        </w:tc>
        <w:tc>
          <w:tcPr>
            <w:tcW w:w="2291" w:type="dxa"/>
            <w:gridSpan w:val="3"/>
            <w:shd w:val="clear" w:color="auto" w:fill="FFFFFF"/>
            <w:tcMar>
              <w:top w:w="0" w:type="dxa"/>
              <w:left w:w="0" w:type="dxa"/>
              <w:bottom w:w="0" w:type="dxa"/>
              <w:right w:w="0" w:type="dxa"/>
            </w:tcMar>
            <w:vAlign w:val="bottom"/>
          </w:tcPr>
          <w:p w:rsidR="00BE5391" w:rsidRPr="0016699A" w:rsidRDefault="00BE5391" w:rsidP="002638E0">
            <w:pPr>
              <w:jc w:val="center"/>
            </w:pPr>
            <w:r w:rsidRPr="0016699A">
              <w:t>-1.80</w:t>
            </w:r>
          </w:p>
        </w:tc>
        <w:tc>
          <w:tcPr>
            <w:tcW w:w="1873" w:type="dxa"/>
            <w:gridSpan w:val="3"/>
            <w:shd w:val="clear" w:color="auto" w:fill="FFFFFF"/>
            <w:tcMar>
              <w:top w:w="0" w:type="dxa"/>
              <w:left w:w="0" w:type="dxa"/>
              <w:bottom w:w="0" w:type="dxa"/>
              <w:right w:w="0" w:type="dxa"/>
            </w:tcMar>
            <w:vAlign w:val="bottom"/>
          </w:tcPr>
          <w:p w:rsidR="00BE5391" w:rsidRPr="0016699A" w:rsidRDefault="00BE5391" w:rsidP="002638E0">
            <w:pPr>
              <w:jc w:val="center"/>
            </w:pPr>
            <w:r w:rsidRPr="0016699A">
              <w:t>-2.72</w:t>
            </w:r>
          </w:p>
        </w:tc>
        <w:tc>
          <w:tcPr>
            <w:tcW w:w="337" w:type="dxa"/>
            <w:tcBorders>
              <w:top w:val="none" w:sz="8" w:space="0" w:color="000000"/>
              <w:left w:val="nil"/>
              <w:bottom w:val="none" w:sz="8" w:space="0" w:color="000000"/>
              <w:right w:val="none" w:sz="8" w:space="0" w:color="000000"/>
            </w:tcBorders>
            <w:shd w:val="clear" w:color="auto" w:fill="FFFFFF"/>
            <w:tcMar>
              <w:top w:w="100" w:type="dxa"/>
              <w:left w:w="100" w:type="dxa"/>
              <w:bottom w:w="100" w:type="dxa"/>
              <w:right w:w="100" w:type="dxa"/>
            </w:tcMar>
          </w:tcPr>
          <w:p w:rsidR="00BE5391" w:rsidRPr="0016699A" w:rsidRDefault="00BE5391" w:rsidP="002638E0">
            <w:pPr>
              <w:pStyle w:val="Body"/>
              <w:rPr>
                <w:rFonts w:ascii="Times New Roman" w:hAnsi="Times New Roman"/>
                <w:szCs w:val="24"/>
              </w:rPr>
            </w:pPr>
          </w:p>
        </w:tc>
      </w:tr>
      <w:tr w:rsidR="00BE5391" w:rsidRPr="0016699A" w:rsidTr="002638E0">
        <w:trPr>
          <w:cantSplit/>
          <w:trHeight w:val="270"/>
        </w:trPr>
        <w:tc>
          <w:tcPr>
            <w:tcW w:w="3181" w:type="dxa"/>
            <w:gridSpan w:val="3"/>
            <w:vMerge w:val="restart"/>
            <w:shd w:val="clear" w:color="auto" w:fill="FFFFFF"/>
            <w:tcMar>
              <w:top w:w="0" w:type="dxa"/>
              <w:left w:w="0" w:type="dxa"/>
              <w:bottom w:w="0" w:type="dxa"/>
              <w:right w:w="0" w:type="dxa"/>
            </w:tcMar>
          </w:tcPr>
          <w:p w:rsidR="00BE5391" w:rsidRPr="0016699A" w:rsidRDefault="00BE5391" w:rsidP="002638E0"/>
          <w:p w:rsidR="00BE5391" w:rsidRPr="0016699A" w:rsidRDefault="00BE5391" w:rsidP="002638E0">
            <w:r w:rsidRPr="0016699A">
              <w:t>GDP per capita</w:t>
            </w:r>
          </w:p>
        </w:tc>
        <w:tc>
          <w:tcPr>
            <w:tcW w:w="2291" w:type="dxa"/>
            <w:gridSpan w:val="3"/>
            <w:shd w:val="clear" w:color="auto" w:fill="FFFFFF"/>
            <w:tcMar>
              <w:top w:w="0" w:type="dxa"/>
              <w:left w:w="0" w:type="dxa"/>
              <w:bottom w:w="0" w:type="dxa"/>
              <w:right w:w="0" w:type="dxa"/>
            </w:tcMar>
            <w:vAlign w:val="bottom"/>
          </w:tcPr>
          <w:p w:rsidR="00BE5391" w:rsidRPr="0016699A" w:rsidRDefault="00BE5391" w:rsidP="002638E0">
            <w:pPr>
              <w:jc w:val="center"/>
            </w:pPr>
            <w:r w:rsidRPr="0016699A">
              <w:t>-0.05</w:t>
            </w:r>
          </w:p>
        </w:tc>
        <w:tc>
          <w:tcPr>
            <w:tcW w:w="1873" w:type="dxa"/>
            <w:gridSpan w:val="3"/>
            <w:shd w:val="clear" w:color="auto" w:fill="FFFFFF"/>
            <w:tcMar>
              <w:top w:w="0" w:type="dxa"/>
              <w:left w:w="0" w:type="dxa"/>
              <w:bottom w:w="0" w:type="dxa"/>
              <w:right w:w="0" w:type="dxa"/>
            </w:tcMar>
            <w:vAlign w:val="bottom"/>
          </w:tcPr>
          <w:p w:rsidR="00BE5391" w:rsidRPr="0016699A" w:rsidRDefault="00BE5391" w:rsidP="002638E0">
            <w:pPr>
              <w:jc w:val="center"/>
            </w:pPr>
            <w:r w:rsidRPr="0016699A">
              <w:t>0.10</w:t>
            </w:r>
          </w:p>
        </w:tc>
        <w:tc>
          <w:tcPr>
            <w:tcW w:w="337" w:type="dxa"/>
            <w:tcBorders>
              <w:top w:val="none" w:sz="8" w:space="0" w:color="000000"/>
              <w:left w:val="nil"/>
              <w:bottom w:val="none" w:sz="8" w:space="0" w:color="000000"/>
              <w:right w:val="none" w:sz="8" w:space="0" w:color="000000"/>
            </w:tcBorders>
            <w:shd w:val="clear" w:color="auto" w:fill="FFFFFF"/>
            <w:tcMar>
              <w:top w:w="100" w:type="dxa"/>
              <w:left w:w="100" w:type="dxa"/>
              <w:bottom w:w="100" w:type="dxa"/>
              <w:right w:w="100" w:type="dxa"/>
            </w:tcMar>
          </w:tcPr>
          <w:p w:rsidR="00BE5391" w:rsidRPr="0016699A" w:rsidRDefault="00BE5391" w:rsidP="002638E0">
            <w:pPr>
              <w:pStyle w:val="Body"/>
              <w:rPr>
                <w:rFonts w:ascii="Times New Roman" w:hAnsi="Times New Roman"/>
                <w:szCs w:val="24"/>
              </w:rPr>
            </w:pPr>
          </w:p>
        </w:tc>
      </w:tr>
      <w:tr w:rsidR="00BE5391" w:rsidRPr="0016699A" w:rsidTr="002638E0">
        <w:trPr>
          <w:cantSplit/>
          <w:trHeight w:val="250"/>
        </w:trPr>
        <w:tc>
          <w:tcPr>
            <w:tcW w:w="3181" w:type="dxa"/>
            <w:gridSpan w:val="3"/>
            <w:vMerge/>
            <w:shd w:val="clear" w:color="auto" w:fill="FFFFFF"/>
            <w:tcMar>
              <w:top w:w="0" w:type="dxa"/>
              <w:left w:w="0" w:type="dxa"/>
              <w:bottom w:w="0" w:type="dxa"/>
              <w:right w:w="0" w:type="dxa"/>
            </w:tcMar>
          </w:tcPr>
          <w:p w:rsidR="00BE5391" w:rsidRPr="0016699A" w:rsidRDefault="00BE5391" w:rsidP="002638E0"/>
        </w:tc>
        <w:tc>
          <w:tcPr>
            <w:tcW w:w="2291" w:type="dxa"/>
            <w:gridSpan w:val="3"/>
            <w:shd w:val="clear" w:color="auto" w:fill="FFFFFF"/>
            <w:tcMar>
              <w:top w:w="0" w:type="dxa"/>
              <w:left w:w="0" w:type="dxa"/>
              <w:bottom w:w="0" w:type="dxa"/>
              <w:right w:w="0" w:type="dxa"/>
            </w:tcMar>
            <w:vAlign w:val="bottom"/>
          </w:tcPr>
          <w:p w:rsidR="00BE5391" w:rsidRPr="0016699A" w:rsidRDefault="00BE5391" w:rsidP="002638E0">
            <w:pPr>
              <w:jc w:val="center"/>
            </w:pPr>
            <w:r w:rsidRPr="0016699A">
              <w:t>-0.24</w:t>
            </w:r>
          </w:p>
        </w:tc>
        <w:tc>
          <w:tcPr>
            <w:tcW w:w="1873" w:type="dxa"/>
            <w:gridSpan w:val="3"/>
            <w:shd w:val="clear" w:color="auto" w:fill="FFFFFF"/>
            <w:tcMar>
              <w:top w:w="0" w:type="dxa"/>
              <w:left w:w="0" w:type="dxa"/>
              <w:bottom w:w="0" w:type="dxa"/>
              <w:right w:w="0" w:type="dxa"/>
            </w:tcMar>
            <w:vAlign w:val="bottom"/>
          </w:tcPr>
          <w:p w:rsidR="00BE5391" w:rsidRPr="0016699A" w:rsidRDefault="00BE5391" w:rsidP="002638E0">
            <w:pPr>
              <w:jc w:val="center"/>
            </w:pPr>
            <w:r w:rsidRPr="0016699A">
              <w:t>0.43</w:t>
            </w:r>
          </w:p>
        </w:tc>
        <w:tc>
          <w:tcPr>
            <w:tcW w:w="337" w:type="dxa"/>
            <w:tcBorders>
              <w:top w:val="none" w:sz="8" w:space="0" w:color="000000"/>
              <w:left w:val="nil"/>
              <w:bottom w:val="none" w:sz="8" w:space="0" w:color="000000"/>
              <w:right w:val="none" w:sz="8" w:space="0" w:color="000000"/>
            </w:tcBorders>
            <w:shd w:val="clear" w:color="auto" w:fill="FFFFFF"/>
            <w:tcMar>
              <w:top w:w="100" w:type="dxa"/>
              <w:left w:w="100" w:type="dxa"/>
              <w:bottom w:w="100" w:type="dxa"/>
              <w:right w:w="100" w:type="dxa"/>
            </w:tcMar>
          </w:tcPr>
          <w:p w:rsidR="00BE5391" w:rsidRPr="0016699A" w:rsidRDefault="00BE5391" w:rsidP="002638E0">
            <w:pPr>
              <w:pStyle w:val="Body"/>
              <w:rPr>
                <w:rFonts w:ascii="Times New Roman" w:hAnsi="Times New Roman"/>
                <w:szCs w:val="24"/>
              </w:rPr>
            </w:pPr>
          </w:p>
        </w:tc>
      </w:tr>
      <w:tr w:rsidR="00BE5391" w:rsidRPr="0016699A" w:rsidTr="002638E0">
        <w:trPr>
          <w:cantSplit/>
          <w:trHeight w:val="425"/>
        </w:trPr>
        <w:tc>
          <w:tcPr>
            <w:tcW w:w="3181" w:type="dxa"/>
            <w:gridSpan w:val="3"/>
            <w:shd w:val="clear" w:color="auto" w:fill="FFFFFF"/>
            <w:tcMar>
              <w:top w:w="0" w:type="dxa"/>
              <w:left w:w="0" w:type="dxa"/>
              <w:bottom w:w="0" w:type="dxa"/>
              <w:right w:w="0" w:type="dxa"/>
            </w:tcMar>
          </w:tcPr>
          <w:p w:rsidR="00BE5391" w:rsidRPr="0016699A" w:rsidRDefault="00BE5391" w:rsidP="002638E0"/>
          <w:p w:rsidR="00BE5391" w:rsidRPr="0016699A" w:rsidRDefault="00BE5391" w:rsidP="002638E0">
            <w:r w:rsidRPr="0016699A">
              <w:t>Number of observations</w:t>
            </w:r>
          </w:p>
        </w:tc>
        <w:tc>
          <w:tcPr>
            <w:tcW w:w="2291" w:type="dxa"/>
            <w:gridSpan w:val="3"/>
            <w:shd w:val="clear" w:color="auto" w:fill="FFFFFF"/>
            <w:tcMar>
              <w:top w:w="0" w:type="dxa"/>
              <w:left w:w="0" w:type="dxa"/>
              <w:bottom w:w="0" w:type="dxa"/>
              <w:right w:w="0" w:type="dxa"/>
            </w:tcMar>
            <w:vAlign w:val="center"/>
          </w:tcPr>
          <w:p w:rsidR="00BE5391" w:rsidRPr="0016699A" w:rsidRDefault="00BE5391" w:rsidP="002638E0">
            <w:pPr>
              <w:jc w:val="center"/>
            </w:pPr>
            <w:r w:rsidRPr="0016699A">
              <w:t>28</w:t>
            </w:r>
          </w:p>
        </w:tc>
        <w:tc>
          <w:tcPr>
            <w:tcW w:w="1873" w:type="dxa"/>
            <w:gridSpan w:val="3"/>
            <w:shd w:val="clear" w:color="auto" w:fill="FFFFFF"/>
            <w:tcMar>
              <w:top w:w="0" w:type="dxa"/>
              <w:left w:w="0" w:type="dxa"/>
              <w:bottom w:w="0" w:type="dxa"/>
              <w:right w:w="0" w:type="dxa"/>
            </w:tcMar>
            <w:vAlign w:val="center"/>
          </w:tcPr>
          <w:p w:rsidR="00BE5391" w:rsidRPr="0016699A" w:rsidRDefault="00BE5391" w:rsidP="002638E0">
            <w:pPr>
              <w:jc w:val="center"/>
            </w:pPr>
            <w:r w:rsidRPr="0016699A">
              <w:t>28</w:t>
            </w:r>
          </w:p>
        </w:tc>
        <w:tc>
          <w:tcPr>
            <w:tcW w:w="337" w:type="dxa"/>
            <w:tcBorders>
              <w:top w:val="none" w:sz="8" w:space="0" w:color="000000"/>
              <w:left w:val="nil"/>
              <w:bottom w:val="none" w:sz="8" w:space="0" w:color="000000"/>
              <w:right w:val="none" w:sz="8" w:space="0" w:color="000000"/>
            </w:tcBorders>
            <w:shd w:val="clear" w:color="auto" w:fill="FFFFFF"/>
            <w:tcMar>
              <w:top w:w="100" w:type="dxa"/>
              <w:left w:w="100" w:type="dxa"/>
              <w:bottom w:w="100" w:type="dxa"/>
              <w:right w:w="100" w:type="dxa"/>
            </w:tcMar>
          </w:tcPr>
          <w:p w:rsidR="00BE5391" w:rsidRPr="0016699A" w:rsidRDefault="00BE5391" w:rsidP="002638E0">
            <w:pPr>
              <w:pStyle w:val="Body"/>
              <w:rPr>
                <w:rFonts w:ascii="Times New Roman" w:hAnsi="Times New Roman"/>
                <w:szCs w:val="24"/>
              </w:rPr>
            </w:pPr>
          </w:p>
        </w:tc>
      </w:tr>
      <w:tr w:rsidR="00BE5391" w:rsidRPr="0016699A" w:rsidTr="002638E0">
        <w:trPr>
          <w:cantSplit/>
          <w:trHeight w:val="467"/>
        </w:trPr>
        <w:tc>
          <w:tcPr>
            <w:tcW w:w="3181" w:type="dxa"/>
            <w:gridSpan w:val="3"/>
            <w:shd w:val="clear" w:color="auto" w:fill="FFFFFF"/>
            <w:tcMar>
              <w:top w:w="0" w:type="dxa"/>
              <w:left w:w="0" w:type="dxa"/>
              <w:bottom w:w="0" w:type="dxa"/>
              <w:right w:w="0" w:type="dxa"/>
            </w:tcMar>
          </w:tcPr>
          <w:p w:rsidR="00BE5391" w:rsidRPr="0016699A" w:rsidRDefault="00BE5391" w:rsidP="002638E0"/>
          <w:p w:rsidR="00BE5391" w:rsidRPr="0016699A" w:rsidRDefault="00BE5391" w:rsidP="002638E0">
            <w:r w:rsidRPr="0016699A">
              <w:t>R-Squared</w:t>
            </w:r>
          </w:p>
        </w:tc>
        <w:tc>
          <w:tcPr>
            <w:tcW w:w="2291" w:type="dxa"/>
            <w:gridSpan w:val="3"/>
            <w:shd w:val="clear" w:color="auto" w:fill="FFFFFF"/>
            <w:tcMar>
              <w:top w:w="0" w:type="dxa"/>
              <w:left w:w="0" w:type="dxa"/>
              <w:bottom w:w="0" w:type="dxa"/>
              <w:right w:w="0" w:type="dxa"/>
            </w:tcMar>
            <w:vAlign w:val="center"/>
          </w:tcPr>
          <w:p w:rsidR="00BE5391" w:rsidRPr="0016699A" w:rsidRDefault="00BE5391" w:rsidP="002638E0">
            <w:pPr>
              <w:jc w:val="center"/>
            </w:pPr>
            <w:r w:rsidRPr="0016699A">
              <w:t>0.15</w:t>
            </w:r>
          </w:p>
        </w:tc>
        <w:tc>
          <w:tcPr>
            <w:tcW w:w="1873" w:type="dxa"/>
            <w:gridSpan w:val="3"/>
            <w:shd w:val="clear" w:color="auto" w:fill="FFFFFF"/>
            <w:tcMar>
              <w:top w:w="0" w:type="dxa"/>
              <w:left w:w="0" w:type="dxa"/>
              <w:bottom w:w="0" w:type="dxa"/>
              <w:right w:w="0" w:type="dxa"/>
            </w:tcMar>
            <w:vAlign w:val="center"/>
          </w:tcPr>
          <w:p w:rsidR="00BE5391" w:rsidRPr="0016699A" w:rsidRDefault="00BE5391" w:rsidP="002638E0">
            <w:pPr>
              <w:jc w:val="center"/>
            </w:pPr>
            <w:r w:rsidRPr="0016699A">
              <w:t>0.21</w:t>
            </w:r>
          </w:p>
        </w:tc>
        <w:tc>
          <w:tcPr>
            <w:tcW w:w="337" w:type="dxa"/>
            <w:tcBorders>
              <w:top w:val="none" w:sz="8" w:space="0" w:color="000000"/>
              <w:left w:val="nil"/>
              <w:bottom w:val="none" w:sz="8" w:space="0" w:color="000000"/>
              <w:right w:val="none" w:sz="8" w:space="0" w:color="000000"/>
            </w:tcBorders>
            <w:shd w:val="clear" w:color="auto" w:fill="FFFFFF"/>
            <w:tcMar>
              <w:top w:w="100" w:type="dxa"/>
              <w:left w:w="100" w:type="dxa"/>
              <w:bottom w:w="100" w:type="dxa"/>
              <w:right w:w="100" w:type="dxa"/>
            </w:tcMar>
          </w:tcPr>
          <w:p w:rsidR="00BE5391" w:rsidRPr="0016699A" w:rsidRDefault="00BE5391" w:rsidP="002638E0">
            <w:pPr>
              <w:pStyle w:val="Body"/>
              <w:rPr>
                <w:rFonts w:ascii="Times New Roman" w:hAnsi="Times New Roman"/>
                <w:szCs w:val="24"/>
              </w:rPr>
            </w:pPr>
          </w:p>
        </w:tc>
      </w:tr>
      <w:tr w:rsidR="00BE5391" w:rsidRPr="0016699A" w:rsidTr="002638E0">
        <w:trPr>
          <w:cantSplit/>
          <w:trHeight w:val="270"/>
        </w:trPr>
        <w:tc>
          <w:tcPr>
            <w:tcW w:w="2291" w:type="dxa"/>
            <w:tcBorders>
              <w:top w:val="single" w:sz="8" w:space="0" w:color="000000"/>
              <w:left w:val="none" w:sz="16" w:space="0" w:color="000000"/>
              <w:bottom w:val="none" w:sz="16" w:space="0" w:color="000000"/>
              <w:right w:val="none" w:sz="16" w:space="0" w:color="000000"/>
            </w:tcBorders>
            <w:shd w:val="clear" w:color="auto" w:fill="FFFFFF"/>
            <w:tcMar>
              <w:top w:w="0" w:type="dxa"/>
              <w:left w:w="0" w:type="dxa"/>
              <w:bottom w:w="0" w:type="dxa"/>
              <w:right w:w="0" w:type="dxa"/>
            </w:tcMar>
            <w:vAlign w:val="bottom"/>
          </w:tcPr>
          <w:p w:rsidR="00BE5391" w:rsidRPr="0016699A" w:rsidRDefault="00BE5391" w:rsidP="002638E0"/>
        </w:tc>
        <w:tc>
          <w:tcPr>
            <w:tcW w:w="2610" w:type="dxa"/>
            <w:gridSpan w:val="4"/>
            <w:tcBorders>
              <w:top w:val="single" w:sz="8" w:space="0" w:color="000000"/>
              <w:left w:val="none" w:sz="16" w:space="0" w:color="000000"/>
              <w:bottom w:val="none" w:sz="16" w:space="0" w:color="000000"/>
              <w:right w:val="none" w:sz="16" w:space="0" w:color="000000"/>
            </w:tcBorders>
            <w:shd w:val="clear" w:color="auto" w:fill="FFFFFF"/>
            <w:tcMar>
              <w:top w:w="0" w:type="dxa"/>
              <w:left w:w="0" w:type="dxa"/>
              <w:bottom w:w="0" w:type="dxa"/>
              <w:right w:w="0" w:type="dxa"/>
            </w:tcMar>
            <w:vAlign w:val="bottom"/>
          </w:tcPr>
          <w:p w:rsidR="00BE5391" w:rsidRPr="0016699A" w:rsidRDefault="00BE5391" w:rsidP="002638E0"/>
        </w:tc>
        <w:tc>
          <w:tcPr>
            <w:tcW w:w="2782" w:type="dxa"/>
            <w:gridSpan w:val="5"/>
            <w:tcBorders>
              <w:top w:val="single" w:sz="8" w:space="0" w:color="000000"/>
              <w:left w:val="none" w:sz="16" w:space="0" w:color="000000"/>
              <w:bottom w:val="none" w:sz="16" w:space="0" w:color="000000"/>
              <w:right w:val="none" w:sz="8" w:space="0" w:color="000000"/>
            </w:tcBorders>
            <w:shd w:val="clear" w:color="auto" w:fill="FFFFFF"/>
            <w:tcMar>
              <w:top w:w="100" w:type="dxa"/>
              <w:left w:w="100" w:type="dxa"/>
              <w:bottom w:w="100" w:type="dxa"/>
              <w:right w:w="100" w:type="dxa"/>
            </w:tcMar>
          </w:tcPr>
          <w:p w:rsidR="00BE5391" w:rsidRPr="0016699A" w:rsidRDefault="00BE5391" w:rsidP="002638E0">
            <w:pPr>
              <w:pStyle w:val="Body"/>
              <w:rPr>
                <w:rFonts w:ascii="Times New Roman" w:hAnsi="Times New Roman"/>
                <w:szCs w:val="24"/>
              </w:rPr>
            </w:pPr>
          </w:p>
        </w:tc>
      </w:tr>
      <w:tr w:rsidR="00BE5391" w:rsidRPr="0016699A" w:rsidTr="002638E0">
        <w:trPr>
          <w:cantSplit/>
          <w:trHeight w:val="372"/>
        </w:trPr>
        <w:tc>
          <w:tcPr>
            <w:tcW w:w="2829" w:type="dxa"/>
            <w:gridSpan w:val="2"/>
            <w:tcBorders>
              <w:top w:val="none" w:sz="16" w:space="0" w:color="000000"/>
              <w:left w:val="none" w:sz="16" w:space="0" w:color="000000"/>
              <w:bottom w:val="none" w:sz="16" w:space="0" w:color="000000"/>
              <w:right w:val="none" w:sz="16" w:space="0" w:color="000000"/>
            </w:tcBorders>
            <w:shd w:val="clear" w:color="auto" w:fill="FFFFFF"/>
            <w:tcMar>
              <w:top w:w="0" w:type="dxa"/>
              <w:left w:w="0" w:type="dxa"/>
              <w:bottom w:w="0" w:type="dxa"/>
              <w:right w:w="0" w:type="dxa"/>
            </w:tcMar>
            <w:vAlign w:val="bottom"/>
          </w:tcPr>
          <w:p w:rsidR="00BE5391" w:rsidRPr="0016699A" w:rsidRDefault="00BE5391" w:rsidP="002638E0">
            <w:r w:rsidRPr="0016699A">
              <w:t>t-statistics in italics</w:t>
            </w:r>
          </w:p>
        </w:tc>
        <w:tc>
          <w:tcPr>
            <w:tcW w:w="1219" w:type="dxa"/>
            <w:gridSpan w:val="2"/>
            <w:tcBorders>
              <w:top w:val="none" w:sz="16" w:space="0" w:color="000000"/>
              <w:left w:val="none" w:sz="16" w:space="0" w:color="000000"/>
              <w:bottom w:val="none" w:sz="16" w:space="0" w:color="000000"/>
              <w:right w:val="none" w:sz="16" w:space="0" w:color="000000"/>
            </w:tcBorders>
            <w:shd w:val="clear" w:color="auto" w:fill="FFFFFF"/>
            <w:tcMar>
              <w:top w:w="0" w:type="dxa"/>
              <w:left w:w="0" w:type="dxa"/>
              <w:bottom w:w="0" w:type="dxa"/>
              <w:right w:w="0" w:type="dxa"/>
            </w:tcMar>
            <w:vAlign w:val="bottom"/>
          </w:tcPr>
          <w:p w:rsidR="00BE5391" w:rsidRPr="0016699A" w:rsidRDefault="00BE5391" w:rsidP="002638E0"/>
        </w:tc>
        <w:tc>
          <w:tcPr>
            <w:tcW w:w="1762" w:type="dxa"/>
            <w:gridSpan w:val="3"/>
            <w:tcBorders>
              <w:top w:val="none" w:sz="16" w:space="0" w:color="000000"/>
              <w:left w:val="none" w:sz="16" w:space="0" w:color="000000"/>
              <w:bottom w:val="none" w:sz="16" w:space="0" w:color="000000"/>
              <w:right w:val="none" w:sz="16" w:space="0" w:color="000000"/>
            </w:tcBorders>
            <w:shd w:val="clear" w:color="auto" w:fill="FFFFFF"/>
            <w:tcMar>
              <w:top w:w="0" w:type="dxa"/>
              <w:left w:w="0" w:type="dxa"/>
              <w:bottom w:w="0" w:type="dxa"/>
              <w:right w:w="0" w:type="dxa"/>
            </w:tcMar>
            <w:vAlign w:val="bottom"/>
          </w:tcPr>
          <w:p w:rsidR="00BE5391" w:rsidRPr="0016699A" w:rsidRDefault="00BE5391" w:rsidP="002638E0"/>
        </w:tc>
        <w:tc>
          <w:tcPr>
            <w:tcW w:w="1214" w:type="dxa"/>
            <w:tcBorders>
              <w:top w:val="none" w:sz="16" w:space="0" w:color="000000"/>
              <w:left w:val="none" w:sz="16" w:space="0" w:color="000000"/>
              <w:bottom w:val="none" w:sz="16" w:space="0" w:color="000000"/>
              <w:right w:val="none" w:sz="16" w:space="0" w:color="000000"/>
            </w:tcBorders>
            <w:shd w:val="clear" w:color="auto" w:fill="FFFFFF"/>
            <w:tcMar>
              <w:top w:w="0" w:type="dxa"/>
              <w:left w:w="0" w:type="dxa"/>
              <w:bottom w:w="0" w:type="dxa"/>
              <w:right w:w="0" w:type="dxa"/>
            </w:tcMar>
            <w:vAlign w:val="bottom"/>
          </w:tcPr>
          <w:p w:rsidR="00BE5391" w:rsidRPr="0016699A" w:rsidRDefault="00BE5391" w:rsidP="002638E0"/>
        </w:tc>
        <w:tc>
          <w:tcPr>
            <w:tcW w:w="659" w:type="dxa"/>
            <w:gridSpan w:val="2"/>
            <w:tcBorders>
              <w:top w:val="none" w:sz="16" w:space="0" w:color="000000"/>
              <w:left w:val="none" w:sz="16" w:space="0" w:color="000000"/>
              <w:bottom w:val="none" w:sz="16" w:space="0" w:color="000000"/>
              <w:right w:val="none" w:sz="16" w:space="0" w:color="000000"/>
            </w:tcBorders>
            <w:shd w:val="clear" w:color="auto" w:fill="FFFFFF"/>
            <w:tcMar>
              <w:top w:w="0" w:type="dxa"/>
              <w:left w:w="0" w:type="dxa"/>
              <w:bottom w:w="0" w:type="dxa"/>
              <w:right w:w="0" w:type="dxa"/>
            </w:tcMar>
            <w:vAlign w:val="bottom"/>
          </w:tcPr>
          <w:p w:rsidR="00BE5391" w:rsidRPr="0016699A" w:rsidRDefault="00BE5391" w:rsidP="002638E0"/>
        </w:tc>
      </w:tr>
    </w:tbl>
    <w:p w:rsidR="00BE5391" w:rsidRPr="0059674C" w:rsidRDefault="00BE5391" w:rsidP="00BE5391">
      <w:pPr>
        <w:spacing w:line="480" w:lineRule="auto"/>
      </w:pPr>
      <w:r w:rsidRPr="0059674C">
        <w:t>***</w:t>
      </w:r>
      <w:r w:rsidRPr="0059674C">
        <w:rPr>
          <w:rFonts w:ascii="Times New Roman Italic" w:hAnsi="Times New Roman Italic"/>
        </w:rPr>
        <w:t>p</w:t>
      </w:r>
      <w:r w:rsidRPr="0059674C">
        <w:t>&lt;0.01;**</w:t>
      </w:r>
      <w:r w:rsidRPr="0059674C">
        <w:rPr>
          <w:rFonts w:ascii="Times New Roman Italic" w:hAnsi="Times New Roman Italic"/>
        </w:rPr>
        <w:t>p</w:t>
      </w:r>
      <w:r w:rsidRPr="0059674C">
        <w:t>&lt;0.05;*</w:t>
      </w:r>
      <w:r w:rsidRPr="0059674C">
        <w:rPr>
          <w:rFonts w:ascii="Times New Roman Italic" w:hAnsi="Times New Roman Italic"/>
        </w:rPr>
        <w:t>p</w:t>
      </w:r>
      <w:r w:rsidRPr="0059674C">
        <w:t>&lt;0.10</w:t>
      </w:r>
    </w:p>
    <w:p w:rsidR="008E6570" w:rsidRDefault="00C20502"/>
    <w:sectPr w:rsidR="008E65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502" w:rsidRDefault="00C20502" w:rsidP="00BE5391">
      <w:r>
        <w:separator/>
      </w:r>
    </w:p>
  </w:endnote>
  <w:endnote w:type="continuationSeparator" w:id="0">
    <w:p w:rsidR="00C20502" w:rsidRDefault="00C20502" w:rsidP="00BE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502" w:rsidRDefault="00C20502" w:rsidP="00BE5391">
      <w:r>
        <w:separator/>
      </w:r>
    </w:p>
  </w:footnote>
  <w:footnote w:type="continuationSeparator" w:id="0">
    <w:p w:rsidR="00C20502" w:rsidRDefault="00C20502" w:rsidP="00BE5391">
      <w:r>
        <w:continuationSeparator/>
      </w:r>
    </w:p>
  </w:footnote>
  <w:footnote w:id="1">
    <w:p w:rsidR="00BE5391" w:rsidRPr="0005249E" w:rsidRDefault="00BE5391" w:rsidP="00BE5391">
      <w:pPr>
        <w:pStyle w:val="FootnoteText1"/>
        <w:spacing w:line="480" w:lineRule="auto"/>
        <w:rPr>
          <w:rFonts w:eastAsia="Times New Roman"/>
          <w:color w:val="auto"/>
        </w:rPr>
      </w:pPr>
      <w:r w:rsidRPr="0005249E">
        <w:rPr>
          <w:rStyle w:val="FootnoteReference1"/>
        </w:rPr>
        <w:footnoteRef/>
      </w:r>
      <w:r w:rsidRPr="0005249E">
        <w:t xml:space="preserve"> See Edelsbrunner (1987) for a broad description of computational geometry, including the computation of convex hulls. Barber, Dobkin, and Huhdanpaa (1996) is a recent example of advances in the computation of convex hulls.</w:t>
      </w:r>
    </w:p>
  </w:footnote>
  <w:footnote w:id="2">
    <w:p w:rsidR="00BE5391" w:rsidRPr="0005249E" w:rsidRDefault="00BE5391" w:rsidP="00BE5391">
      <w:pPr>
        <w:pStyle w:val="FootnoteText1"/>
        <w:spacing w:line="480" w:lineRule="auto"/>
        <w:rPr>
          <w:rFonts w:eastAsia="Times New Roman"/>
          <w:color w:val="auto"/>
        </w:rPr>
      </w:pPr>
      <w:r w:rsidRPr="0005249E">
        <w:rPr>
          <w:rStyle w:val="FootnoteReference1"/>
        </w:rPr>
        <w:footnoteRef/>
      </w:r>
      <w:r w:rsidRPr="0005249E">
        <w:t xml:space="preserve"> The analogous algorithm may be applied to the subsample above the line AB to yield the upper part of the convex hull. Because these points do not lie on the growth-instability frontier, they are of no use for the estimation of the shape of the frontier using this method.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91"/>
    <w:rsid w:val="00433ABF"/>
    <w:rsid w:val="004A5EED"/>
    <w:rsid w:val="00501963"/>
    <w:rsid w:val="006C2F25"/>
    <w:rsid w:val="00BE5391"/>
    <w:rsid w:val="00C20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391"/>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E5391"/>
    <w:pPr>
      <w:spacing w:after="0" w:line="240" w:lineRule="auto"/>
    </w:pPr>
    <w:rPr>
      <w:rFonts w:ascii="Times New Roman" w:eastAsia="ヒラギノ角ゴ Pro W3" w:hAnsi="Times New Roman" w:cs="Times New Roman"/>
      <w:color w:val="000000"/>
      <w:szCs w:val="20"/>
    </w:rPr>
  </w:style>
  <w:style w:type="character" w:customStyle="1" w:styleId="FootnoteReference1">
    <w:name w:val="Footnote Reference1"/>
    <w:rsid w:val="00BE5391"/>
    <w:rPr>
      <w:color w:val="000000"/>
      <w:sz w:val="22"/>
      <w:vertAlign w:val="superscript"/>
    </w:rPr>
  </w:style>
  <w:style w:type="paragraph" w:customStyle="1" w:styleId="FootnoteText1">
    <w:name w:val="Footnote Text1"/>
    <w:rsid w:val="00BE5391"/>
    <w:pPr>
      <w:spacing w:after="0" w:line="240" w:lineRule="auto"/>
    </w:pPr>
    <w:rPr>
      <w:rFonts w:ascii="Times New Roman" w:eastAsia="ヒラギノ角ゴ Pro W3" w:hAnsi="Times New Roman" w:cs="Times New Roman"/>
      <w:color w:val="000000"/>
      <w:sz w:val="20"/>
      <w:szCs w:val="20"/>
    </w:rPr>
  </w:style>
  <w:style w:type="paragraph" w:customStyle="1" w:styleId="Body">
    <w:name w:val="Body"/>
    <w:rsid w:val="00BE5391"/>
    <w:pPr>
      <w:spacing w:after="0" w:line="240" w:lineRule="auto"/>
    </w:pPr>
    <w:rPr>
      <w:rFonts w:ascii="Helvetica" w:eastAsia="ヒラギノ角ゴ Pro W3" w:hAnsi="Helvetica" w:cs="Times New Roman"/>
      <w:color w:val="000000"/>
      <w:sz w:val="24"/>
      <w:szCs w:val="20"/>
    </w:rPr>
  </w:style>
  <w:style w:type="paragraph" w:customStyle="1" w:styleId="PlainText1">
    <w:name w:val="Plain Text1"/>
    <w:rsid w:val="00BE5391"/>
    <w:pPr>
      <w:spacing w:after="0" w:line="240" w:lineRule="auto"/>
    </w:pPr>
    <w:rPr>
      <w:rFonts w:ascii="Courier New" w:eastAsia="ヒラギノ角ゴ Pro W3" w:hAnsi="Courier New" w:cs="Times New Roman"/>
      <w:color w:val="000000"/>
      <w:sz w:val="20"/>
      <w:szCs w:val="20"/>
    </w:rPr>
  </w:style>
  <w:style w:type="paragraph" w:styleId="BalloonText">
    <w:name w:val="Balloon Text"/>
    <w:basedOn w:val="Normal"/>
    <w:link w:val="BalloonTextChar"/>
    <w:uiPriority w:val="99"/>
    <w:semiHidden/>
    <w:unhideWhenUsed/>
    <w:rsid w:val="00BE5391"/>
    <w:rPr>
      <w:rFonts w:ascii="Tahoma" w:hAnsi="Tahoma" w:cs="Tahoma"/>
      <w:sz w:val="16"/>
      <w:szCs w:val="16"/>
    </w:rPr>
  </w:style>
  <w:style w:type="character" w:customStyle="1" w:styleId="BalloonTextChar">
    <w:name w:val="Balloon Text Char"/>
    <w:basedOn w:val="DefaultParagraphFont"/>
    <w:link w:val="BalloonText"/>
    <w:uiPriority w:val="99"/>
    <w:semiHidden/>
    <w:rsid w:val="00BE5391"/>
    <w:rPr>
      <w:rFonts w:ascii="Tahoma" w:eastAsia="ヒラギノ角ゴ Pro W3"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391"/>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E5391"/>
    <w:pPr>
      <w:spacing w:after="0" w:line="240" w:lineRule="auto"/>
    </w:pPr>
    <w:rPr>
      <w:rFonts w:ascii="Times New Roman" w:eastAsia="ヒラギノ角ゴ Pro W3" w:hAnsi="Times New Roman" w:cs="Times New Roman"/>
      <w:color w:val="000000"/>
      <w:szCs w:val="20"/>
    </w:rPr>
  </w:style>
  <w:style w:type="character" w:customStyle="1" w:styleId="FootnoteReference1">
    <w:name w:val="Footnote Reference1"/>
    <w:rsid w:val="00BE5391"/>
    <w:rPr>
      <w:color w:val="000000"/>
      <w:sz w:val="22"/>
      <w:vertAlign w:val="superscript"/>
    </w:rPr>
  </w:style>
  <w:style w:type="paragraph" w:customStyle="1" w:styleId="FootnoteText1">
    <w:name w:val="Footnote Text1"/>
    <w:rsid w:val="00BE5391"/>
    <w:pPr>
      <w:spacing w:after="0" w:line="240" w:lineRule="auto"/>
    </w:pPr>
    <w:rPr>
      <w:rFonts w:ascii="Times New Roman" w:eastAsia="ヒラギノ角ゴ Pro W3" w:hAnsi="Times New Roman" w:cs="Times New Roman"/>
      <w:color w:val="000000"/>
      <w:sz w:val="20"/>
      <w:szCs w:val="20"/>
    </w:rPr>
  </w:style>
  <w:style w:type="paragraph" w:customStyle="1" w:styleId="Body">
    <w:name w:val="Body"/>
    <w:rsid w:val="00BE5391"/>
    <w:pPr>
      <w:spacing w:after="0" w:line="240" w:lineRule="auto"/>
    </w:pPr>
    <w:rPr>
      <w:rFonts w:ascii="Helvetica" w:eastAsia="ヒラギノ角ゴ Pro W3" w:hAnsi="Helvetica" w:cs="Times New Roman"/>
      <w:color w:val="000000"/>
      <w:sz w:val="24"/>
      <w:szCs w:val="20"/>
    </w:rPr>
  </w:style>
  <w:style w:type="paragraph" w:customStyle="1" w:styleId="PlainText1">
    <w:name w:val="Plain Text1"/>
    <w:rsid w:val="00BE5391"/>
    <w:pPr>
      <w:spacing w:after="0" w:line="240" w:lineRule="auto"/>
    </w:pPr>
    <w:rPr>
      <w:rFonts w:ascii="Courier New" w:eastAsia="ヒラギノ角ゴ Pro W3" w:hAnsi="Courier New" w:cs="Times New Roman"/>
      <w:color w:val="000000"/>
      <w:sz w:val="20"/>
      <w:szCs w:val="20"/>
    </w:rPr>
  </w:style>
  <w:style w:type="paragraph" w:styleId="BalloonText">
    <w:name w:val="Balloon Text"/>
    <w:basedOn w:val="Normal"/>
    <w:link w:val="BalloonTextChar"/>
    <w:uiPriority w:val="99"/>
    <w:semiHidden/>
    <w:unhideWhenUsed/>
    <w:rsid w:val="00BE5391"/>
    <w:rPr>
      <w:rFonts w:ascii="Tahoma" w:hAnsi="Tahoma" w:cs="Tahoma"/>
      <w:sz w:val="16"/>
      <w:szCs w:val="16"/>
    </w:rPr>
  </w:style>
  <w:style w:type="character" w:customStyle="1" w:styleId="BalloonTextChar">
    <w:name w:val="Balloon Text Char"/>
    <w:basedOn w:val="DefaultParagraphFont"/>
    <w:link w:val="BalloonText"/>
    <w:uiPriority w:val="99"/>
    <w:semiHidden/>
    <w:rsid w:val="00BE5391"/>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emf"/><Relationship Id="rId12" Type="http://schemas.openxmlformats.org/officeDocument/2006/relationships/chart" Target="charts/chart3.xml"/><Relationship Id="rId17" Type="http://schemas.openxmlformats.org/officeDocument/2006/relationships/image" Target="media/image8.png"/><Relationship Id="rId25" Type="http://schemas.openxmlformats.org/officeDocument/2006/relationships/image" Target="media/image16.png"/><Relationship Id="rId2" Type="http://schemas.microsoft.com/office/2007/relationships/stylesWithEffects" Target="stylesWithEffect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2.xml"/><Relationship Id="rId24"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44" b="1" i="0" u="none" strike="noStrike" baseline="0">
                <a:solidFill>
                  <a:srgbClr val="000000"/>
                </a:solidFill>
                <a:latin typeface="Arial"/>
                <a:ea typeface="Arial"/>
                <a:cs typeface="Arial"/>
              </a:defRPr>
            </a:pPr>
            <a:r>
              <a:rPr lang="en-US"/>
              <a:t>Figure B1: Mean Rate of Growth vs. Standard Deviation of Rate of Growth 
(World Bank Data --- 1961-2000, n=201) </a:t>
            </a:r>
          </a:p>
        </c:rich>
      </c:tx>
      <c:layout>
        <c:manualLayout>
          <c:xMode val="edge"/>
          <c:yMode val="edge"/>
          <c:x val="0.12208649243519901"/>
          <c:y val="1.96399537649035E-2"/>
        </c:manualLayout>
      </c:layout>
      <c:overlay val="0"/>
      <c:spPr>
        <a:noFill/>
        <a:ln w="25398">
          <a:noFill/>
        </a:ln>
      </c:spPr>
    </c:title>
    <c:autoTitleDeleted val="0"/>
    <c:plotArea>
      <c:layout>
        <c:manualLayout>
          <c:layoutTarget val="inner"/>
          <c:xMode val="edge"/>
          <c:yMode val="edge"/>
          <c:x val="7.2142064372918993E-2"/>
          <c:y val="0.16693944353519"/>
          <c:w val="0.90788013318534999"/>
          <c:h val="0.76104746317512895"/>
        </c:manualLayout>
      </c:layout>
      <c:scatterChart>
        <c:scatterStyle val="lineMarker"/>
        <c:varyColors val="0"/>
        <c:ser>
          <c:idx val="0"/>
          <c:order val="0"/>
          <c:spPr>
            <a:ln w="17219">
              <a:noFill/>
            </a:ln>
          </c:spPr>
          <c:marker>
            <c:symbol val="diamond"/>
            <c:size val="2"/>
            <c:spPr>
              <a:solidFill>
                <a:srgbClr val="000080"/>
              </a:solidFill>
              <a:ln>
                <a:solidFill>
                  <a:srgbClr val="000080"/>
                </a:solidFill>
                <a:prstDash val="solid"/>
              </a:ln>
            </c:spPr>
          </c:marker>
          <c:xVal>
            <c:numRef>
              <c:f>Data!$J$419:$J$619</c:f>
              <c:numCache>
                <c:formatCode>General</c:formatCode>
                <c:ptCount val="201"/>
                <c:pt idx="0">
                  <c:v>9.6722000000000001</c:v>
                </c:pt>
                <c:pt idx="1">
                  <c:v>12.181100000000001</c:v>
                </c:pt>
                <c:pt idx="2">
                  <c:v>2.5912999999999982</c:v>
                </c:pt>
                <c:pt idx="3">
                  <c:v>7.8608999999999956</c:v>
                </c:pt>
                <c:pt idx="4">
                  <c:v>4.7511000000000001</c:v>
                </c:pt>
                <c:pt idx="5">
                  <c:v>6.1656999999999966</c:v>
                </c:pt>
                <c:pt idx="6">
                  <c:v>2.2507000000000001</c:v>
                </c:pt>
                <c:pt idx="7">
                  <c:v>2.0430999999999999</c:v>
                </c:pt>
                <c:pt idx="8">
                  <c:v>2.0438000000000001</c:v>
                </c:pt>
                <c:pt idx="9">
                  <c:v>1.2769999999999899</c:v>
                </c:pt>
                <c:pt idx="10">
                  <c:v>5.2923999999999998</c:v>
                </c:pt>
                <c:pt idx="11">
                  <c:v>6.0617999999999999</c:v>
                </c:pt>
                <c:pt idx="12">
                  <c:v>1.1132</c:v>
                </c:pt>
                <c:pt idx="13">
                  <c:v>2.0529999999999982</c:v>
                </c:pt>
                <c:pt idx="14">
                  <c:v>1.4424999999999899</c:v>
                </c:pt>
                <c:pt idx="15">
                  <c:v>3.2549000000000001</c:v>
                </c:pt>
                <c:pt idx="16">
                  <c:v>3.4708999999999981</c:v>
                </c:pt>
                <c:pt idx="17">
                  <c:v>3.5333000000000001</c:v>
                </c:pt>
                <c:pt idx="18">
                  <c:v>4.5064000000000002</c:v>
                </c:pt>
                <c:pt idx="19">
                  <c:v>3.0903999999999998</c:v>
                </c:pt>
                <c:pt idx="20">
                  <c:v>6.4088000000000003</c:v>
                </c:pt>
                <c:pt idx="21">
                  <c:v>4.3331</c:v>
                </c:pt>
                <c:pt idx="22">
                  <c:v>3.6410999999999998</c:v>
                </c:pt>
                <c:pt idx="23">
                  <c:v>3.6267999999999998</c:v>
                </c:pt>
                <c:pt idx="24">
                  <c:v>5.7603</c:v>
                </c:pt>
                <c:pt idx="25">
                  <c:v>2.9187999999999992</c:v>
                </c:pt>
                <c:pt idx="26">
                  <c:v>3.7774000000000001</c:v>
                </c:pt>
                <c:pt idx="27">
                  <c:v>7.4321999999999999</c:v>
                </c:pt>
                <c:pt idx="28">
                  <c:v>5.4280999999999997</c:v>
                </c:pt>
                <c:pt idx="29">
                  <c:v>6.8404999999999996</c:v>
                </c:pt>
                <c:pt idx="30">
                  <c:v>6.0997000000000003</c:v>
                </c:pt>
                <c:pt idx="31">
                  <c:v>2.3813</c:v>
                </c:pt>
                <c:pt idx="32">
                  <c:v>3.1326999999999972</c:v>
                </c:pt>
                <c:pt idx="33">
                  <c:v>4.8224999999999856</c:v>
                </c:pt>
                <c:pt idx="34">
                  <c:v>6.4260999999999999</c:v>
                </c:pt>
                <c:pt idx="35">
                  <c:v>8.2536000000000005</c:v>
                </c:pt>
                <c:pt idx="36">
                  <c:v>5.1179999999999746</c:v>
                </c:pt>
                <c:pt idx="37">
                  <c:v>5.1997</c:v>
                </c:pt>
                <c:pt idx="38">
                  <c:v>10.6326</c:v>
                </c:pt>
                <c:pt idx="39">
                  <c:v>3.2275999999999998</c:v>
                </c:pt>
                <c:pt idx="40">
                  <c:v>1.6202000000000001</c:v>
                </c:pt>
                <c:pt idx="41">
                  <c:v>2.3824999999999972</c:v>
                </c:pt>
                <c:pt idx="42">
                  <c:v>3.6463000000000001</c:v>
                </c:pt>
                <c:pt idx="43">
                  <c:v>5.4894000000000034</c:v>
                </c:pt>
                <c:pt idx="44">
                  <c:v>7.1019999999999994</c:v>
                </c:pt>
                <c:pt idx="45">
                  <c:v>6.8026</c:v>
                </c:pt>
                <c:pt idx="46">
                  <c:v>5.0757000000000003</c:v>
                </c:pt>
                <c:pt idx="47">
                  <c:v>2.7686000000000002</c:v>
                </c:pt>
                <c:pt idx="48">
                  <c:v>3.9508999999999972</c:v>
                </c:pt>
                <c:pt idx="49">
                  <c:v>2.8268999999999771</c:v>
                </c:pt>
                <c:pt idx="50">
                  <c:v>1.7269999999999901</c:v>
                </c:pt>
                <c:pt idx="51">
                  <c:v>6.907</c:v>
                </c:pt>
                <c:pt idx="52">
                  <c:v>3.6766999999999972</c:v>
                </c:pt>
                <c:pt idx="53">
                  <c:v>3.4519999999999982</c:v>
                </c:pt>
                <c:pt idx="54">
                  <c:v>3.1732</c:v>
                </c:pt>
                <c:pt idx="55">
                  <c:v>3.9807000000000001</c:v>
                </c:pt>
                <c:pt idx="56">
                  <c:v>1.9303999999999999</c:v>
                </c:pt>
                <c:pt idx="57">
                  <c:v>4.8237999999999976</c:v>
                </c:pt>
                <c:pt idx="58">
                  <c:v>4.2721999999999998</c:v>
                </c:pt>
                <c:pt idx="59">
                  <c:v>4.7247999999999957</c:v>
                </c:pt>
                <c:pt idx="60">
                  <c:v>5.3708</c:v>
                </c:pt>
                <c:pt idx="61">
                  <c:v>2.7303000000000002</c:v>
                </c:pt>
                <c:pt idx="62">
                  <c:v>3.1029</c:v>
                </c:pt>
                <c:pt idx="63">
                  <c:v>1.737899999999986</c:v>
                </c:pt>
                <c:pt idx="64">
                  <c:v>1.269799999999988</c:v>
                </c:pt>
                <c:pt idx="65">
                  <c:v>13.683199999999999</c:v>
                </c:pt>
                <c:pt idx="66">
                  <c:v>6.5038999999999998</c:v>
                </c:pt>
                <c:pt idx="67">
                  <c:v>2.6776</c:v>
                </c:pt>
                <c:pt idx="68">
                  <c:v>5.0724</c:v>
                </c:pt>
                <c:pt idx="69">
                  <c:v>3.7841000000000209</c:v>
                </c:pt>
                <c:pt idx="70">
                  <c:v>4.1457999999999986</c:v>
                </c:pt>
                <c:pt idx="71">
                  <c:v>2.1562999999999981</c:v>
                </c:pt>
                <c:pt idx="72">
                  <c:v>1.8903000000000001</c:v>
                </c:pt>
                <c:pt idx="73">
                  <c:v>2.5169999999999981</c:v>
                </c:pt>
                <c:pt idx="74">
                  <c:v>8.7275000000000009</c:v>
                </c:pt>
                <c:pt idx="75">
                  <c:v>5.4693000000000014</c:v>
                </c:pt>
                <c:pt idx="76">
                  <c:v>5.9161000000000001</c:v>
                </c:pt>
                <c:pt idx="77">
                  <c:v>4.4300000000000024</c:v>
                </c:pt>
                <c:pt idx="78">
                  <c:v>4.1686999999999976</c:v>
                </c:pt>
                <c:pt idx="79">
                  <c:v>3.3519999999999972</c:v>
                </c:pt>
                <c:pt idx="80">
                  <c:v>2.6675000000000182</c:v>
                </c:pt>
                <c:pt idx="81">
                  <c:v>4.1452</c:v>
                </c:pt>
                <c:pt idx="82">
                  <c:v>3.8856999999999982</c:v>
                </c:pt>
                <c:pt idx="83">
                  <c:v>3.7578</c:v>
                </c:pt>
                <c:pt idx="84">
                  <c:v>1.9187000000000001</c:v>
                </c:pt>
                <c:pt idx="85">
                  <c:v>3.5802999999999998</c:v>
                </c:pt>
                <c:pt idx="86">
                  <c:v>4.9889999999999999</c:v>
                </c:pt>
                <c:pt idx="87">
                  <c:v>5.8418999999999999</c:v>
                </c:pt>
                <c:pt idx="88">
                  <c:v>2.1042000000000001</c:v>
                </c:pt>
                <c:pt idx="89">
                  <c:v>3.5783</c:v>
                </c:pt>
                <c:pt idx="90">
                  <c:v>4.6711</c:v>
                </c:pt>
                <c:pt idx="91">
                  <c:v>2.2551000000000001</c:v>
                </c:pt>
                <c:pt idx="92">
                  <c:v>2.3622999999999972</c:v>
                </c:pt>
                <c:pt idx="93">
                  <c:v>1.1378999999999899</c:v>
                </c:pt>
                <c:pt idx="94">
                  <c:v>6.5098000000000003</c:v>
                </c:pt>
                <c:pt idx="95">
                  <c:v>3.2432000000000012</c:v>
                </c:pt>
                <c:pt idx="96">
                  <c:v>5.8680999999999957</c:v>
                </c:pt>
                <c:pt idx="97">
                  <c:v>2.8736000000000002</c:v>
                </c:pt>
                <c:pt idx="98">
                  <c:v>3.8942999999999981</c:v>
                </c:pt>
                <c:pt idx="99">
                  <c:v>1.9271</c:v>
                </c:pt>
                <c:pt idx="100">
                  <c:v>5.7624999999999966</c:v>
                </c:pt>
                <c:pt idx="101">
                  <c:v>6.7739000000000003</c:v>
                </c:pt>
                <c:pt idx="102">
                  <c:v>2.2042000000000002</c:v>
                </c:pt>
                <c:pt idx="103">
                  <c:v>3.8137999999999992</c:v>
                </c:pt>
                <c:pt idx="104">
                  <c:v>3.9026999999999972</c:v>
                </c:pt>
                <c:pt idx="105">
                  <c:v>9.3093000000000004</c:v>
                </c:pt>
                <c:pt idx="106">
                  <c:v>4.1806000000000001</c:v>
                </c:pt>
                <c:pt idx="107">
                  <c:v>3.3855</c:v>
                </c:pt>
                <c:pt idx="108">
                  <c:v>32.131500000000003</c:v>
                </c:pt>
                <c:pt idx="109">
                  <c:v>3.3633999999999999</c:v>
                </c:pt>
                <c:pt idx="110">
                  <c:v>3.5831000000000159</c:v>
                </c:pt>
                <c:pt idx="111">
                  <c:v>4.9607999999999999</c:v>
                </c:pt>
                <c:pt idx="112">
                  <c:v>5.9468000000000014</c:v>
                </c:pt>
                <c:pt idx="113">
                  <c:v>2.4826999999999981</c:v>
                </c:pt>
                <c:pt idx="114">
                  <c:v>4.4043999999999999</c:v>
                </c:pt>
                <c:pt idx="115">
                  <c:v>5.4857000000000014</c:v>
                </c:pt>
                <c:pt idx="116">
                  <c:v>8.3117000000000001</c:v>
                </c:pt>
                <c:pt idx="117">
                  <c:v>2.9779</c:v>
                </c:pt>
                <c:pt idx="118">
                  <c:v>1.6301000000000001</c:v>
                </c:pt>
                <c:pt idx="119">
                  <c:v>2.3635999999999999</c:v>
                </c:pt>
                <c:pt idx="120">
                  <c:v>3.8209</c:v>
                </c:pt>
                <c:pt idx="121">
                  <c:v>5.1784999999999997</c:v>
                </c:pt>
                <c:pt idx="122">
                  <c:v>3.9596999999999971</c:v>
                </c:pt>
                <c:pt idx="123">
                  <c:v>5.5798000000000014</c:v>
                </c:pt>
                <c:pt idx="124">
                  <c:v>7.7229999999999857</c:v>
                </c:pt>
                <c:pt idx="125">
                  <c:v>2.84</c:v>
                </c:pt>
                <c:pt idx="126">
                  <c:v>2.7543000000000002</c:v>
                </c:pt>
                <c:pt idx="127">
                  <c:v>2.2370000000000001</c:v>
                </c:pt>
                <c:pt idx="128">
                  <c:v>1.5528</c:v>
                </c:pt>
                <c:pt idx="129">
                  <c:v>4.1929999999999756</c:v>
                </c:pt>
                <c:pt idx="130">
                  <c:v>2.1652</c:v>
                </c:pt>
                <c:pt idx="131">
                  <c:v>8.6772000000000009</c:v>
                </c:pt>
                <c:pt idx="132">
                  <c:v>5.1348999999999956</c:v>
                </c:pt>
                <c:pt idx="133">
                  <c:v>7.0076999999999998</c:v>
                </c:pt>
                <c:pt idx="134">
                  <c:v>5.8159999999999856</c:v>
                </c:pt>
                <c:pt idx="135">
                  <c:v>9.5372000000000003</c:v>
                </c:pt>
                <c:pt idx="136">
                  <c:v>5.3903999999999996</c:v>
                </c:pt>
                <c:pt idx="137">
                  <c:v>1.3247</c:v>
                </c:pt>
                <c:pt idx="138">
                  <c:v>1.775899999999988</c:v>
                </c:pt>
                <c:pt idx="139">
                  <c:v>22.946000000000002</c:v>
                </c:pt>
                <c:pt idx="140">
                  <c:v>5.7611999999999997</c:v>
                </c:pt>
                <c:pt idx="141">
                  <c:v>2.9213</c:v>
                </c:pt>
                <c:pt idx="142">
                  <c:v>1.9697</c:v>
                </c:pt>
                <c:pt idx="143">
                  <c:v>3.1848999999999998</c:v>
                </c:pt>
                <c:pt idx="144">
                  <c:v>5.2983000000000002</c:v>
                </c:pt>
                <c:pt idx="145">
                  <c:v>3.9626999999999981</c:v>
                </c:pt>
                <c:pt idx="146">
                  <c:v>6.0039999999999996</c:v>
                </c:pt>
                <c:pt idx="147">
                  <c:v>3.5135999999999998</c:v>
                </c:pt>
                <c:pt idx="148">
                  <c:v>3.0265</c:v>
                </c:pt>
                <c:pt idx="149">
                  <c:v>2.6682000000000001</c:v>
                </c:pt>
                <c:pt idx="150">
                  <c:v>6.8584999999999976</c:v>
                </c:pt>
                <c:pt idx="151">
                  <c:v>1.432899999999989</c:v>
                </c:pt>
                <c:pt idx="152">
                  <c:v>3.9379</c:v>
                </c:pt>
                <c:pt idx="153">
                  <c:v>3.3601999999999999</c:v>
                </c:pt>
                <c:pt idx="154">
                  <c:v>2.5516999999999972</c:v>
                </c:pt>
                <c:pt idx="155">
                  <c:v>5.3728999999999996</c:v>
                </c:pt>
                <c:pt idx="156">
                  <c:v>7.5937999999999999</c:v>
                </c:pt>
                <c:pt idx="157">
                  <c:v>15.276899999999999</c:v>
                </c:pt>
                <c:pt idx="158">
                  <c:v>4.7599</c:v>
                </c:pt>
                <c:pt idx="159">
                  <c:v>4.0834999999999999</c:v>
                </c:pt>
                <c:pt idx="160">
                  <c:v>2.7353999999999998</c:v>
                </c:pt>
                <c:pt idx="161">
                  <c:v>7.2869000000000002</c:v>
                </c:pt>
                <c:pt idx="162">
                  <c:v>4.1685999999999854</c:v>
                </c:pt>
                <c:pt idx="163">
                  <c:v>3.6890999999999998</c:v>
                </c:pt>
                <c:pt idx="164">
                  <c:v>3.6779999999999999</c:v>
                </c:pt>
                <c:pt idx="165">
                  <c:v>3.1939000000000002</c:v>
                </c:pt>
                <c:pt idx="166">
                  <c:v>3.2650000000000001</c:v>
                </c:pt>
                <c:pt idx="167">
                  <c:v>1.7430999999999901</c:v>
                </c:pt>
                <c:pt idx="168">
                  <c:v>2.0207999999999999</c:v>
                </c:pt>
                <c:pt idx="169">
                  <c:v>1.3786</c:v>
                </c:pt>
                <c:pt idx="170">
                  <c:v>6.4648999999999974</c:v>
                </c:pt>
                <c:pt idx="171">
                  <c:v>5.1488999999999976</c:v>
                </c:pt>
                <c:pt idx="172">
                  <c:v>8.3861000000000008</c:v>
                </c:pt>
                <c:pt idx="173">
                  <c:v>2.0503999999999998</c:v>
                </c:pt>
                <c:pt idx="174">
                  <c:v>2.0188000000000001</c:v>
                </c:pt>
                <c:pt idx="175">
                  <c:v>3.2078000000000002</c:v>
                </c:pt>
                <c:pt idx="176">
                  <c:v>1.6324000000000001</c:v>
                </c:pt>
                <c:pt idx="177">
                  <c:v>10.7646</c:v>
                </c:pt>
                <c:pt idx="178">
                  <c:v>5.7580999999999998</c:v>
                </c:pt>
                <c:pt idx="179">
                  <c:v>2.3338000000000001</c:v>
                </c:pt>
                <c:pt idx="180">
                  <c:v>5.1199999999999974</c:v>
                </c:pt>
                <c:pt idx="181">
                  <c:v>5.5911999999999997</c:v>
                </c:pt>
                <c:pt idx="182">
                  <c:v>6.4277999999999986</c:v>
                </c:pt>
                <c:pt idx="183">
                  <c:v>3.5975000000000001</c:v>
                </c:pt>
                <c:pt idx="184">
                  <c:v>4.5701999999999998</c:v>
                </c:pt>
                <c:pt idx="185">
                  <c:v>4.2911999999999999</c:v>
                </c:pt>
                <c:pt idx="186">
                  <c:v>2.7040999999999999</c:v>
                </c:pt>
                <c:pt idx="187">
                  <c:v>4.1544999999999854</c:v>
                </c:pt>
                <c:pt idx="188">
                  <c:v>8.2393000000000001</c:v>
                </c:pt>
                <c:pt idx="189">
                  <c:v>2.109</c:v>
                </c:pt>
                <c:pt idx="190">
                  <c:v>1.7964</c:v>
                </c:pt>
                <c:pt idx="191">
                  <c:v>2.2574999999999998</c:v>
                </c:pt>
                <c:pt idx="192">
                  <c:v>1.9057900000000001</c:v>
                </c:pt>
                <c:pt idx="193">
                  <c:v>2.8012999999999981</c:v>
                </c:pt>
                <c:pt idx="194">
                  <c:v>5.2527900000000001</c:v>
                </c:pt>
                <c:pt idx="195">
                  <c:v>3.6041599999999998</c:v>
                </c:pt>
                <c:pt idx="196">
                  <c:v>4.7048199999999856</c:v>
                </c:pt>
                <c:pt idx="197">
                  <c:v>5.7622600000000004</c:v>
                </c:pt>
                <c:pt idx="198">
                  <c:v>3.9437700000000002</c:v>
                </c:pt>
                <c:pt idx="199">
                  <c:v>6.6669299999999847</c:v>
                </c:pt>
                <c:pt idx="200">
                  <c:v>5.1791999999999998</c:v>
                </c:pt>
              </c:numCache>
            </c:numRef>
          </c:xVal>
          <c:yVal>
            <c:numRef>
              <c:f>Data!$I$419:$I$619</c:f>
              <c:numCache>
                <c:formatCode>General</c:formatCode>
                <c:ptCount val="201"/>
                <c:pt idx="0">
                  <c:v>1.8069</c:v>
                </c:pt>
                <c:pt idx="1">
                  <c:v>5.4691999999999998</c:v>
                </c:pt>
                <c:pt idx="2">
                  <c:v>2.2650000000000001</c:v>
                </c:pt>
                <c:pt idx="3">
                  <c:v>1.8548</c:v>
                </c:pt>
                <c:pt idx="4">
                  <c:v>3.5217999999999998</c:v>
                </c:pt>
                <c:pt idx="5">
                  <c:v>1.6505000000000001</c:v>
                </c:pt>
                <c:pt idx="6">
                  <c:v>4.1798999999999999</c:v>
                </c:pt>
                <c:pt idx="7">
                  <c:v>3.316499999999972</c:v>
                </c:pt>
                <c:pt idx="8">
                  <c:v>4.1773999999999996</c:v>
                </c:pt>
                <c:pt idx="9">
                  <c:v>2.3988999999999971</c:v>
                </c:pt>
                <c:pt idx="10">
                  <c:v>3.6598000000000002</c:v>
                </c:pt>
                <c:pt idx="11">
                  <c:v>2.9267999999999992</c:v>
                </c:pt>
                <c:pt idx="12">
                  <c:v>4.2652999999999999</c:v>
                </c:pt>
                <c:pt idx="13">
                  <c:v>4.0948999999999964</c:v>
                </c:pt>
                <c:pt idx="14">
                  <c:v>2.0949</c:v>
                </c:pt>
                <c:pt idx="15">
                  <c:v>2.8691</c:v>
                </c:pt>
                <c:pt idx="16">
                  <c:v>3.7827999999999999</c:v>
                </c:pt>
                <c:pt idx="17">
                  <c:v>6.9429999999999996</c:v>
                </c:pt>
                <c:pt idx="18">
                  <c:v>3.3875000000000002</c:v>
                </c:pt>
                <c:pt idx="19">
                  <c:v>1.9610000000000001</c:v>
                </c:pt>
                <c:pt idx="20">
                  <c:v>11.9473</c:v>
                </c:pt>
                <c:pt idx="21">
                  <c:v>7.8573999999999966</c:v>
                </c:pt>
                <c:pt idx="22">
                  <c:v>7.3494000000000002</c:v>
                </c:pt>
                <c:pt idx="23">
                  <c:v>2.1778</c:v>
                </c:pt>
                <c:pt idx="24">
                  <c:v>0.479300000000002</c:v>
                </c:pt>
                <c:pt idx="25">
                  <c:v>3.1480000000000001</c:v>
                </c:pt>
                <c:pt idx="26">
                  <c:v>3.7442000000000002</c:v>
                </c:pt>
                <c:pt idx="27">
                  <c:v>3.6013000000000002</c:v>
                </c:pt>
                <c:pt idx="28">
                  <c:v>1.4591999999999881</c:v>
                </c:pt>
                <c:pt idx="29">
                  <c:v>4.4695</c:v>
                </c:pt>
                <c:pt idx="30">
                  <c:v>2.5152000000000001</c:v>
                </c:pt>
                <c:pt idx="31">
                  <c:v>2.8301999999999992</c:v>
                </c:pt>
                <c:pt idx="32">
                  <c:v>1.6489</c:v>
                </c:pt>
                <c:pt idx="33">
                  <c:v>1.449599999999986</c:v>
                </c:pt>
                <c:pt idx="34">
                  <c:v>-0.387600000000002</c:v>
                </c:pt>
                <c:pt idx="35">
                  <c:v>3.9401999999999999</c:v>
                </c:pt>
                <c:pt idx="36">
                  <c:v>3.6109</c:v>
                </c:pt>
                <c:pt idx="37">
                  <c:v>5.2518000000000002</c:v>
                </c:pt>
                <c:pt idx="38">
                  <c:v>5.4668000000000001</c:v>
                </c:pt>
                <c:pt idx="39">
                  <c:v>9.74</c:v>
                </c:pt>
                <c:pt idx="40">
                  <c:v>5.3960999999999997</c:v>
                </c:pt>
                <c:pt idx="41">
                  <c:v>3.073</c:v>
                </c:pt>
                <c:pt idx="42">
                  <c:v>1.9432</c:v>
                </c:pt>
                <c:pt idx="43">
                  <c:v>5.4011000000000013</c:v>
                </c:pt>
                <c:pt idx="44">
                  <c:v>3.3827999999999991</c:v>
                </c:pt>
                <c:pt idx="45">
                  <c:v>1.925</c:v>
                </c:pt>
                <c:pt idx="46">
                  <c:v>-2.2955000000000001</c:v>
                </c:pt>
                <c:pt idx="47">
                  <c:v>5.8818000000000001</c:v>
                </c:pt>
                <c:pt idx="48">
                  <c:v>3.8687299999999998</c:v>
                </c:pt>
                <c:pt idx="49">
                  <c:v>3.2258900000000001</c:v>
                </c:pt>
                <c:pt idx="50">
                  <c:v>1.9648099999999999</c:v>
                </c:pt>
                <c:pt idx="51">
                  <c:v>6.5735599999999996</c:v>
                </c:pt>
                <c:pt idx="52">
                  <c:v>4.2584</c:v>
                </c:pt>
                <c:pt idx="53">
                  <c:v>5.6787299999999998</c:v>
                </c:pt>
                <c:pt idx="54">
                  <c:v>1.97489</c:v>
                </c:pt>
                <c:pt idx="55">
                  <c:v>6.0694400000000002</c:v>
                </c:pt>
                <c:pt idx="56">
                  <c:v>4.9175000000000004</c:v>
                </c:pt>
                <c:pt idx="57">
                  <c:v>4.0538299999999996</c:v>
                </c:pt>
                <c:pt idx="58">
                  <c:v>2.1672400000000001</c:v>
                </c:pt>
                <c:pt idx="59">
                  <c:v>5.1234999999999946</c:v>
                </c:pt>
                <c:pt idx="60">
                  <c:v>1.8169999999999911</c:v>
                </c:pt>
                <c:pt idx="61">
                  <c:v>4.2447600000000003</c:v>
                </c:pt>
                <c:pt idx="62">
                  <c:v>2.6152000000000002</c:v>
                </c:pt>
                <c:pt idx="63">
                  <c:v>4.4461899999999996</c:v>
                </c:pt>
                <c:pt idx="64">
                  <c:v>2.1765099999999982</c:v>
                </c:pt>
                <c:pt idx="65">
                  <c:v>8.07836</c:v>
                </c:pt>
                <c:pt idx="66">
                  <c:v>2.2928000000000002</c:v>
                </c:pt>
                <c:pt idx="67">
                  <c:v>3.5598999999999972</c:v>
                </c:pt>
                <c:pt idx="68">
                  <c:v>1.7824599999999999</c:v>
                </c:pt>
                <c:pt idx="69">
                  <c:v>3.2907500000000001</c:v>
                </c:pt>
                <c:pt idx="70">
                  <c:v>6.1795400000000003</c:v>
                </c:pt>
                <c:pt idx="71">
                  <c:v>1.5268900000000001</c:v>
                </c:pt>
                <c:pt idx="72">
                  <c:v>5.5948599999999846</c:v>
                </c:pt>
                <c:pt idx="73">
                  <c:v>2.5116999999999972</c:v>
                </c:pt>
                <c:pt idx="74">
                  <c:v>3.6175600000000001</c:v>
                </c:pt>
                <c:pt idx="75">
                  <c:v>2.57273</c:v>
                </c:pt>
                <c:pt idx="76">
                  <c:v>0.837090000000004</c:v>
                </c:pt>
                <c:pt idx="77">
                  <c:v>2.34416</c:v>
                </c:pt>
                <c:pt idx="78">
                  <c:v>-0.75104000000000404</c:v>
                </c:pt>
                <c:pt idx="79">
                  <c:v>5.1295199999999754</c:v>
                </c:pt>
                <c:pt idx="80">
                  <c:v>2.8650099999999972</c:v>
                </c:pt>
                <c:pt idx="81">
                  <c:v>5.6774099999999956</c:v>
                </c:pt>
                <c:pt idx="82">
                  <c:v>1.0317099999999899</c:v>
                </c:pt>
                <c:pt idx="83">
                  <c:v>3.5941900000000002</c:v>
                </c:pt>
                <c:pt idx="84">
                  <c:v>5.6577099999999847</c:v>
                </c:pt>
                <c:pt idx="85">
                  <c:v>6.0271699999999946</c:v>
                </c:pt>
                <c:pt idx="86">
                  <c:v>5.4162100000000004</c:v>
                </c:pt>
                <c:pt idx="87">
                  <c:v>3.5655100000000002</c:v>
                </c:pt>
                <c:pt idx="88">
                  <c:v>4.4846300000000001</c:v>
                </c:pt>
                <c:pt idx="89">
                  <c:v>5.4529299999999976</c:v>
                </c:pt>
                <c:pt idx="90">
                  <c:v>7.3346499999999999</c:v>
                </c:pt>
                <c:pt idx="91">
                  <c:v>4.5546799999999976</c:v>
                </c:pt>
                <c:pt idx="92">
                  <c:v>4.6807299999999996</c:v>
                </c:pt>
                <c:pt idx="93">
                  <c:v>1.9400999999999999</c:v>
                </c:pt>
                <c:pt idx="94">
                  <c:v>7.1790599999999998</c:v>
                </c:pt>
                <c:pt idx="95">
                  <c:v>1.6176900000000001</c:v>
                </c:pt>
                <c:pt idx="96">
                  <c:v>2.1311</c:v>
                </c:pt>
                <c:pt idx="97">
                  <c:v>1.6662999999999999</c:v>
                </c:pt>
                <c:pt idx="98">
                  <c:v>7.4831000000000003</c:v>
                </c:pt>
                <c:pt idx="99">
                  <c:v>2.7763</c:v>
                </c:pt>
                <c:pt idx="100">
                  <c:v>3.6879000000000159</c:v>
                </c:pt>
                <c:pt idx="101">
                  <c:v>6.4320000000000004</c:v>
                </c:pt>
                <c:pt idx="102">
                  <c:v>2.8923999999999972</c:v>
                </c:pt>
                <c:pt idx="103">
                  <c:v>7.8757999999999999</c:v>
                </c:pt>
                <c:pt idx="104">
                  <c:v>7.4081000000000001</c:v>
                </c:pt>
                <c:pt idx="105">
                  <c:v>7.8348999999999966</c:v>
                </c:pt>
                <c:pt idx="106">
                  <c:v>3.9965999999999982</c:v>
                </c:pt>
                <c:pt idx="107">
                  <c:v>3.4064999999999972</c:v>
                </c:pt>
                <c:pt idx="108">
                  <c:v>-0.43759999999999999</c:v>
                </c:pt>
                <c:pt idx="109">
                  <c:v>2.0459000000000001</c:v>
                </c:pt>
                <c:pt idx="110">
                  <c:v>1.1904999999999999</c:v>
                </c:pt>
                <c:pt idx="111">
                  <c:v>5.532</c:v>
                </c:pt>
                <c:pt idx="112">
                  <c:v>2.9819</c:v>
                </c:pt>
                <c:pt idx="113">
                  <c:v>7.1827999999999976</c:v>
                </c:pt>
                <c:pt idx="114">
                  <c:v>6.6144999999999756</c:v>
                </c:pt>
                <c:pt idx="115">
                  <c:v>2.4474999999999998</c:v>
                </c:pt>
                <c:pt idx="116">
                  <c:v>5.1603999999999974</c:v>
                </c:pt>
                <c:pt idx="117">
                  <c:v>3.0028999999999981</c:v>
                </c:pt>
                <c:pt idx="118">
                  <c:v>5.5305</c:v>
                </c:pt>
                <c:pt idx="119">
                  <c:v>6.7305999999999999</c:v>
                </c:pt>
                <c:pt idx="120">
                  <c:v>2.6967999999999992</c:v>
                </c:pt>
                <c:pt idx="121">
                  <c:v>2.4474</c:v>
                </c:pt>
                <c:pt idx="122">
                  <c:v>5.0972999999999997</c:v>
                </c:pt>
                <c:pt idx="123">
                  <c:v>3.1852</c:v>
                </c:pt>
                <c:pt idx="124">
                  <c:v>3.1095999999999999</c:v>
                </c:pt>
                <c:pt idx="125">
                  <c:v>2.316699999999972</c:v>
                </c:pt>
                <c:pt idx="126">
                  <c:v>4.9028999999999998</c:v>
                </c:pt>
                <c:pt idx="127">
                  <c:v>4.0086000000000004</c:v>
                </c:pt>
                <c:pt idx="128">
                  <c:v>2.5923999999999991</c:v>
                </c:pt>
                <c:pt idx="129">
                  <c:v>2.7795999999999998</c:v>
                </c:pt>
                <c:pt idx="130">
                  <c:v>2.3803000000000001</c:v>
                </c:pt>
                <c:pt idx="131">
                  <c:v>3.9105999999999992</c:v>
                </c:pt>
                <c:pt idx="132">
                  <c:v>1.456799999999989</c:v>
                </c:pt>
                <c:pt idx="133">
                  <c:v>2.2638000000000011</c:v>
                </c:pt>
                <c:pt idx="134">
                  <c:v>1.001299999999989</c:v>
                </c:pt>
                <c:pt idx="135">
                  <c:v>4.9933000000000014</c:v>
                </c:pt>
                <c:pt idx="136">
                  <c:v>1.9996</c:v>
                </c:pt>
                <c:pt idx="137">
                  <c:v>4.5011999999999999</c:v>
                </c:pt>
                <c:pt idx="138">
                  <c:v>3.1795</c:v>
                </c:pt>
                <c:pt idx="139">
                  <c:v>13.9939</c:v>
                </c:pt>
                <c:pt idx="140">
                  <c:v>6.8964999999999996</c:v>
                </c:pt>
                <c:pt idx="141">
                  <c:v>5.9828999999999999</c:v>
                </c:pt>
                <c:pt idx="142">
                  <c:v>5.1223999999999954</c:v>
                </c:pt>
                <c:pt idx="143">
                  <c:v>6.0470999999999986</c:v>
                </c:pt>
                <c:pt idx="144">
                  <c:v>3.3492899999999981</c:v>
                </c:pt>
                <c:pt idx="145">
                  <c:v>4.7275199999999646</c:v>
                </c:pt>
                <c:pt idx="146">
                  <c:v>3.1758199999999972</c:v>
                </c:pt>
                <c:pt idx="147">
                  <c:v>6.6233599999999893</c:v>
                </c:pt>
                <c:pt idx="148">
                  <c:v>2.412809999999963</c:v>
                </c:pt>
                <c:pt idx="149">
                  <c:v>4.4852100000000004</c:v>
                </c:pt>
                <c:pt idx="150">
                  <c:v>1.7779899999999931</c:v>
                </c:pt>
                <c:pt idx="151">
                  <c:v>5.4283900000000003</c:v>
                </c:pt>
                <c:pt idx="152">
                  <c:v>2.4385699999999981</c:v>
                </c:pt>
                <c:pt idx="153">
                  <c:v>5.6005599999999847</c:v>
                </c:pt>
                <c:pt idx="154">
                  <c:v>3.0573000000000001</c:v>
                </c:pt>
                <c:pt idx="155">
                  <c:v>-0.43060999999999999</c:v>
                </c:pt>
                <c:pt idx="156">
                  <c:v>4.2691400000000002</c:v>
                </c:pt>
                <c:pt idx="157">
                  <c:v>2.50671</c:v>
                </c:pt>
                <c:pt idx="158">
                  <c:v>1.9132100000000001</c:v>
                </c:pt>
                <c:pt idx="159">
                  <c:v>3.3180699999999721</c:v>
                </c:pt>
                <c:pt idx="160">
                  <c:v>3.2983799999999999</c:v>
                </c:pt>
                <c:pt idx="161">
                  <c:v>-1.6037299999999901</c:v>
                </c:pt>
                <c:pt idx="162">
                  <c:v>9.3965800000000268</c:v>
                </c:pt>
                <c:pt idx="163">
                  <c:v>7.5586200000000003</c:v>
                </c:pt>
                <c:pt idx="164">
                  <c:v>4.93018</c:v>
                </c:pt>
                <c:pt idx="165">
                  <c:v>1.56456</c:v>
                </c:pt>
                <c:pt idx="166">
                  <c:v>5.5444899999999846</c:v>
                </c:pt>
                <c:pt idx="167">
                  <c:v>2.8134099999999771</c:v>
                </c:pt>
                <c:pt idx="168">
                  <c:v>4.5048399999999864</c:v>
                </c:pt>
                <c:pt idx="169">
                  <c:v>4.7105499999999996</c:v>
                </c:pt>
                <c:pt idx="170">
                  <c:v>2.7652800000000002</c:v>
                </c:pt>
                <c:pt idx="171">
                  <c:v>4.2066400000000419</c:v>
                </c:pt>
                <c:pt idx="172">
                  <c:v>4.9708700000000023</c:v>
                </c:pt>
                <c:pt idx="173">
                  <c:v>3.3081700000000001</c:v>
                </c:pt>
                <c:pt idx="174">
                  <c:v>2.0830099999999998</c:v>
                </c:pt>
                <c:pt idx="175">
                  <c:v>3.0001699999999998</c:v>
                </c:pt>
                <c:pt idx="176">
                  <c:v>1.4681500000000001</c:v>
                </c:pt>
                <c:pt idx="177">
                  <c:v>8.0820300000000067</c:v>
                </c:pt>
                <c:pt idx="178">
                  <c:v>3.80803</c:v>
                </c:pt>
                <c:pt idx="179">
                  <c:v>7.5303300000000002</c:v>
                </c:pt>
                <c:pt idx="180">
                  <c:v>6.2642899999999946</c:v>
                </c:pt>
                <c:pt idx="181">
                  <c:v>6.4037300000000004</c:v>
                </c:pt>
                <c:pt idx="182">
                  <c:v>1.2928999999999911</c:v>
                </c:pt>
                <c:pt idx="183">
                  <c:v>5.07918</c:v>
                </c:pt>
                <c:pt idx="184">
                  <c:v>0.52517999999999998</c:v>
                </c:pt>
                <c:pt idx="185">
                  <c:v>6.4411300000000002</c:v>
                </c:pt>
                <c:pt idx="186">
                  <c:v>4.1823399999999946</c:v>
                </c:pt>
                <c:pt idx="187">
                  <c:v>4.4716900000000521</c:v>
                </c:pt>
                <c:pt idx="188">
                  <c:v>2.19957</c:v>
                </c:pt>
                <c:pt idx="189">
                  <c:v>2.4079100000000002</c:v>
                </c:pt>
                <c:pt idx="190">
                  <c:v>2.512609999999972</c:v>
                </c:pt>
                <c:pt idx="191">
                  <c:v>3.570049999999978</c:v>
                </c:pt>
                <c:pt idx="192">
                  <c:v>3.2143799999999998</c:v>
                </c:pt>
                <c:pt idx="193">
                  <c:v>2.2285800000000209</c:v>
                </c:pt>
                <c:pt idx="194">
                  <c:v>1.6187100000000001</c:v>
                </c:pt>
                <c:pt idx="195">
                  <c:v>3.9272</c:v>
                </c:pt>
                <c:pt idx="196">
                  <c:v>1.52068</c:v>
                </c:pt>
                <c:pt idx="197">
                  <c:v>2.6752099999999972</c:v>
                </c:pt>
                <c:pt idx="198">
                  <c:v>0.93066000000000004</c:v>
                </c:pt>
                <c:pt idx="199">
                  <c:v>4.8906999999999998</c:v>
                </c:pt>
                <c:pt idx="200">
                  <c:v>3.1038700000000001</c:v>
                </c:pt>
              </c:numCache>
            </c:numRef>
          </c:yVal>
          <c:smooth val="0"/>
        </c:ser>
        <c:dLbls>
          <c:showLegendKey val="0"/>
          <c:showVal val="0"/>
          <c:showCatName val="0"/>
          <c:showSerName val="0"/>
          <c:showPercent val="0"/>
          <c:showBubbleSize val="0"/>
        </c:dLbls>
        <c:axId val="37720832"/>
        <c:axId val="37723136"/>
      </c:scatterChart>
      <c:valAx>
        <c:axId val="37720832"/>
        <c:scaling>
          <c:orientation val="minMax"/>
          <c:max val="40"/>
        </c:scaling>
        <c:delete val="0"/>
        <c:axPos val="b"/>
        <c:title>
          <c:tx>
            <c:rich>
              <a:bodyPr/>
              <a:lstStyle/>
              <a:p>
                <a:pPr>
                  <a:defRPr sz="600" b="1" i="0" u="none" strike="noStrike" baseline="0">
                    <a:solidFill>
                      <a:srgbClr val="000000"/>
                    </a:solidFill>
                    <a:latin typeface="Arial"/>
                    <a:ea typeface="Arial"/>
                    <a:cs typeface="Arial"/>
                  </a:defRPr>
                </a:pPr>
                <a:r>
                  <a:rPr lang="en-US"/>
                  <a:t>Standard Deviation of Rate of Growth (Risk)</a:t>
                </a:r>
              </a:p>
            </c:rich>
          </c:tx>
          <c:layout>
            <c:manualLayout>
              <c:xMode val="edge"/>
              <c:yMode val="edge"/>
              <c:x val="0.370699311936659"/>
              <c:y val="0.94435363462778898"/>
            </c:manualLayout>
          </c:layout>
          <c:overlay val="0"/>
          <c:spPr>
            <a:noFill/>
            <a:ln w="25398">
              <a:noFill/>
            </a:ln>
          </c:spPr>
        </c:title>
        <c:numFmt formatCode="General" sourceLinked="1"/>
        <c:majorTickMark val="out"/>
        <c:minorTickMark val="none"/>
        <c:tickLblPos val="nextTo"/>
        <c:spPr>
          <a:ln w="1913">
            <a:solidFill>
              <a:srgbClr val="000000"/>
            </a:solidFill>
            <a:prstDash val="solid"/>
          </a:ln>
        </c:spPr>
        <c:txPr>
          <a:bodyPr rot="0" vert="horz"/>
          <a:lstStyle/>
          <a:p>
            <a:pPr>
              <a:defRPr sz="605" b="0" i="0" u="none" strike="noStrike" baseline="0">
                <a:solidFill>
                  <a:srgbClr val="000000"/>
                </a:solidFill>
                <a:latin typeface="Arial"/>
                <a:ea typeface="Arial"/>
                <a:cs typeface="Arial"/>
              </a:defRPr>
            </a:pPr>
            <a:endParaRPr lang="en-US"/>
          </a:p>
        </c:txPr>
        <c:crossAx val="37723136"/>
        <c:crosses val="autoZero"/>
        <c:crossBetween val="midCat"/>
      </c:valAx>
      <c:valAx>
        <c:axId val="37723136"/>
        <c:scaling>
          <c:orientation val="minMax"/>
          <c:max val="20"/>
          <c:min val="-10"/>
        </c:scaling>
        <c:delete val="0"/>
        <c:axPos val="l"/>
        <c:majorGridlines>
          <c:spPr>
            <a:ln w="1913">
              <a:solidFill>
                <a:srgbClr val="000000"/>
              </a:solidFill>
              <a:prstDash val="solid"/>
            </a:ln>
          </c:spPr>
        </c:majorGridlines>
        <c:title>
          <c:tx>
            <c:rich>
              <a:bodyPr/>
              <a:lstStyle/>
              <a:p>
                <a:pPr>
                  <a:defRPr sz="600" b="1" i="0" u="none" strike="noStrike" baseline="0">
                    <a:solidFill>
                      <a:srgbClr val="000000"/>
                    </a:solidFill>
                    <a:latin typeface="Arial"/>
                    <a:ea typeface="Arial"/>
                    <a:cs typeface="Arial"/>
                  </a:defRPr>
                </a:pPr>
                <a:r>
                  <a:rPr lang="en-US"/>
                  <a:t>Mean Rate of Growth (Return)</a:t>
                </a:r>
              </a:p>
            </c:rich>
          </c:tx>
          <c:layout>
            <c:manualLayout>
              <c:xMode val="edge"/>
              <c:yMode val="edge"/>
              <c:x val="1.22086687216046E-2"/>
              <c:y val="0.387888703693065"/>
            </c:manualLayout>
          </c:layout>
          <c:overlay val="0"/>
          <c:spPr>
            <a:noFill/>
            <a:ln w="25398">
              <a:noFill/>
            </a:ln>
          </c:spPr>
        </c:title>
        <c:numFmt formatCode="General" sourceLinked="1"/>
        <c:majorTickMark val="out"/>
        <c:minorTickMark val="none"/>
        <c:tickLblPos val="nextTo"/>
        <c:spPr>
          <a:ln w="1913">
            <a:solidFill>
              <a:srgbClr val="000000"/>
            </a:solidFill>
            <a:prstDash val="solid"/>
          </a:ln>
        </c:spPr>
        <c:txPr>
          <a:bodyPr rot="0" vert="horz"/>
          <a:lstStyle/>
          <a:p>
            <a:pPr>
              <a:defRPr sz="605" b="0" i="0" u="none" strike="noStrike" baseline="0">
                <a:solidFill>
                  <a:srgbClr val="000000"/>
                </a:solidFill>
                <a:latin typeface="Arial"/>
                <a:ea typeface="Arial"/>
                <a:cs typeface="Arial"/>
              </a:defRPr>
            </a:pPr>
            <a:endParaRPr lang="en-US"/>
          </a:p>
        </c:txPr>
        <c:crossAx val="37720832"/>
        <c:crosses val="autoZero"/>
        <c:crossBetween val="midCat"/>
      </c:valAx>
      <c:spPr>
        <a:noFill/>
        <a:ln w="25398">
          <a:noFill/>
        </a:ln>
      </c:spPr>
    </c:plotArea>
    <c:plotVisOnly val="1"/>
    <c:dispBlanksAs val="gap"/>
    <c:showDLblsOverMax val="0"/>
  </c:chart>
  <c:spPr>
    <a:noFill/>
    <a:ln>
      <a:noFill/>
    </a:ln>
  </c:spPr>
  <c:txPr>
    <a:bodyPr/>
    <a:lstStyle/>
    <a:p>
      <a:pPr>
        <a:defRPr sz="605" b="0" i="0" u="none" strike="noStrike" baseline="0">
          <a:solidFill>
            <a:srgbClr val="000000"/>
          </a:solidFill>
          <a:latin typeface="Arial"/>
          <a:ea typeface="Arial"/>
          <a:cs typeface="Arial"/>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7" b="1" i="0" u="none" strike="noStrike" baseline="0">
                <a:solidFill>
                  <a:srgbClr val="000000"/>
                </a:solidFill>
                <a:latin typeface="Arial"/>
                <a:ea typeface="Arial"/>
                <a:cs typeface="Arial"/>
              </a:defRPr>
            </a:pPr>
            <a:r>
              <a:rPr lang="en-US"/>
              <a:t>Figure B2: Convex Hulls for One-decade Data</a:t>
            </a:r>
          </a:p>
        </c:rich>
      </c:tx>
      <c:layout>
        <c:manualLayout>
          <c:xMode val="edge"/>
          <c:yMode val="edge"/>
          <c:x val="0.31076585576056698"/>
          <c:y val="1.96398222499416E-2"/>
        </c:manualLayout>
      </c:layout>
      <c:overlay val="0"/>
      <c:spPr>
        <a:noFill/>
        <a:ln w="25396">
          <a:noFill/>
        </a:ln>
      </c:spPr>
    </c:title>
    <c:autoTitleDeleted val="0"/>
    <c:plotArea>
      <c:layout>
        <c:manualLayout>
          <c:layoutTarget val="inner"/>
          <c:xMode val="edge"/>
          <c:yMode val="edge"/>
          <c:x val="7.2142064372918993E-2"/>
          <c:y val="0.122749590834697"/>
          <c:w val="0.89456159822419501"/>
          <c:h val="0.80523731587560898"/>
        </c:manualLayout>
      </c:layout>
      <c:scatterChart>
        <c:scatterStyle val="lineMarker"/>
        <c:varyColors val="0"/>
        <c:ser>
          <c:idx val="0"/>
          <c:order val="0"/>
          <c:tx>
            <c:v>Hull 1</c:v>
          </c:tx>
          <c:spPr>
            <a:ln w="21600">
              <a:noFill/>
            </a:ln>
          </c:spPr>
          <c:marker>
            <c:symbol val="diamond"/>
            <c:size val="5"/>
            <c:spPr>
              <a:solidFill>
                <a:srgbClr val="800000"/>
              </a:solidFill>
              <a:ln>
                <a:solidFill>
                  <a:srgbClr val="800000"/>
                </a:solidFill>
                <a:prstDash val="solid"/>
              </a:ln>
            </c:spPr>
          </c:marker>
          <c:xVal>
            <c:numRef>
              <c:f>OneDecadeHulls!$A$2:$A$12</c:f>
              <c:numCache>
                <c:formatCode>General</c:formatCode>
                <c:ptCount val="11"/>
                <c:pt idx="0">
                  <c:v>16.66379999999981</c:v>
                </c:pt>
                <c:pt idx="1">
                  <c:v>4.4294000000000002</c:v>
                </c:pt>
                <c:pt idx="2">
                  <c:v>1.513199999999989</c:v>
                </c:pt>
                <c:pt idx="3">
                  <c:v>1.1485000000000001</c:v>
                </c:pt>
                <c:pt idx="4">
                  <c:v>0.58809999999999996</c:v>
                </c:pt>
                <c:pt idx="5">
                  <c:v>0.758000000000004</c:v>
                </c:pt>
                <c:pt idx="6">
                  <c:v>1.275299999999989</c:v>
                </c:pt>
                <c:pt idx="7">
                  <c:v>2.1678999999999999</c:v>
                </c:pt>
                <c:pt idx="8">
                  <c:v>6.7236000000000002</c:v>
                </c:pt>
                <c:pt idx="9">
                  <c:v>21.469899999999889</c:v>
                </c:pt>
                <c:pt idx="10">
                  <c:v>29.043699999999809</c:v>
                </c:pt>
              </c:numCache>
            </c:numRef>
          </c:xVal>
          <c:yVal>
            <c:numRef>
              <c:f>OneDecadeHulls!$B$2:$B$12</c:f>
              <c:numCache>
                <c:formatCode>General</c:formatCode>
                <c:ptCount val="11"/>
                <c:pt idx="0">
                  <c:v>-9.1839000000000013</c:v>
                </c:pt>
                <c:pt idx="1">
                  <c:v>-5.5252999999999997</c:v>
                </c:pt>
                <c:pt idx="2">
                  <c:v>-0.40338000000000201</c:v>
                </c:pt>
                <c:pt idx="3">
                  <c:v>0.75460000000000604</c:v>
                </c:pt>
                <c:pt idx="4">
                  <c:v>4.3028999999999966</c:v>
                </c:pt>
                <c:pt idx="5">
                  <c:v>5.1982999999999997</c:v>
                </c:pt>
                <c:pt idx="6">
                  <c:v>7.8744299999999976</c:v>
                </c:pt>
                <c:pt idx="7">
                  <c:v>10.4712</c:v>
                </c:pt>
                <c:pt idx="8">
                  <c:v>15.228999999999999</c:v>
                </c:pt>
                <c:pt idx="9">
                  <c:v>21.391999999999999</c:v>
                </c:pt>
                <c:pt idx="10">
                  <c:v>21.925399999999769</c:v>
                </c:pt>
              </c:numCache>
            </c:numRef>
          </c:yVal>
          <c:smooth val="0"/>
        </c:ser>
        <c:ser>
          <c:idx val="1"/>
          <c:order val="1"/>
          <c:tx>
            <c:v>Hull 2</c:v>
          </c:tx>
          <c:spPr>
            <a:ln w="21600">
              <a:noFill/>
            </a:ln>
          </c:spPr>
          <c:marker>
            <c:symbol val="diamond"/>
            <c:size val="5"/>
            <c:spPr>
              <a:solidFill>
                <a:srgbClr val="FF0000"/>
              </a:solidFill>
              <a:ln>
                <a:solidFill>
                  <a:srgbClr val="FF0000"/>
                </a:solidFill>
                <a:prstDash val="solid"/>
              </a:ln>
            </c:spPr>
          </c:marker>
          <c:xVal>
            <c:numRef>
              <c:f>OneDecadeHulls!$A$13:$A$22</c:f>
              <c:numCache>
                <c:formatCode>General</c:formatCode>
                <c:ptCount val="10"/>
                <c:pt idx="0">
                  <c:v>8.7471999999999976</c:v>
                </c:pt>
                <c:pt idx="1">
                  <c:v>4.6523999999999957</c:v>
                </c:pt>
                <c:pt idx="2">
                  <c:v>2.0034000000000001</c:v>
                </c:pt>
                <c:pt idx="3">
                  <c:v>1.2807999999999899</c:v>
                </c:pt>
                <c:pt idx="4">
                  <c:v>0.66410000000000502</c:v>
                </c:pt>
                <c:pt idx="5">
                  <c:v>0.71830000000000005</c:v>
                </c:pt>
                <c:pt idx="6">
                  <c:v>0.91049999999999998</c:v>
                </c:pt>
                <c:pt idx="7">
                  <c:v>1.6902999999999999</c:v>
                </c:pt>
                <c:pt idx="8">
                  <c:v>2.4993999999999992</c:v>
                </c:pt>
                <c:pt idx="9">
                  <c:v>3.8422999999999972</c:v>
                </c:pt>
              </c:numCache>
            </c:numRef>
          </c:xVal>
          <c:yVal>
            <c:numRef>
              <c:f>OneDecadeHulls!$B$13:$B$22</c:f>
              <c:numCache>
                <c:formatCode>General</c:formatCode>
                <c:ptCount val="10"/>
                <c:pt idx="0">
                  <c:v>-4.1883999999999997</c:v>
                </c:pt>
                <c:pt idx="1">
                  <c:v>-3.2792699999999981</c:v>
                </c:pt>
                <c:pt idx="2">
                  <c:v>-0.96630000000000005</c:v>
                </c:pt>
                <c:pt idx="3">
                  <c:v>0.87120000000000097</c:v>
                </c:pt>
                <c:pt idx="4">
                  <c:v>4.1177299999999946</c:v>
                </c:pt>
                <c:pt idx="5">
                  <c:v>4.8014000000000001</c:v>
                </c:pt>
                <c:pt idx="6">
                  <c:v>5.5705</c:v>
                </c:pt>
                <c:pt idx="7">
                  <c:v>7.9132500000000006</c:v>
                </c:pt>
                <c:pt idx="8">
                  <c:v>10.130000000000001</c:v>
                </c:pt>
                <c:pt idx="9">
                  <c:v>10.9384</c:v>
                </c:pt>
              </c:numCache>
            </c:numRef>
          </c:yVal>
          <c:smooth val="0"/>
        </c:ser>
        <c:ser>
          <c:idx val="2"/>
          <c:order val="2"/>
          <c:tx>
            <c:v>Hull 3</c:v>
          </c:tx>
          <c:spPr>
            <a:ln w="21600">
              <a:noFill/>
            </a:ln>
          </c:spPr>
          <c:marker>
            <c:symbol val="diamond"/>
            <c:size val="5"/>
            <c:spPr>
              <a:solidFill>
                <a:srgbClr val="FF6600"/>
              </a:solidFill>
              <a:ln>
                <a:solidFill>
                  <a:srgbClr val="FF6600"/>
                </a:solidFill>
                <a:prstDash val="solid"/>
              </a:ln>
            </c:spPr>
          </c:marker>
          <c:xVal>
            <c:numRef>
              <c:f>OneDecadeHulls!$A$23:$A$31</c:f>
              <c:numCache>
                <c:formatCode>General</c:formatCode>
                <c:ptCount val="9"/>
                <c:pt idx="0">
                  <c:v>4.4157999999999999</c:v>
                </c:pt>
                <c:pt idx="1">
                  <c:v>1.1494</c:v>
                </c:pt>
                <c:pt idx="2">
                  <c:v>0.94490000000000096</c:v>
                </c:pt>
                <c:pt idx="3">
                  <c:v>0.80689999999999995</c:v>
                </c:pt>
                <c:pt idx="4">
                  <c:v>1.2342</c:v>
                </c:pt>
                <c:pt idx="5">
                  <c:v>1.6551</c:v>
                </c:pt>
                <c:pt idx="6">
                  <c:v>2.0167999999999981</c:v>
                </c:pt>
                <c:pt idx="7">
                  <c:v>5.3034999999999997</c:v>
                </c:pt>
                <c:pt idx="8">
                  <c:v>10.710900000000001</c:v>
                </c:pt>
              </c:numCache>
            </c:numRef>
          </c:xVal>
          <c:yVal>
            <c:numRef>
              <c:f>OneDecadeHulls!$B$23:$B$31</c:f>
              <c:numCache>
                <c:formatCode>General</c:formatCode>
                <c:ptCount val="9"/>
                <c:pt idx="0">
                  <c:v>-2.1541999999999999</c:v>
                </c:pt>
                <c:pt idx="1">
                  <c:v>1.611599999999989</c:v>
                </c:pt>
                <c:pt idx="2">
                  <c:v>3.0617999999999999</c:v>
                </c:pt>
                <c:pt idx="3">
                  <c:v>4.7919</c:v>
                </c:pt>
                <c:pt idx="4">
                  <c:v>6.2891599999999999</c:v>
                </c:pt>
                <c:pt idx="5">
                  <c:v>7.58765</c:v>
                </c:pt>
                <c:pt idx="6">
                  <c:v>8.6607000000000003</c:v>
                </c:pt>
                <c:pt idx="7">
                  <c:v>9.8767100000000028</c:v>
                </c:pt>
                <c:pt idx="8">
                  <c:v>10.407999999999999</c:v>
                </c:pt>
              </c:numCache>
            </c:numRef>
          </c:yVal>
          <c:smooth val="0"/>
        </c:ser>
        <c:ser>
          <c:idx val="3"/>
          <c:order val="3"/>
          <c:tx>
            <c:v>Hull 4</c:v>
          </c:tx>
          <c:spPr>
            <a:ln w="21600">
              <a:noFill/>
            </a:ln>
          </c:spPr>
          <c:marker>
            <c:symbol val="diamond"/>
            <c:size val="5"/>
            <c:spPr>
              <a:solidFill>
                <a:srgbClr val="FFCC00"/>
              </a:solidFill>
              <a:ln>
                <a:solidFill>
                  <a:srgbClr val="FFCC00"/>
                </a:solidFill>
                <a:prstDash val="solid"/>
              </a:ln>
            </c:spPr>
          </c:marker>
          <c:xVal>
            <c:numRef>
              <c:f>OneDecadeHulls!$A$32:$A$41</c:f>
              <c:numCache>
                <c:formatCode>General</c:formatCode>
                <c:ptCount val="10"/>
                <c:pt idx="0">
                  <c:v>6.3632999999999997</c:v>
                </c:pt>
                <c:pt idx="1">
                  <c:v>4.6447999999999956</c:v>
                </c:pt>
                <c:pt idx="2">
                  <c:v>1.474799999999989</c:v>
                </c:pt>
                <c:pt idx="3">
                  <c:v>1.0827</c:v>
                </c:pt>
                <c:pt idx="4">
                  <c:v>1.052</c:v>
                </c:pt>
                <c:pt idx="5">
                  <c:v>1.0103</c:v>
                </c:pt>
                <c:pt idx="6">
                  <c:v>1.013799999999986</c:v>
                </c:pt>
                <c:pt idx="7">
                  <c:v>1.8889</c:v>
                </c:pt>
                <c:pt idx="8">
                  <c:v>2.8365999999999971</c:v>
                </c:pt>
                <c:pt idx="9">
                  <c:v>3.9251999999999998</c:v>
                </c:pt>
              </c:numCache>
            </c:numRef>
          </c:xVal>
          <c:yVal>
            <c:numRef>
              <c:f>OneDecadeHulls!$B$32:$B$41</c:f>
              <c:numCache>
                <c:formatCode>General</c:formatCode>
                <c:ptCount val="10"/>
                <c:pt idx="0">
                  <c:v>-1.6581900000000001</c:v>
                </c:pt>
                <c:pt idx="1">
                  <c:v>-1.6214</c:v>
                </c:pt>
                <c:pt idx="2">
                  <c:v>1.4530999999999881</c:v>
                </c:pt>
                <c:pt idx="3">
                  <c:v>2.2686999999999999</c:v>
                </c:pt>
                <c:pt idx="4">
                  <c:v>2.4060000000000001</c:v>
                </c:pt>
                <c:pt idx="5">
                  <c:v>4.9279799999999856</c:v>
                </c:pt>
                <c:pt idx="6">
                  <c:v>5.2203999999999997</c:v>
                </c:pt>
                <c:pt idx="7">
                  <c:v>8.1748000000000012</c:v>
                </c:pt>
                <c:pt idx="8">
                  <c:v>8.9164500000000046</c:v>
                </c:pt>
                <c:pt idx="9">
                  <c:v>9.3500000000000068</c:v>
                </c:pt>
              </c:numCache>
            </c:numRef>
          </c:yVal>
          <c:smooth val="0"/>
        </c:ser>
        <c:ser>
          <c:idx val="4"/>
          <c:order val="4"/>
          <c:tx>
            <c:v>Hull 5</c:v>
          </c:tx>
          <c:spPr>
            <a:ln w="21600">
              <a:noFill/>
            </a:ln>
          </c:spPr>
          <c:marker>
            <c:symbol val="diamond"/>
            <c:size val="5"/>
            <c:spPr>
              <a:solidFill>
                <a:srgbClr val="FFFF00"/>
              </a:solidFill>
              <a:ln>
                <a:solidFill>
                  <a:srgbClr val="FFFF00"/>
                </a:solidFill>
                <a:prstDash val="solid"/>
              </a:ln>
            </c:spPr>
          </c:marker>
          <c:xVal>
            <c:numRef>
              <c:f>OneDecadeHulls!$A$42:$A$51</c:f>
              <c:numCache>
                <c:formatCode>General</c:formatCode>
                <c:ptCount val="10"/>
                <c:pt idx="0">
                  <c:v>5.5928000000000004</c:v>
                </c:pt>
                <c:pt idx="1">
                  <c:v>4.8733000000000004</c:v>
                </c:pt>
                <c:pt idx="2">
                  <c:v>2.3178999999999972</c:v>
                </c:pt>
                <c:pt idx="3">
                  <c:v>1.3753</c:v>
                </c:pt>
                <c:pt idx="4">
                  <c:v>1.1448</c:v>
                </c:pt>
                <c:pt idx="5">
                  <c:v>1.059699999999989</c:v>
                </c:pt>
                <c:pt idx="6">
                  <c:v>1.0626</c:v>
                </c:pt>
                <c:pt idx="7">
                  <c:v>1.3583000000000001</c:v>
                </c:pt>
                <c:pt idx="8">
                  <c:v>1.429199999999986</c:v>
                </c:pt>
                <c:pt idx="9">
                  <c:v>3.0322999999999971</c:v>
                </c:pt>
              </c:numCache>
            </c:numRef>
          </c:xVal>
          <c:yVal>
            <c:numRef>
              <c:f>OneDecadeHulls!$B$42:$B$51</c:f>
              <c:numCache>
                <c:formatCode>General</c:formatCode>
                <c:ptCount val="10"/>
                <c:pt idx="0">
                  <c:v>-1.595699999999989</c:v>
                </c:pt>
                <c:pt idx="1">
                  <c:v>-1.245199999999989</c:v>
                </c:pt>
                <c:pt idx="2">
                  <c:v>0.71018000000000003</c:v>
                </c:pt>
                <c:pt idx="3">
                  <c:v>1.8752</c:v>
                </c:pt>
                <c:pt idx="4">
                  <c:v>2.4777999999999998</c:v>
                </c:pt>
                <c:pt idx="5">
                  <c:v>2.9193999999999991</c:v>
                </c:pt>
                <c:pt idx="6">
                  <c:v>4.8049999999999846</c:v>
                </c:pt>
                <c:pt idx="7">
                  <c:v>6.2968000000000002</c:v>
                </c:pt>
                <c:pt idx="8">
                  <c:v>6.4928999999999997</c:v>
                </c:pt>
                <c:pt idx="9">
                  <c:v>8.9114000000000004</c:v>
                </c:pt>
              </c:numCache>
            </c:numRef>
          </c:yVal>
          <c:smooth val="0"/>
        </c:ser>
        <c:dLbls>
          <c:showLegendKey val="0"/>
          <c:showVal val="0"/>
          <c:showCatName val="0"/>
          <c:showSerName val="0"/>
          <c:showPercent val="0"/>
          <c:showBubbleSize val="0"/>
        </c:dLbls>
        <c:axId val="37710080"/>
        <c:axId val="37733120"/>
      </c:scatterChart>
      <c:valAx>
        <c:axId val="37710080"/>
        <c:scaling>
          <c:orientation val="minMax"/>
        </c:scaling>
        <c:delete val="0"/>
        <c:axPos val="b"/>
        <c:title>
          <c:tx>
            <c:rich>
              <a:bodyPr/>
              <a:lstStyle/>
              <a:p>
                <a:pPr>
                  <a:defRPr sz="755" b="1" i="0" u="none" strike="noStrike" baseline="0">
                    <a:solidFill>
                      <a:srgbClr val="000000"/>
                    </a:solidFill>
                    <a:latin typeface="Arial"/>
                    <a:ea typeface="Arial"/>
                    <a:cs typeface="Arial"/>
                  </a:defRPr>
                </a:pPr>
                <a:r>
                  <a:rPr lang="en-US"/>
                  <a:t>Standard Deviation of Rate of Growth (Risk)</a:t>
                </a:r>
              </a:p>
            </c:rich>
          </c:tx>
          <c:layout>
            <c:manualLayout>
              <c:xMode val="edge"/>
              <c:yMode val="edge"/>
              <c:x val="0.36403999251337399"/>
              <c:y val="0.944353490467157"/>
            </c:manualLayout>
          </c:layout>
          <c:overlay val="0"/>
          <c:spPr>
            <a:noFill/>
            <a:ln w="25396">
              <a:noFill/>
            </a:ln>
          </c:spPr>
        </c:title>
        <c:numFmt formatCode="General" sourceLinked="1"/>
        <c:majorTickMark val="out"/>
        <c:minorTickMark val="none"/>
        <c:tickLblPos val="nextTo"/>
        <c:spPr>
          <a:ln w="2400">
            <a:solidFill>
              <a:srgbClr val="000000"/>
            </a:solidFill>
            <a:prstDash val="solid"/>
          </a:ln>
        </c:spPr>
        <c:txPr>
          <a:bodyPr rot="0" vert="horz"/>
          <a:lstStyle/>
          <a:p>
            <a:pPr>
              <a:defRPr sz="755" b="0" i="0" u="none" strike="noStrike" baseline="0">
                <a:solidFill>
                  <a:srgbClr val="000000"/>
                </a:solidFill>
                <a:latin typeface="Arial"/>
                <a:ea typeface="Arial"/>
                <a:cs typeface="Arial"/>
              </a:defRPr>
            </a:pPr>
            <a:endParaRPr lang="en-US"/>
          </a:p>
        </c:txPr>
        <c:crossAx val="37733120"/>
        <c:crosses val="autoZero"/>
        <c:crossBetween val="midCat"/>
      </c:valAx>
      <c:valAx>
        <c:axId val="37733120"/>
        <c:scaling>
          <c:orientation val="minMax"/>
          <c:min val="-10"/>
        </c:scaling>
        <c:delete val="0"/>
        <c:axPos val="l"/>
        <c:majorGridlines>
          <c:spPr>
            <a:ln w="2400">
              <a:solidFill>
                <a:srgbClr val="000000"/>
              </a:solidFill>
              <a:prstDash val="solid"/>
            </a:ln>
          </c:spPr>
        </c:majorGridlines>
        <c:title>
          <c:tx>
            <c:rich>
              <a:bodyPr/>
              <a:lstStyle/>
              <a:p>
                <a:pPr>
                  <a:defRPr sz="755" b="1" i="0" u="none" strike="noStrike" baseline="0">
                    <a:solidFill>
                      <a:srgbClr val="000000"/>
                    </a:solidFill>
                    <a:latin typeface="Arial"/>
                    <a:ea typeface="Arial"/>
                    <a:cs typeface="Arial"/>
                  </a:defRPr>
                </a:pPr>
                <a:r>
                  <a:rPr lang="en-US"/>
                  <a:t>Mean Rate of Growth (Return)</a:t>
                </a:r>
              </a:p>
            </c:rich>
          </c:tx>
          <c:layout>
            <c:manualLayout>
              <c:xMode val="edge"/>
              <c:yMode val="edge"/>
              <c:x val="1.2208598303321499E-2"/>
              <c:y val="0.36661209428029601"/>
            </c:manualLayout>
          </c:layout>
          <c:overlay val="0"/>
          <c:spPr>
            <a:noFill/>
            <a:ln w="25396">
              <a:noFill/>
            </a:ln>
          </c:spPr>
        </c:title>
        <c:numFmt formatCode="General" sourceLinked="1"/>
        <c:majorTickMark val="out"/>
        <c:minorTickMark val="none"/>
        <c:tickLblPos val="nextTo"/>
        <c:spPr>
          <a:ln w="2400">
            <a:solidFill>
              <a:srgbClr val="000000"/>
            </a:solidFill>
            <a:prstDash val="solid"/>
          </a:ln>
        </c:spPr>
        <c:txPr>
          <a:bodyPr rot="0" vert="horz"/>
          <a:lstStyle/>
          <a:p>
            <a:pPr>
              <a:defRPr sz="755" b="0" i="0" u="none" strike="noStrike" baseline="0">
                <a:solidFill>
                  <a:srgbClr val="000000"/>
                </a:solidFill>
                <a:latin typeface="Arial"/>
                <a:ea typeface="Arial"/>
                <a:cs typeface="Arial"/>
              </a:defRPr>
            </a:pPr>
            <a:endParaRPr lang="en-US"/>
          </a:p>
        </c:txPr>
        <c:crossAx val="37710080"/>
        <c:crosses val="autoZero"/>
        <c:crossBetween val="midCat"/>
      </c:valAx>
      <c:spPr>
        <a:noFill/>
        <a:ln w="25396">
          <a:noFill/>
        </a:ln>
      </c:spPr>
    </c:plotArea>
    <c:legend>
      <c:legendPos val="r"/>
      <c:layout>
        <c:manualLayout>
          <c:xMode val="edge"/>
          <c:yMode val="edge"/>
          <c:x val="0.88679245940028695"/>
          <c:y val="0.73322418856059302"/>
          <c:w val="5.8823467962027101E-2"/>
          <c:h val="0.17348613601517801"/>
        </c:manualLayout>
      </c:layout>
      <c:overlay val="0"/>
      <c:spPr>
        <a:solidFill>
          <a:srgbClr val="FFFFFF"/>
        </a:solidFill>
        <a:ln w="19200">
          <a:noFill/>
        </a:ln>
      </c:spPr>
      <c:txPr>
        <a:bodyPr/>
        <a:lstStyle/>
        <a:p>
          <a:pPr>
            <a:defRPr sz="696" b="0"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755" b="0" i="0" u="none" strike="noStrike" baseline="0">
          <a:solidFill>
            <a:srgbClr val="000000"/>
          </a:solidFill>
          <a:latin typeface="Arial"/>
          <a:ea typeface="Arial"/>
          <a:cs typeface="Aria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695" b="1" i="0" u="none" strike="noStrike" baseline="0">
                <a:solidFill>
                  <a:srgbClr val="000000"/>
                </a:solidFill>
                <a:latin typeface="Arial"/>
                <a:ea typeface="Arial"/>
                <a:cs typeface="Arial"/>
              </a:defRPr>
            </a:pPr>
            <a:r>
              <a:rPr lang="en-US"/>
              <a:t>Figure B3: Convex Hulls for Two-decade Data</a:t>
            </a:r>
          </a:p>
        </c:rich>
      </c:tx>
      <c:layout>
        <c:manualLayout>
          <c:xMode val="edge"/>
          <c:yMode val="edge"/>
          <c:x val="0.30299674079201599"/>
          <c:y val="1.9639844484680102E-2"/>
        </c:manualLayout>
      </c:layout>
      <c:overlay val="0"/>
      <c:spPr>
        <a:noFill/>
        <a:ln w="24120">
          <a:noFill/>
        </a:ln>
      </c:spPr>
    </c:title>
    <c:autoTitleDeleted val="0"/>
    <c:plotArea>
      <c:layout>
        <c:manualLayout>
          <c:layoutTarget val="inner"/>
          <c:xMode val="edge"/>
          <c:yMode val="edge"/>
          <c:x val="6.7702552719200906E-2"/>
          <c:y val="0.122749590834697"/>
          <c:w val="0.88346281908989999"/>
          <c:h val="0.80523731587560898"/>
        </c:manualLayout>
      </c:layout>
      <c:scatterChart>
        <c:scatterStyle val="lineMarker"/>
        <c:varyColors val="0"/>
        <c:ser>
          <c:idx val="0"/>
          <c:order val="0"/>
          <c:tx>
            <c:v>Hull 1</c:v>
          </c:tx>
          <c:spPr>
            <a:ln w="16543">
              <a:noFill/>
            </a:ln>
          </c:spPr>
          <c:marker>
            <c:symbol val="diamond"/>
            <c:size val="3"/>
            <c:spPr>
              <a:solidFill>
                <a:srgbClr val="800000"/>
              </a:solidFill>
              <a:ln>
                <a:solidFill>
                  <a:srgbClr val="800000"/>
                </a:solidFill>
                <a:prstDash val="solid"/>
              </a:ln>
            </c:spPr>
          </c:marker>
          <c:xVal>
            <c:numRef>
              <c:f>TwoDecadeHulls!$A$2:$A$8</c:f>
              <c:numCache>
                <c:formatCode>General</c:formatCode>
                <c:ptCount val="7"/>
                <c:pt idx="0">
                  <c:v>5.0757000000000003</c:v>
                </c:pt>
                <c:pt idx="1">
                  <c:v>1.1378999999999899</c:v>
                </c:pt>
                <c:pt idx="2">
                  <c:v>1.1132</c:v>
                </c:pt>
                <c:pt idx="3">
                  <c:v>1.432899999999989</c:v>
                </c:pt>
                <c:pt idx="4">
                  <c:v>3.2275999999999998</c:v>
                </c:pt>
                <c:pt idx="5">
                  <c:v>6.4088000000000003</c:v>
                </c:pt>
                <c:pt idx="6">
                  <c:v>22.946000000000002</c:v>
                </c:pt>
              </c:numCache>
            </c:numRef>
          </c:xVal>
          <c:yVal>
            <c:numRef>
              <c:f>TwoDecadeHulls!$B$2:$B$8</c:f>
              <c:numCache>
                <c:formatCode>General</c:formatCode>
                <c:ptCount val="7"/>
                <c:pt idx="0">
                  <c:v>-2.2955000000000001</c:v>
                </c:pt>
                <c:pt idx="1">
                  <c:v>1.9400999999999999</c:v>
                </c:pt>
                <c:pt idx="2">
                  <c:v>4.2652999999999999</c:v>
                </c:pt>
                <c:pt idx="3">
                  <c:v>5.4283900000000003</c:v>
                </c:pt>
                <c:pt idx="4">
                  <c:v>9.74</c:v>
                </c:pt>
                <c:pt idx="5">
                  <c:v>11.9473</c:v>
                </c:pt>
                <c:pt idx="6">
                  <c:v>13.9939</c:v>
                </c:pt>
              </c:numCache>
            </c:numRef>
          </c:yVal>
          <c:smooth val="0"/>
        </c:ser>
        <c:ser>
          <c:idx val="1"/>
          <c:order val="1"/>
          <c:tx>
            <c:v>Hull 2</c:v>
          </c:tx>
          <c:spPr>
            <a:ln w="16543">
              <a:noFill/>
            </a:ln>
          </c:spPr>
          <c:marker>
            <c:symbol val="diamond"/>
            <c:size val="3"/>
            <c:spPr>
              <a:solidFill>
                <a:srgbClr val="FF0000"/>
              </a:solidFill>
              <a:ln>
                <a:solidFill>
                  <a:srgbClr val="FF0000"/>
                </a:solidFill>
                <a:prstDash val="solid"/>
              </a:ln>
            </c:spPr>
          </c:marker>
          <c:xVal>
            <c:numRef>
              <c:f>TwoDecadeHulls!$A$9:$A$17</c:f>
              <c:numCache>
                <c:formatCode>General</c:formatCode>
                <c:ptCount val="9"/>
                <c:pt idx="0">
                  <c:v>7.2869000000000002</c:v>
                </c:pt>
                <c:pt idx="1">
                  <c:v>4.1686999999999976</c:v>
                </c:pt>
                <c:pt idx="2">
                  <c:v>1.6324000000000001</c:v>
                </c:pt>
                <c:pt idx="3">
                  <c:v>1.269799999999988</c:v>
                </c:pt>
                <c:pt idx="4">
                  <c:v>1.3247</c:v>
                </c:pt>
                <c:pt idx="5">
                  <c:v>1.3786</c:v>
                </c:pt>
                <c:pt idx="6">
                  <c:v>1.6301000000000001</c:v>
                </c:pt>
                <c:pt idx="7">
                  <c:v>2.3338000000000001</c:v>
                </c:pt>
                <c:pt idx="8">
                  <c:v>4.1685999999999854</c:v>
                </c:pt>
              </c:numCache>
            </c:numRef>
          </c:xVal>
          <c:yVal>
            <c:numRef>
              <c:f>TwoDecadeHulls!$B$9:$B$17</c:f>
              <c:numCache>
                <c:formatCode>General</c:formatCode>
                <c:ptCount val="9"/>
                <c:pt idx="0">
                  <c:v>-1.6037299999999901</c:v>
                </c:pt>
                <c:pt idx="1">
                  <c:v>-0.75104000000000404</c:v>
                </c:pt>
                <c:pt idx="2">
                  <c:v>1.4681500000000001</c:v>
                </c:pt>
                <c:pt idx="3">
                  <c:v>2.1765099999999982</c:v>
                </c:pt>
                <c:pt idx="4">
                  <c:v>4.5011999999999999</c:v>
                </c:pt>
                <c:pt idx="5">
                  <c:v>4.7105499999999996</c:v>
                </c:pt>
                <c:pt idx="6">
                  <c:v>5.5305</c:v>
                </c:pt>
                <c:pt idx="7">
                  <c:v>7.5303300000000002</c:v>
                </c:pt>
                <c:pt idx="8">
                  <c:v>9.3965800000000268</c:v>
                </c:pt>
              </c:numCache>
            </c:numRef>
          </c:yVal>
          <c:smooth val="0"/>
        </c:ser>
        <c:ser>
          <c:idx val="2"/>
          <c:order val="2"/>
          <c:tx>
            <c:v>Hull 3</c:v>
          </c:tx>
          <c:spPr>
            <a:ln w="16543">
              <a:noFill/>
            </a:ln>
          </c:spPr>
          <c:marker>
            <c:symbol val="diamond"/>
            <c:size val="3"/>
            <c:spPr>
              <a:solidFill>
                <a:srgbClr val="FF6600"/>
              </a:solidFill>
              <a:ln>
                <a:solidFill>
                  <a:srgbClr val="FF6600"/>
                </a:solidFill>
                <a:prstDash val="solid"/>
              </a:ln>
            </c:spPr>
          </c:marker>
          <c:xVal>
            <c:numRef>
              <c:f>TwoDecadeHulls!$A$18:$A$25</c:f>
              <c:numCache>
                <c:formatCode>General</c:formatCode>
                <c:ptCount val="8"/>
                <c:pt idx="0">
                  <c:v>5.3728999999999996</c:v>
                </c:pt>
                <c:pt idx="1">
                  <c:v>2.1562999999999981</c:v>
                </c:pt>
                <c:pt idx="2">
                  <c:v>1.4424999999999899</c:v>
                </c:pt>
                <c:pt idx="3">
                  <c:v>1.2769999999999899</c:v>
                </c:pt>
                <c:pt idx="4">
                  <c:v>1.6202000000000001</c:v>
                </c:pt>
                <c:pt idx="5">
                  <c:v>2.4826999999999981</c:v>
                </c:pt>
                <c:pt idx="6">
                  <c:v>3.8137999999999992</c:v>
                </c:pt>
                <c:pt idx="7">
                  <c:v>10.7646</c:v>
                </c:pt>
              </c:numCache>
            </c:numRef>
          </c:xVal>
          <c:yVal>
            <c:numRef>
              <c:f>TwoDecadeHulls!$B$18:$B$25</c:f>
              <c:numCache>
                <c:formatCode>General</c:formatCode>
                <c:ptCount val="8"/>
                <c:pt idx="0">
                  <c:v>-0.43060999999999999</c:v>
                </c:pt>
                <c:pt idx="1">
                  <c:v>1.5268900000000001</c:v>
                </c:pt>
                <c:pt idx="2">
                  <c:v>2.0949</c:v>
                </c:pt>
                <c:pt idx="3">
                  <c:v>2.3988999999999971</c:v>
                </c:pt>
                <c:pt idx="4">
                  <c:v>5.3960999999999997</c:v>
                </c:pt>
                <c:pt idx="5">
                  <c:v>7.1827999999999976</c:v>
                </c:pt>
                <c:pt idx="6">
                  <c:v>7.8757999999999999</c:v>
                </c:pt>
                <c:pt idx="7">
                  <c:v>8.0820300000000067</c:v>
                </c:pt>
              </c:numCache>
            </c:numRef>
          </c:yVal>
          <c:smooth val="0"/>
        </c:ser>
        <c:ser>
          <c:idx val="3"/>
          <c:order val="3"/>
          <c:tx>
            <c:v>Hull 4</c:v>
          </c:tx>
          <c:spPr>
            <a:ln w="16543">
              <a:noFill/>
            </a:ln>
          </c:spPr>
          <c:marker>
            <c:symbol val="diamond"/>
            <c:size val="3"/>
            <c:spPr>
              <a:solidFill>
                <a:srgbClr val="FFCC00"/>
              </a:solidFill>
              <a:ln>
                <a:solidFill>
                  <a:srgbClr val="FFCC00"/>
                </a:solidFill>
                <a:prstDash val="solid"/>
              </a:ln>
            </c:spPr>
          </c:marker>
          <c:xVal>
            <c:numRef>
              <c:f>TwoDecadeHulls!$A$26:$A$33</c:f>
              <c:numCache>
                <c:formatCode>General</c:formatCode>
                <c:ptCount val="8"/>
                <c:pt idx="0">
                  <c:v>4.5701999999999998</c:v>
                </c:pt>
                <c:pt idx="1">
                  <c:v>1.7269999999999901</c:v>
                </c:pt>
                <c:pt idx="2">
                  <c:v>1.5528</c:v>
                </c:pt>
                <c:pt idx="3">
                  <c:v>1.737899999999986</c:v>
                </c:pt>
                <c:pt idx="4">
                  <c:v>1.8903000000000001</c:v>
                </c:pt>
                <c:pt idx="5">
                  <c:v>2.3635999999999999</c:v>
                </c:pt>
                <c:pt idx="6">
                  <c:v>3.6890999999999998</c:v>
                </c:pt>
                <c:pt idx="7">
                  <c:v>4.3331</c:v>
                </c:pt>
              </c:numCache>
            </c:numRef>
          </c:xVal>
          <c:yVal>
            <c:numRef>
              <c:f>TwoDecadeHulls!$B$26:$B$33</c:f>
              <c:numCache>
                <c:formatCode>General</c:formatCode>
                <c:ptCount val="8"/>
                <c:pt idx="0">
                  <c:v>0.52517999999999998</c:v>
                </c:pt>
                <c:pt idx="1">
                  <c:v>1.9648099999999999</c:v>
                </c:pt>
                <c:pt idx="2">
                  <c:v>2.5923999999999991</c:v>
                </c:pt>
                <c:pt idx="3">
                  <c:v>4.4461899999999996</c:v>
                </c:pt>
                <c:pt idx="4">
                  <c:v>5.5948599999999846</c:v>
                </c:pt>
                <c:pt idx="5">
                  <c:v>6.7305999999999999</c:v>
                </c:pt>
                <c:pt idx="6">
                  <c:v>7.5586200000000003</c:v>
                </c:pt>
                <c:pt idx="7">
                  <c:v>7.8573999999999966</c:v>
                </c:pt>
              </c:numCache>
            </c:numRef>
          </c:yVal>
          <c:smooth val="0"/>
        </c:ser>
        <c:ser>
          <c:idx val="4"/>
          <c:order val="4"/>
          <c:tx>
            <c:v>Hull 5</c:v>
          </c:tx>
          <c:spPr>
            <a:ln w="16543">
              <a:noFill/>
            </a:ln>
          </c:spPr>
          <c:marker>
            <c:symbol val="diamond"/>
            <c:size val="3"/>
            <c:spPr>
              <a:solidFill>
                <a:srgbClr val="FFFF00"/>
              </a:solidFill>
              <a:ln>
                <a:solidFill>
                  <a:srgbClr val="FFFF00"/>
                </a:solidFill>
                <a:prstDash val="solid"/>
              </a:ln>
            </c:spPr>
          </c:marker>
          <c:xVal>
            <c:numRef>
              <c:f>TwoDecadeHulls!$A$34:$A$40</c:f>
              <c:numCache>
                <c:formatCode>General</c:formatCode>
                <c:ptCount val="7"/>
                <c:pt idx="0">
                  <c:v>3.9437700000000002</c:v>
                </c:pt>
                <c:pt idx="1">
                  <c:v>2.0188000000000001</c:v>
                </c:pt>
                <c:pt idx="2">
                  <c:v>1.7964</c:v>
                </c:pt>
                <c:pt idx="3">
                  <c:v>1.7430999999999901</c:v>
                </c:pt>
                <c:pt idx="4">
                  <c:v>1.9187000000000001</c:v>
                </c:pt>
                <c:pt idx="5">
                  <c:v>3.6410999999999998</c:v>
                </c:pt>
                <c:pt idx="6">
                  <c:v>3.8942999999999981</c:v>
                </c:pt>
              </c:numCache>
            </c:numRef>
          </c:xVal>
          <c:yVal>
            <c:numRef>
              <c:f>TwoDecadeHulls!$B$34:$B$40</c:f>
              <c:numCache>
                <c:formatCode>General</c:formatCode>
                <c:ptCount val="7"/>
                <c:pt idx="0">
                  <c:v>0.93066000000000004</c:v>
                </c:pt>
                <c:pt idx="1">
                  <c:v>2.0830099999999998</c:v>
                </c:pt>
                <c:pt idx="2">
                  <c:v>2.512609999999972</c:v>
                </c:pt>
                <c:pt idx="3">
                  <c:v>2.8134099999999771</c:v>
                </c:pt>
                <c:pt idx="4">
                  <c:v>5.6577099999999847</c:v>
                </c:pt>
                <c:pt idx="5">
                  <c:v>7.3494000000000002</c:v>
                </c:pt>
                <c:pt idx="6">
                  <c:v>7.4831000000000003</c:v>
                </c:pt>
              </c:numCache>
            </c:numRef>
          </c:yVal>
          <c:smooth val="0"/>
        </c:ser>
        <c:dLbls>
          <c:showLegendKey val="0"/>
          <c:showVal val="0"/>
          <c:showCatName val="0"/>
          <c:showSerName val="0"/>
          <c:showPercent val="0"/>
          <c:showBubbleSize val="0"/>
        </c:dLbls>
        <c:axId val="82300288"/>
        <c:axId val="82302848"/>
      </c:scatterChart>
      <c:valAx>
        <c:axId val="82300288"/>
        <c:scaling>
          <c:orientation val="minMax"/>
          <c:max val="25"/>
        </c:scaling>
        <c:delete val="0"/>
        <c:axPos val="b"/>
        <c:title>
          <c:tx>
            <c:rich>
              <a:bodyPr/>
              <a:lstStyle/>
              <a:p>
                <a:pPr>
                  <a:defRPr sz="579" b="1" i="0" u="none" strike="noStrike" baseline="0">
                    <a:solidFill>
                      <a:srgbClr val="000000"/>
                    </a:solidFill>
                    <a:latin typeface="Arial"/>
                    <a:ea typeface="Arial"/>
                    <a:cs typeface="Arial"/>
                  </a:defRPr>
                </a:pPr>
                <a:r>
                  <a:rPr lang="en-US"/>
                  <a:t>Standard Deviation of Rate of Growth (Risk)</a:t>
                </a:r>
              </a:p>
            </c:rich>
          </c:tx>
          <c:layout>
            <c:manualLayout>
              <c:xMode val="edge"/>
              <c:yMode val="edge"/>
              <c:x val="0.35405112822435703"/>
              <c:y val="0.944353586817687"/>
            </c:manualLayout>
          </c:layout>
          <c:overlay val="0"/>
          <c:spPr>
            <a:noFill/>
            <a:ln w="24120">
              <a:noFill/>
            </a:ln>
          </c:spPr>
        </c:title>
        <c:numFmt formatCode="General" sourceLinked="1"/>
        <c:majorTickMark val="out"/>
        <c:minorTickMark val="none"/>
        <c:tickLblPos val="nextTo"/>
        <c:spPr>
          <a:ln w="1838">
            <a:solidFill>
              <a:srgbClr val="000000"/>
            </a:solidFill>
            <a:prstDash val="solid"/>
          </a:ln>
        </c:spPr>
        <c:txPr>
          <a:bodyPr rot="0" vert="horz"/>
          <a:lstStyle/>
          <a:p>
            <a:pPr>
              <a:defRPr sz="579" b="0" i="0" u="none" strike="noStrike" baseline="0">
                <a:solidFill>
                  <a:srgbClr val="000000"/>
                </a:solidFill>
                <a:latin typeface="Arial"/>
                <a:ea typeface="Arial"/>
                <a:cs typeface="Arial"/>
              </a:defRPr>
            </a:pPr>
            <a:endParaRPr lang="en-US"/>
          </a:p>
        </c:txPr>
        <c:crossAx val="82302848"/>
        <c:crosses val="autoZero"/>
        <c:crossBetween val="midCat"/>
      </c:valAx>
      <c:valAx>
        <c:axId val="82302848"/>
        <c:scaling>
          <c:orientation val="minMax"/>
          <c:max val="15"/>
          <c:min val="-5"/>
        </c:scaling>
        <c:delete val="0"/>
        <c:axPos val="l"/>
        <c:majorGridlines>
          <c:spPr>
            <a:ln w="1838">
              <a:solidFill>
                <a:srgbClr val="000000"/>
              </a:solidFill>
              <a:prstDash val="solid"/>
            </a:ln>
          </c:spPr>
        </c:majorGridlines>
        <c:title>
          <c:tx>
            <c:rich>
              <a:bodyPr/>
              <a:lstStyle/>
              <a:p>
                <a:pPr>
                  <a:defRPr sz="579" b="1" i="0" u="none" strike="noStrike" baseline="0">
                    <a:solidFill>
                      <a:srgbClr val="000000"/>
                    </a:solidFill>
                    <a:latin typeface="Arial"/>
                    <a:ea typeface="Arial"/>
                    <a:cs typeface="Arial"/>
                  </a:defRPr>
                </a:pPr>
                <a:r>
                  <a:rPr lang="en-US"/>
                  <a:t>Mean Rate of Growth (Return)</a:t>
                </a:r>
              </a:p>
            </c:rich>
          </c:tx>
          <c:layout>
            <c:manualLayout>
              <c:xMode val="edge"/>
              <c:yMode val="edge"/>
              <c:x val="1.22086662244143E-2"/>
              <c:y val="0.36661220823332902"/>
            </c:manualLayout>
          </c:layout>
          <c:overlay val="0"/>
          <c:spPr>
            <a:noFill/>
            <a:ln w="24120">
              <a:noFill/>
            </a:ln>
          </c:spPr>
        </c:title>
        <c:numFmt formatCode="General" sourceLinked="1"/>
        <c:majorTickMark val="out"/>
        <c:minorTickMark val="none"/>
        <c:tickLblPos val="nextTo"/>
        <c:spPr>
          <a:ln w="1838">
            <a:solidFill>
              <a:srgbClr val="000000"/>
            </a:solidFill>
            <a:prstDash val="solid"/>
          </a:ln>
        </c:spPr>
        <c:txPr>
          <a:bodyPr rot="0" vert="horz"/>
          <a:lstStyle/>
          <a:p>
            <a:pPr>
              <a:defRPr sz="579" b="0" i="0" u="none" strike="noStrike" baseline="0">
                <a:solidFill>
                  <a:srgbClr val="000000"/>
                </a:solidFill>
                <a:latin typeface="Arial"/>
                <a:ea typeface="Arial"/>
                <a:cs typeface="Arial"/>
              </a:defRPr>
            </a:pPr>
            <a:endParaRPr lang="en-US"/>
          </a:p>
        </c:txPr>
        <c:crossAx val="82300288"/>
        <c:crosses val="autoZero"/>
        <c:crossBetween val="midCat"/>
        <c:majorUnit val="5"/>
      </c:valAx>
      <c:spPr>
        <a:noFill/>
        <a:ln w="24120">
          <a:noFill/>
        </a:ln>
      </c:spPr>
    </c:plotArea>
    <c:legend>
      <c:legendPos val="r"/>
      <c:layout>
        <c:manualLayout>
          <c:xMode val="edge"/>
          <c:yMode val="edge"/>
          <c:x val="0.87680347648852797"/>
          <c:y val="0.73977093772369895"/>
          <c:w val="5.8823608587387798E-2"/>
          <c:h val="0.17348604151753899"/>
        </c:manualLayout>
      </c:layout>
      <c:overlay val="0"/>
      <c:spPr>
        <a:solidFill>
          <a:srgbClr val="FFFFFF"/>
        </a:solidFill>
        <a:ln w="14705">
          <a:noFill/>
        </a:ln>
      </c:spPr>
      <c:txPr>
        <a:bodyPr/>
        <a:lstStyle/>
        <a:p>
          <a:pPr>
            <a:defRPr sz="533" b="0"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579" b="0" i="0" u="none" strike="noStrike" baseline="0">
          <a:solidFill>
            <a:srgbClr val="000000"/>
          </a:solidFill>
          <a:latin typeface="Arial"/>
          <a:ea typeface="Arial"/>
          <a:cs typeface="Aria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0.29175</cdr:x>
      <cdr:y>0.872</cdr:y>
    </cdr:from>
    <cdr:to>
      <cdr:x>0.99785</cdr:x>
      <cdr:y>0.91557</cdr:y>
    </cdr:to>
    <cdr:sp macro="" textlink="">
      <cdr:nvSpPr>
        <cdr:cNvPr id="1025" name="Text Box 1"/>
        <cdr:cNvSpPr txBox="1">
          <a:spLocks xmlns:a="http://schemas.openxmlformats.org/drawingml/2006/main" noChangeArrowheads="1"/>
        </cdr:cNvSpPr>
      </cdr:nvSpPr>
      <cdr:spPr bwMode="auto">
        <a:xfrm xmlns:a="http://schemas.openxmlformats.org/drawingml/2006/main">
          <a:off x="1497837" y="3413684"/>
          <a:ext cx="3625095" cy="17056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US" sz="1000" b="0" i="0" u="none" strike="noStrike" baseline="0">
              <a:solidFill>
                <a:srgbClr val="000000"/>
              </a:solidFill>
              <a:latin typeface="Arial"/>
              <a:cs typeface="Arial"/>
            </a:rPr>
            <a:t>*Each data point represents a </a:t>
          </a:r>
          <a:r>
            <a:rPr lang="en-US" sz="1000" b="1" i="0" u="none" strike="noStrike" baseline="0">
              <a:solidFill>
                <a:srgbClr val="000000"/>
              </a:solidFill>
              <a:latin typeface="Arial"/>
              <a:cs typeface="Arial"/>
            </a:rPr>
            <a:t>two-decade</a:t>
          </a:r>
          <a:r>
            <a:rPr lang="en-US" sz="1000" b="0" i="0" u="none" strike="noStrike" baseline="0">
              <a:solidFill>
                <a:srgbClr val="000000"/>
              </a:solidFill>
              <a:latin typeface="Arial"/>
              <a:cs typeface="Arial"/>
            </a:rPr>
            <a:t> period for a country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Pittsburgh | GSPIA</Company>
  <LinksUpToDate>false</LinksUpToDate>
  <CharactersWithSpaces>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Rudra, Nita</dc:creator>
  <cp:lastModifiedBy>Daldry, Jayne F</cp:lastModifiedBy>
  <cp:revision>2</cp:revision>
  <dcterms:created xsi:type="dcterms:W3CDTF">2013-08-06T12:23:00Z</dcterms:created>
  <dcterms:modified xsi:type="dcterms:W3CDTF">2013-08-06T12:23:00Z</dcterms:modified>
</cp:coreProperties>
</file>