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92" w:rsidRPr="00D4586C" w:rsidRDefault="00F67F92" w:rsidP="00F67F92">
      <w:pPr>
        <w:autoSpaceDE w:val="0"/>
        <w:autoSpaceDN w:val="0"/>
        <w:adjustRightInd w:val="0"/>
        <w:spacing w:after="0" w:line="360" w:lineRule="auto"/>
        <w:rPr>
          <w:b/>
          <w:bCs/>
          <w:sz w:val="24"/>
          <w:szCs w:val="24"/>
        </w:rPr>
      </w:pPr>
      <w:r>
        <w:rPr>
          <w:b/>
          <w:bCs/>
          <w:sz w:val="24"/>
          <w:szCs w:val="24"/>
        </w:rPr>
        <w:t xml:space="preserve">Online </w:t>
      </w:r>
      <w:r w:rsidRPr="00D4586C">
        <w:rPr>
          <w:b/>
          <w:bCs/>
          <w:sz w:val="24"/>
          <w:szCs w:val="24"/>
        </w:rPr>
        <w:t xml:space="preserve">Appendix </w:t>
      </w:r>
    </w:p>
    <w:p w:rsidR="00F67F92" w:rsidRPr="00E52DD1" w:rsidRDefault="00F67F92" w:rsidP="00F67F92">
      <w:pPr>
        <w:autoSpaceDE w:val="0"/>
        <w:autoSpaceDN w:val="0"/>
        <w:adjustRightInd w:val="0"/>
        <w:spacing w:after="0" w:line="360" w:lineRule="auto"/>
        <w:rPr>
          <w:rFonts w:cs="Calibri"/>
          <w:sz w:val="24"/>
          <w:szCs w:val="24"/>
        </w:rPr>
      </w:pPr>
      <w:r>
        <w:rPr>
          <w:bCs/>
          <w:sz w:val="24"/>
          <w:szCs w:val="24"/>
        </w:rPr>
        <w:t xml:space="preserve">As a robustness check I have carried out additional analysis to see if the </w:t>
      </w:r>
      <w:proofErr w:type="gramStart"/>
      <w:r>
        <w:rPr>
          <w:bCs/>
          <w:sz w:val="24"/>
          <w:szCs w:val="24"/>
        </w:rPr>
        <w:t>findings from the cross-sectional analysis of 2001 reported in Table 3 also holds</w:t>
      </w:r>
      <w:proofErr w:type="gramEnd"/>
      <w:r>
        <w:rPr>
          <w:bCs/>
          <w:sz w:val="24"/>
          <w:szCs w:val="24"/>
        </w:rPr>
        <w:t xml:space="preserve"> in other election years. </w:t>
      </w:r>
      <w:r w:rsidRPr="00E52DD1">
        <w:rPr>
          <w:rFonts w:cs="Calibri"/>
          <w:sz w:val="24"/>
          <w:szCs w:val="24"/>
        </w:rPr>
        <w:t xml:space="preserve">To </w:t>
      </w:r>
      <w:r>
        <w:rPr>
          <w:rFonts w:cs="Calibri"/>
          <w:sz w:val="24"/>
          <w:szCs w:val="24"/>
        </w:rPr>
        <w:t>investigate this possibility I link data from the 1992</w:t>
      </w:r>
      <w:r w:rsidRPr="00E52DD1">
        <w:rPr>
          <w:rFonts w:cs="Calibri"/>
          <w:sz w:val="24"/>
          <w:szCs w:val="24"/>
        </w:rPr>
        <w:t xml:space="preserve"> British R</w:t>
      </w:r>
      <w:r>
        <w:rPr>
          <w:rFonts w:cs="Calibri"/>
          <w:sz w:val="24"/>
          <w:szCs w:val="24"/>
        </w:rPr>
        <w:t>epresentation Survey to the 1992</w:t>
      </w:r>
      <w:r w:rsidRPr="00E52DD1">
        <w:rPr>
          <w:rFonts w:cs="Calibri"/>
          <w:sz w:val="24"/>
          <w:szCs w:val="24"/>
        </w:rPr>
        <w:t xml:space="preserve"> British Election Survey. </w:t>
      </w:r>
      <w:proofErr w:type="gramStart"/>
      <w:r>
        <w:rPr>
          <w:rFonts w:cs="Calibri"/>
          <w:sz w:val="24"/>
          <w:szCs w:val="24"/>
        </w:rPr>
        <w:t xml:space="preserve">As before </w:t>
      </w:r>
      <w:r w:rsidRPr="00E52DD1">
        <w:rPr>
          <w:rFonts w:cs="Calibri"/>
          <w:sz w:val="24"/>
          <w:szCs w:val="24"/>
        </w:rPr>
        <w:t xml:space="preserve">I specify a multilevel </w:t>
      </w:r>
      <w:proofErr w:type="spellStart"/>
      <w:r w:rsidRPr="00E52DD1">
        <w:rPr>
          <w:rFonts w:cs="Calibri"/>
          <w:sz w:val="24"/>
          <w:szCs w:val="24"/>
        </w:rPr>
        <w:t>logit</w:t>
      </w:r>
      <w:proofErr w:type="spellEnd"/>
      <w:r w:rsidRPr="00E52DD1">
        <w:rPr>
          <w:rFonts w:cs="Calibri"/>
          <w:sz w:val="24"/>
          <w:szCs w:val="24"/>
        </w:rPr>
        <w:t xml:space="preserve"> model </w:t>
      </w:r>
      <w:r>
        <w:rPr>
          <w:rFonts w:cs="Calibri"/>
          <w:sz w:val="24"/>
          <w:szCs w:val="24"/>
        </w:rPr>
        <w:t xml:space="preserve">with individuals nested in constituencies </w:t>
      </w:r>
      <w:r w:rsidRPr="00E52DD1">
        <w:rPr>
          <w:rFonts w:cs="Calibri"/>
          <w:sz w:val="24"/>
          <w:szCs w:val="24"/>
        </w:rPr>
        <w:t>to estimate how the class-party association varies according to the occupational background of the Labour candidate.</w:t>
      </w:r>
      <w:proofErr w:type="gramEnd"/>
      <w:r w:rsidRPr="00E52DD1">
        <w:rPr>
          <w:rFonts w:cs="Calibri"/>
          <w:sz w:val="24"/>
          <w:szCs w:val="24"/>
        </w:rPr>
        <w:t xml:space="preserve"> The general model is specified as follows: </w:t>
      </w:r>
    </w:p>
    <w:p w:rsidR="00F67F92" w:rsidRPr="00E52DD1" w:rsidRDefault="00F67F92" w:rsidP="00F67F92">
      <w:pPr>
        <w:pStyle w:val="NormalWeb"/>
        <w:spacing w:line="360" w:lineRule="auto"/>
        <w:rPr>
          <w:rFonts w:ascii="Calibri" w:hAnsi="Calibri" w:cs="Calibri"/>
        </w:rPr>
      </w:pPr>
      <w:r w:rsidRPr="00E52DD1">
        <w:rPr>
          <w:rFonts w:ascii="Calibri" w:hAnsi="Calibri" w:cs="Calibri"/>
          <w:position w:val="-14"/>
        </w:rPr>
        <w:object w:dxaOrig="69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8.75pt" o:ole="">
            <v:imagedata r:id="rId5" o:title=""/>
          </v:shape>
          <o:OLEObject Type="Embed" ProgID="Equation.3" ShapeID="_x0000_i1025" DrawAspect="Content" ObjectID="_1435743179" r:id="rId6"/>
        </w:object>
      </w:r>
      <w:r w:rsidRPr="00E52DD1">
        <w:rPr>
          <w:rFonts w:ascii="Calibri" w:hAnsi="Calibri" w:cs="Calibri"/>
        </w:rPr>
        <w:t>,</w:t>
      </w:r>
    </w:p>
    <w:p w:rsidR="00F67F92" w:rsidRPr="00E52DD1" w:rsidRDefault="00F67F92" w:rsidP="00F67F92">
      <w:pPr>
        <w:spacing w:line="360" w:lineRule="auto"/>
        <w:rPr>
          <w:rFonts w:cs="Calibri"/>
          <w:sz w:val="24"/>
          <w:szCs w:val="24"/>
        </w:rPr>
      </w:pPr>
      <w:proofErr w:type="gramStart"/>
      <w:r w:rsidRPr="00E52DD1">
        <w:rPr>
          <w:rFonts w:cs="Calibri"/>
          <w:sz w:val="24"/>
          <w:szCs w:val="24"/>
        </w:rPr>
        <w:t>where</w:t>
      </w:r>
      <w:proofErr w:type="gramEnd"/>
      <w:r w:rsidRPr="00E52DD1">
        <w:rPr>
          <w:rFonts w:cs="Calibri"/>
          <w:sz w:val="24"/>
          <w:szCs w:val="24"/>
        </w:rPr>
        <w:t xml:space="preserve"> </w:t>
      </w:r>
      <w:r w:rsidRPr="00E52DD1">
        <w:rPr>
          <w:rFonts w:cs="Calibri"/>
          <w:i/>
          <w:sz w:val="24"/>
          <w:szCs w:val="24"/>
        </w:rPr>
        <w:t>VOTE</w:t>
      </w:r>
      <w:r w:rsidRPr="00E52DD1">
        <w:rPr>
          <w:rFonts w:cs="Calibri"/>
          <w:sz w:val="24"/>
          <w:szCs w:val="24"/>
          <w:vertAlign w:val="subscript"/>
        </w:rPr>
        <w:t xml:space="preserve"> </w:t>
      </w:r>
      <w:r w:rsidRPr="00E52DD1">
        <w:rPr>
          <w:rFonts w:cs="Calibri"/>
          <w:sz w:val="24"/>
          <w:szCs w:val="24"/>
        </w:rPr>
        <w:t xml:space="preserve">is party support (1 = Labour; 0 = Conservative), </w:t>
      </w:r>
      <w:r w:rsidRPr="00E52DD1">
        <w:rPr>
          <w:rFonts w:cs="Calibri"/>
          <w:position w:val="-12"/>
          <w:sz w:val="24"/>
          <w:szCs w:val="24"/>
        </w:rPr>
        <w:object w:dxaOrig="300" w:dyaOrig="360">
          <v:shape id="_x0000_i1026" type="#_x0000_t75" style="width:15pt;height:18pt" o:ole="">
            <v:imagedata r:id="rId7" o:title=""/>
          </v:shape>
          <o:OLEObject Type="Embed" ProgID="Equation.3" ShapeID="_x0000_i1026" DrawAspect="Content" ObjectID="_1435743180" r:id="rId8"/>
        </w:object>
      </w:r>
      <w:r w:rsidRPr="00E52DD1">
        <w:rPr>
          <w:rFonts w:cs="Calibri"/>
          <w:sz w:val="24"/>
          <w:szCs w:val="24"/>
        </w:rPr>
        <w:t xml:space="preserve">is the constant, Class is the occupational background of the voter, LABCLASS is the occupational background of the Labour candidate; and Class*LABCLASS is a cross-level interaction between voter’s class and Labour candidate’s class. Controls are also included for age, sex, education, </w:t>
      </w:r>
      <w:r>
        <w:rPr>
          <w:rFonts w:cs="Calibri"/>
          <w:sz w:val="24"/>
          <w:szCs w:val="24"/>
        </w:rPr>
        <w:t xml:space="preserve">and religion </w:t>
      </w:r>
      <w:r w:rsidRPr="00E52DD1">
        <w:rPr>
          <w:rFonts w:cs="Calibri"/>
          <w:sz w:val="24"/>
          <w:szCs w:val="24"/>
        </w:rPr>
        <w:t xml:space="preserve">at the individual level, and economic deprivation at the constituency level. </w:t>
      </w:r>
      <w:r>
        <w:rPr>
          <w:rFonts w:cs="Calibri"/>
          <w:sz w:val="24"/>
          <w:szCs w:val="24"/>
        </w:rPr>
        <w:t xml:space="preserve">Due to data limitations it is not possible to replicate Models 2 and 3 from Table 3, so the analysis below is based on the occupational background of all Labour candidates for which data is available, and does not discriminate by incumbency status. </w:t>
      </w:r>
    </w:p>
    <w:p w:rsidR="00F67F92" w:rsidRPr="008E3647" w:rsidRDefault="00F67F92" w:rsidP="00F67F92">
      <w:pPr>
        <w:spacing w:line="360" w:lineRule="auto"/>
        <w:rPr>
          <w:rFonts w:cs="Calibri"/>
          <w:sz w:val="24"/>
          <w:szCs w:val="24"/>
        </w:rPr>
      </w:pPr>
      <w:r>
        <w:rPr>
          <w:sz w:val="24"/>
          <w:szCs w:val="24"/>
        </w:rPr>
        <w:t xml:space="preserve">Broadly speaking the results from Table 5 broadly </w:t>
      </w:r>
      <w:proofErr w:type="gramStart"/>
      <w:r>
        <w:rPr>
          <w:sz w:val="24"/>
          <w:szCs w:val="24"/>
        </w:rPr>
        <w:t>confirm</w:t>
      </w:r>
      <w:proofErr w:type="gramEnd"/>
      <w:r>
        <w:rPr>
          <w:sz w:val="24"/>
          <w:szCs w:val="24"/>
        </w:rPr>
        <w:t xml:space="preserve"> the pattern of associations reported in Table 3. </w:t>
      </w:r>
      <w:r>
        <w:rPr>
          <w:rFonts w:cs="Calibri"/>
          <w:sz w:val="24"/>
          <w:szCs w:val="24"/>
        </w:rPr>
        <w:t xml:space="preserve">Given the sample size and missing data we should be somewhat cautious in our interpretation the results, but nonetheless the findings are reassuring in the sense that they are broadly consistent with the earlier analysis. </w:t>
      </w:r>
      <w:r>
        <w:rPr>
          <w:sz w:val="24"/>
          <w:szCs w:val="24"/>
        </w:rPr>
        <w:t>T</w:t>
      </w:r>
      <w:r w:rsidRPr="00E52DD1">
        <w:rPr>
          <w:sz w:val="24"/>
          <w:szCs w:val="24"/>
        </w:rPr>
        <w:t xml:space="preserve">he sign for the class coefficient of the Labour candidate is negative, </w:t>
      </w:r>
      <w:r>
        <w:rPr>
          <w:sz w:val="24"/>
          <w:szCs w:val="24"/>
        </w:rPr>
        <w:t xml:space="preserve">suggesting </w:t>
      </w:r>
      <w:r w:rsidRPr="00E52DD1">
        <w:rPr>
          <w:sz w:val="24"/>
          <w:szCs w:val="24"/>
        </w:rPr>
        <w:t xml:space="preserve">that people are less likely to vote Labour when the candidate is working class, controlling for the level of economic deprivation in the constituency. </w:t>
      </w:r>
      <w:r>
        <w:rPr>
          <w:sz w:val="24"/>
          <w:szCs w:val="24"/>
        </w:rPr>
        <w:t>T</w:t>
      </w:r>
      <w:r w:rsidRPr="00E52DD1">
        <w:rPr>
          <w:sz w:val="24"/>
          <w:szCs w:val="24"/>
        </w:rPr>
        <w:t xml:space="preserve">he interaction term </w:t>
      </w:r>
      <w:r>
        <w:rPr>
          <w:sz w:val="24"/>
          <w:szCs w:val="24"/>
        </w:rPr>
        <w:t>between voter’s social class and c</w:t>
      </w:r>
      <w:r w:rsidRPr="00E52DD1">
        <w:rPr>
          <w:sz w:val="24"/>
          <w:szCs w:val="24"/>
        </w:rPr>
        <w:t xml:space="preserve">andidate’s social class is </w:t>
      </w:r>
      <w:r>
        <w:rPr>
          <w:sz w:val="24"/>
          <w:szCs w:val="24"/>
        </w:rPr>
        <w:t xml:space="preserve">also </w:t>
      </w:r>
      <w:r w:rsidRPr="00E52DD1">
        <w:rPr>
          <w:sz w:val="24"/>
          <w:szCs w:val="24"/>
        </w:rPr>
        <w:t xml:space="preserve">in the expected direction. </w:t>
      </w:r>
      <w:r>
        <w:rPr>
          <w:sz w:val="24"/>
          <w:szCs w:val="24"/>
        </w:rPr>
        <w:t>This indicates that w</w:t>
      </w:r>
      <w:r w:rsidRPr="00E52DD1">
        <w:rPr>
          <w:sz w:val="24"/>
          <w:szCs w:val="24"/>
        </w:rPr>
        <w:t xml:space="preserve">orking class voters tend to be relatively more likely than the middle class to vote Labour when the Labour candidate is also working class. </w:t>
      </w:r>
    </w:p>
    <w:p w:rsidR="00F67F92" w:rsidRPr="00E52DD1" w:rsidRDefault="00F67F92" w:rsidP="00F67F92">
      <w:pPr>
        <w:autoSpaceDE w:val="0"/>
        <w:autoSpaceDN w:val="0"/>
        <w:adjustRightInd w:val="0"/>
        <w:spacing w:after="0" w:line="240" w:lineRule="auto"/>
        <w:rPr>
          <w:rFonts w:cs="Calibri"/>
          <w:sz w:val="24"/>
          <w:szCs w:val="24"/>
        </w:rPr>
      </w:pPr>
      <w:r>
        <w:rPr>
          <w:rFonts w:cs="Calibri"/>
          <w:b/>
          <w:sz w:val="24"/>
          <w:szCs w:val="24"/>
        </w:rPr>
        <w:br w:type="page"/>
      </w:r>
      <w:r>
        <w:rPr>
          <w:rFonts w:cs="Calibri"/>
          <w:b/>
          <w:sz w:val="24"/>
          <w:szCs w:val="24"/>
        </w:rPr>
        <w:lastRenderedPageBreak/>
        <w:t>Table 5</w:t>
      </w:r>
      <w:r w:rsidRPr="00E52DD1">
        <w:rPr>
          <w:rFonts w:cs="Calibri"/>
          <w:b/>
          <w:sz w:val="24"/>
          <w:szCs w:val="24"/>
        </w:rPr>
        <w:t xml:space="preserve">: </w:t>
      </w:r>
      <w:r w:rsidRPr="00E52DD1">
        <w:rPr>
          <w:rFonts w:cs="Calibri"/>
          <w:b/>
          <w:sz w:val="24"/>
          <w:szCs w:val="24"/>
        </w:rPr>
        <w:tab/>
      </w:r>
      <w:r w:rsidRPr="00E52DD1">
        <w:rPr>
          <w:rFonts w:cs="Calibri"/>
          <w:sz w:val="24"/>
          <w:szCs w:val="24"/>
        </w:rPr>
        <w:t>Multilevel Logistic Regression Models Predicting Labour vs. Conservative</w:t>
      </w:r>
      <w:r>
        <w:rPr>
          <w:rFonts w:cs="Calibri"/>
          <w:sz w:val="24"/>
          <w:szCs w:val="24"/>
        </w:rPr>
        <w:tab/>
      </w:r>
      <w:r>
        <w:rPr>
          <w:rFonts w:cs="Calibri"/>
          <w:sz w:val="24"/>
          <w:szCs w:val="24"/>
        </w:rPr>
        <w:tab/>
      </w:r>
      <w:r>
        <w:rPr>
          <w:rFonts w:cs="Calibri"/>
          <w:sz w:val="24"/>
          <w:szCs w:val="24"/>
        </w:rPr>
        <w:tab/>
        <w:t>vote, 1992</w:t>
      </w:r>
    </w:p>
    <w:p w:rsidR="00F67F92" w:rsidRPr="00E52DD1" w:rsidRDefault="00F67F92" w:rsidP="00F67F92">
      <w:pPr>
        <w:autoSpaceDE w:val="0"/>
        <w:autoSpaceDN w:val="0"/>
        <w:adjustRightInd w:val="0"/>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95"/>
        <w:gridCol w:w="2360"/>
        <w:gridCol w:w="2087"/>
      </w:tblGrid>
      <w:tr w:rsidR="00F67F92" w:rsidRPr="00E52DD1" w:rsidTr="00E104BA">
        <w:tc>
          <w:tcPr>
            <w:tcW w:w="2594"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c>
          <w:tcPr>
            <w:tcW w:w="2406" w:type="pct"/>
            <w:gridSpan w:val="2"/>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jc w:val="center"/>
              <w:rPr>
                <w:rFonts w:cs="Calibri"/>
                <w:color w:val="000000"/>
                <w:sz w:val="24"/>
                <w:szCs w:val="24"/>
              </w:rPr>
            </w:pPr>
            <w:r w:rsidRPr="00E52DD1">
              <w:rPr>
                <w:rFonts w:cs="Calibri"/>
                <w:color w:val="000000"/>
                <w:sz w:val="24"/>
                <w:szCs w:val="24"/>
              </w:rPr>
              <w:t>Model 1:</w:t>
            </w:r>
          </w:p>
          <w:p w:rsidR="00F67F92" w:rsidRPr="00E52DD1" w:rsidRDefault="00F67F92" w:rsidP="00E104BA">
            <w:pPr>
              <w:autoSpaceDE w:val="0"/>
              <w:autoSpaceDN w:val="0"/>
              <w:adjustRightInd w:val="0"/>
              <w:spacing w:after="0"/>
              <w:ind w:left="60" w:right="60"/>
              <w:jc w:val="center"/>
              <w:rPr>
                <w:rFonts w:cs="Calibri"/>
                <w:color w:val="000000"/>
                <w:sz w:val="24"/>
                <w:szCs w:val="24"/>
              </w:rPr>
            </w:pPr>
            <w:r w:rsidRPr="00E52DD1">
              <w:rPr>
                <w:rFonts w:cs="Calibri"/>
                <w:sz w:val="24"/>
                <w:szCs w:val="24"/>
              </w:rPr>
              <w:t>Lab vs. Con vote</w:t>
            </w:r>
          </w:p>
          <w:p w:rsidR="00F67F92" w:rsidRPr="00E52DD1" w:rsidRDefault="00F67F92" w:rsidP="00E104BA">
            <w:pPr>
              <w:autoSpaceDE w:val="0"/>
              <w:autoSpaceDN w:val="0"/>
              <w:adjustRightInd w:val="0"/>
              <w:spacing w:after="0"/>
              <w:ind w:left="60" w:right="60"/>
              <w:jc w:val="center"/>
              <w:rPr>
                <w:rFonts w:cs="Calibri"/>
                <w:color w:val="000000"/>
                <w:sz w:val="24"/>
                <w:szCs w:val="24"/>
              </w:rPr>
            </w:pPr>
            <w:r w:rsidRPr="00E52DD1">
              <w:rPr>
                <w:rFonts w:cs="Calibri"/>
                <w:color w:val="000000"/>
                <w:sz w:val="24"/>
                <w:szCs w:val="24"/>
              </w:rPr>
              <w:t>All seats</w:t>
            </w:r>
            <w:r>
              <w:rPr>
                <w:rFonts w:cs="Calibri"/>
                <w:color w:val="000000"/>
                <w:sz w:val="24"/>
                <w:szCs w:val="24"/>
              </w:rPr>
              <w:t xml:space="preserve"> 1992</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B</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S.E.</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Voter’s Social Class</w:t>
            </w:r>
          </w:p>
        </w:tc>
        <w:tc>
          <w:tcPr>
            <w:tcW w:w="1277"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Routine Non Manual</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-1.58</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1.54</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Working Class</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-1.91</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1.61</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Labour Candidate’s Social Class</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Working Class</w:t>
            </w:r>
          </w:p>
        </w:tc>
        <w:tc>
          <w:tcPr>
            <w:tcW w:w="1277"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r>
              <w:rPr>
                <w:rFonts w:cs="Calibri"/>
                <w:sz w:val="24"/>
                <w:szCs w:val="24"/>
              </w:rPr>
              <w:t>-1.25</w:t>
            </w: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r>
              <w:rPr>
                <w:rFonts w:cs="Calibri"/>
                <w:sz w:val="24"/>
                <w:szCs w:val="24"/>
              </w:rPr>
              <w:t>1.31</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Labour Class by Voter’s Class </w:t>
            </w:r>
          </w:p>
        </w:tc>
        <w:tc>
          <w:tcPr>
            <w:tcW w:w="1277"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by RNM</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1.87</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1.36</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by WC</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2.45</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1.39</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Economic Deprivation</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-0.02</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0.09</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Econ deprivation by Voter’s Class </w:t>
            </w:r>
          </w:p>
        </w:tc>
        <w:tc>
          <w:tcPr>
            <w:tcW w:w="1277"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rPr>
                <w:rFonts w:cs="Calibri"/>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by RNM</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0.03</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0.10</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 xml:space="preserve">  by WC</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0.08</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0.11</w:t>
            </w: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Constant</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1.31</w:t>
            </w:r>
          </w:p>
        </w:tc>
        <w:tc>
          <w:tcPr>
            <w:tcW w:w="1130"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Chi Square</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78 (16)</w:t>
            </w: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ind w:left="60" w:right="60"/>
              <w:rPr>
                <w:rFonts w:cs="Calibri"/>
                <w:color w:val="000000"/>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Log likelihood</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-843</w:t>
            </w: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ind w:left="60" w:right="60"/>
              <w:rPr>
                <w:rFonts w:cs="Calibri"/>
                <w:color w:val="000000"/>
                <w:sz w:val="24"/>
                <w:szCs w:val="24"/>
              </w:rPr>
            </w:pPr>
          </w:p>
        </w:tc>
      </w:tr>
      <w:tr w:rsidR="00F67F92" w:rsidRPr="00E52DD1" w:rsidTr="00E104BA">
        <w:tc>
          <w:tcPr>
            <w:tcW w:w="2594"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sidRPr="00E52DD1">
              <w:rPr>
                <w:rFonts w:cs="Calibri"/>
                <w:color w:val="000000"/>
                <w:sz w:val="24"/>
                <w:szCs w:val="24"/>
              </w:rPr>
              <w:t>N</w:t>
            </w:r>
          </w:p>
        </w:tc>
        <w:tc>
          <w:tcPr>
            <w:tcW w:w="1277" w:type="pct"/>
            <w:tcBorders>
              <w:top w:val="single" w:sz="4" w:space="0" w:color="auto"/>
              <w:left w:val="single" w:sz="4" w:space="0" w:color="auto"/>
              <w:bottom w:val="single" w:sz="4" w:space="0" w:color="auto"/>
              <w:right w:val="single" w:sz="4" w:space="0" w:color="auto"/>
            </w:tcBorders>
            <w:hideMark/>
          </w:tcPr>
          <w:p w:rsidR="00F67F92" w:rsidRPr="00E52DD1" w:rsidRDefault="00F67F92" w:rsidP="00E104BA">
            <w:pPr>
              <w:autoSpaceDE w:val="0"/>
              <w:autoSpaceDN w:val="0"/>
              <w:adjustRightInd w:val="0"/>
              <w:spacing w:after="0"/>
              <w:ind w:left="60" w:right="60"/>
              <w:rPr>
                <w:rFonts w:cs="Calibri"/>
                <w:color w:val="000000"/>
                <w:sz w:val="24"/>
                <w:szCs w:val="24"/>
              </w:rPr>
            </w:pPr>
            <w:r>
              <w:rPr>
                <w:rFonts w:cs="Calibri"/>
                <w:color w:val="000000"/>
                <w:sz w:val="24"/>
                <w:szCs w:val="24"/>
              </w:rPr>
              <w:t>1394</w:t>
            </w:r>
          </w:p>
        </w:tc>
        <w:tc>
          <w:tcPr>
            <w:tcW w:w="1130" w:type="pct"/>
            <w:tcBorders>
              <w:top w:val="single" w:sz="4" w:space="0" w:color="auto"/>
              <w:left w:val="single" w:sz="4" w:space="0" w:color="auto"/>
              <w:bottom w:val="single" w:sz="4" w:space="0" w:color="auto"/>
              <w:right w:val="single" w:sz="4" w:space="0" w:color="auto"/>
            </w:tcBorders>
          </w:tcPr>
          <w:p w:rsidR="00F67F92" w:rsidRPr="00E52DD1" w:rsidRDefault="00F67F92" w:rsidP="00E104BA">
            <w:pPr>
              <w:autoSpaceDE w:val="0"/>
              <w:autoSpaceDN w:val="0"/>
              <w:adjustRightInd w:val="0"/>
              <w:spacing w:after="0"/>
              <w:ind w:left="60" w:right="60"/>
              <w:rPr>
                <w:rFonts w:cs="Calibri"/>
                <w:color w:val="000000"/>
                <w:sz w:val="24"/>
                <w:szCs w:val="24"/>
              </w:rPr>
            </w:pPr>
          </w:p>
        </w:tc>
      </w:tr>
    </w:tbl>
    <w:p w:rsidR="00F67F92" w:rsidRDefault="00F67F92" w:rsidP="00F67F92">
      <w:pPr>
        <w:spacing w:line="240" w:lineRule="auto"/>
        <w:rPr>
          <w:rFonts w:cs="Calibri"/>
          <w:sz w:val="24"/>
          <w:szCs w:val="24"/>
        </w:rPr>
      </w:pPr>
      <w:r w:rsidRPr="00813B51">
        <w:rPr>
          <w:rFonts w:cs="Calibri"/>
          <w:i/>
          <w:sz w:val="24"/>
          <w:szCs w:val="24"/>
        </w:rPr>
        <w:t>Notes:</w:t>
      </w:r>
      <w:r>
        <w:rPr>
          <w:rFonts w:cs="Calibri"/>
          <w:sz w:val="24"/>
          <w:szCs w:val="24"/>
        </w:rPr>
        <w:t xml:space="preserve"> Reference category is Middle class</w:t>
      </w:r>
      <w:r w:rsidRPr="00E52DD1">
        <w:rPr>
          <w:rFonts w:cs="Calibri"/>
          <w:sz w:val="24"/>
          <w:szCs w:val="24"/>
        </w:rPr>
        <w:t xml:space="preserve">. </w:t>
      </w:r>
      <w:r>
        <w:rPr>
          <w:rFonts w:cs="Calibri"/>
          <w:sz w:val="24"/>
          <w:szCs w:val="24"/>
        </w:rPr>
        <w:t xml:space="preserve">Due to small sample size </w:t>
      </w:r>
      <w:proofErr w:type="spellStart"/>
      <w:r>
        <w:rPr>
          <w:rFonts w:cs="Calibri"/>
          <w:sz w:val="24"/>
          <w:szCs w:val="24"/>
        </w:rPr>
        <w:t>salariat</w:t>
      </w:r>
      <w:proofErr w:type="spellEnd"/>
      <w:r>
        <w:rPr>
          <w:rFonts w:cs="Calibri"/>
          <w:sz w:val="24"/>
          <w:szCs w:val="24"/>
        </w:rPr>
        <w:t xml:space="preserve"> and petty bourgeoisie categories have been merged</w:t>
      </w:r>
      <w:r w:rsidRPr="00E52DD1">
        <w:rPr>
          <w:rFonts w:cs="Calibri"/>
          <w:sz w:val="24"/>
          <w:szCs w:val="24"/>
        </w:rPr>
        <w:t>. Models also control for age</w:t>
      </w:r>
      <w:r>
        <w:rPr>
          <w:rFonts w:cs="Calibri"/>
          <w:sz w:val="24"/>
          <w:szCs w:val="24"/>
        </w:rPr>
        <w:t xml:space="preserve">, </w:t>
      </w:r>
      <w:r w:rsidRPr="00E52DD1">
        <w:rPr>
          <w:rFonts w:cs="Calibri"/>
          <w:sz w:val="24"/>
          <w:szCs w:val="24"/>
        </w:rPr>
        <w:t>sex</w:t>
      </w:r>
      <w:r>
        <w:rPr>
          <w:rFonts w:cs="Calibri"/>
          <w:sz w:val="24"/>
          <w:szCs w:val="24"/>
        </w:rPr>
        <w:t>, education and religion</w:t>
      </w:r>
      <w:r w:rsidRPr="00E52DD1">
        <w:rPr>
          <w:rFonts w:cs="Calibri"/>
          <w:sz w:val="24"/>
          <w:szCs w:val="24"/>
        </w:rPr>
        <w:t>.</w:t>
      </w:r>
    </w:p>
    <w:p w:rsidR="00F67F92" w:rsidRDefault="00F67F92" w:rsidP="00F67F92"/>
    <w:p w:rsidR="00F67F92" w:rsidRDefault="00F67F92" w:rsidP="00F67F92">
      <w:pPr>
        <w:rPr>
          <w:rFonts w:cs="Calibri"/>
          <w:sz w:val="24"/>
          <w:szCs w:val="24"/>
        </w:rPr>
      </w:pPr>
    </w:p>
    <w:p w:rsidR="00E2273F" w:rsidRDefault="00E2273F">
      <w:bookmarkStart w:id="0" w:name="_GoBack"/>
      <w:bookmarkEnd w:id="0"/>
    </w:p>
    <w:sectPr w:rsidR="00E2273F" w:rsidSect="004E6923">
      <w:headerReference w:type="default" r:id="rId9"/>
      <w:endnotePr>
        <w:numFmt w:val="decimal"/>
      </w:endnote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A9" w:rsidRDefault="00F67F9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F67F92">
      <w:rPr>
        <w:b/>
        <w:noProof/>
      </w:rPr>
      <w:t>1</w:t>
    </w:r>
    <w:r>
      <w:fldChar w:fldCharType="end"/>
    </w:r>
  </w:p>
  <w:p w:rsidR="009615A9" w:rsidRDefault="00F67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92"/>
    <w:rsid w:val="00731342"/>
    <w:rsid w:val="00E2273F"/>
    <w:rsid w:val="00F6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F92"/>
    <w:rPr>
      <w:rFonts w:ascii="Calibri" w:eastAsia="Calibri" w:hAnsi="Calibri" w:cs="Times New Roman"/>
    </w:rPr>
  </w:style>
  <w:style w:type="paragraph" w:styleId="NormalWeb">
    <w:name w:val="Normal (Web)"/>
    <w:basedOn w:val="Normal"/>
    <w:uiPriority w:val="99"/>
    <w:unhideWhenUsed/>
    <w:rsid w:val="00F67F92"/>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F92"/>
    <w:rPr>
      <w:rFonts w:ascii="Calibri" w:eastAsia="Calibri" w:hAnsi="Calibri" w:cs="Times New Roman"/>
    </w:rPr>
  </w:style>
  <w:style w:type="paragraph" w:styleId="NormalWeb">
    <w:name w:val="Normal (Web)"/>
    <w:basedOn w:val="Normal"/>
    <w:uiPriority w:val="99"/>
    <w:unhideWhenUsed/>
    <w:rsid w:val="00F67F9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Daldry, Jayne F</dc:creator>
  <cp:lastModifiedBy>Daldry, Jayne F</cp:lastModifiedBy>
  <cp:revision>1</cp:revision>
  <dcterms:created xsi:type="dcterms:W3CDTF">2013-07-19T11:46:00Z</dcterms:created>
  <dcterms:modified xsi:type="dcterms:W3CDTF">2013-07-19T11:47:00Z</dcterms:modified>
</cp:coreProperties>
</file>