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D5" w:rsidRPr="00363FDA" w:rsidRDefault="007509D5" w:rsidP="00D65EFF">
      <w:pPr>
        <w:pStyle w:val="HTMLPreformatted"/>
        <w:jc w:val="both"/>
        <w:rPr>
          <w:rFonts w:ascii="Times New Roman" w:hAnsi="Times New Roman" w:cs="Times New Roman"/>
          <w:b/>
          <w:color w:val="000000"/>
          <w:sz w:val="24"/>
          <w:szCs w:val="24"/>
        </w:rPr>
      </w:pPr>
      <w:r w:rsidRPr="00363FDA">
        <w:rPr>
          <w:rFonts w:ascii="Times New Roman" w:hAnsi="Times New Roman" w:cs="Times New Roman"/>
          <w:b/>
          <w:color w:val="000000"/>
          <w:sz w:val="24"/>
          <w:szCs w:val="24"/>
        </w:rPr>
        <w:t>Supplementary materials</w:t>
      </w:r>
    </w:p>
    <w:p w:rsidR="001C1CFA" w:rsidRPr="00363FDA" w:rsidRDefault="001C1CFA" w:rsidP="00D65EFF">
      <w:pPr>
        <w:pStyle w:val="HTMLPreformatted"/>
        <w:jc w:val="both"/>
        <w:rPr>
          <w:rFonts w:ascii="Times New Roman" w:hAnsi="Times New Roman" w:cs="Times New Roman"/>
          <w:b/>
          <w:color w:val="000000"/>
          <w:sz w:val="24"/>
          <w:szCs w:val="24"/>
        </w:rPr>
      </w:pPr>
    </w:p>
    <w:p w:rsidR="00363FDA" w:rsidRPr="00363FDA" w:rsidRDefault="008F6C88" w:rsidP="00363FDA">
      <w:pPr>
        <w:spacing w:after="120" w:line="276" w:lineRule="auto"/>
        <w:jc w:val="both"/>
        <w:rPr>
          <w:b/>
        </w:rPr>
      </w:pPr>
      <w:r w:rsidRPr="008F6C88">
        <w:rPr>
          <w:b/>
        </w:rPr>
        <w:t xml:space="preserve">Interaction between genetics and </w:t>
      </w:r>
      <w:proofErr w:type="spellStart"/>
      <w:r w:rsidRPr="008F6C88">
        <w:rPr>
          <w:b/>
        </w:rPr>
        <w:t>inulin</w:t>
      </w:r>
      <w:proofErr w:type="spellEnd"/>
      <w:r w:rsidRPr="008F6C88">
        <w:rPr>
          <w:b/>
        </w:rPr>
        <w:t xml:space="preserve"> affects host metabolism in rainbow trout fed a sustainable all plant-based diet</w:t>
      </w:r>
    </w:p>
    <w:p w:rsidR="00363FDA" w:rsidRPr="00363FDA" w:rsidRDefault="00363FDA" w:rsidP="00363FDA">
      <w:pPr>
        <w:pBdr>
          <w:top w:val="nil"/>
          <w:left w:val="nil"/>
          <w:bottom w:val="nil"/>
          <w:right w:val="nil"/>
          <w:between w:val="nil"/>
        </w:pBdr>
        <w:tabs>
          <w:tab w:val="left" w:pos="9990"/>
        </w:tabs>
        <w:spacing w:line="276" w:lineRule="auto"/>
        <w:rPr>
          <w:b/>
          <w:color w:val="000000"/>
        </w:rPr>
      </w:pPr>
    </w:p>
    <w:p w:rsidR="00363FDA" w:rsidRPr="00363FDA" w:rsidRDefault="00363FDA" w:rsidP="00363FDA">
      <w:pPr>
        <w:pBdr>
          <w:top w:val="nil"/>
          <w:left w:val="nil"/>
          <w:bottom w:val="nil"/>
          <w:right w:val="nil"/>
          <w:between w:val="nil"/>
        </w:pBdr>
        <w:tabs>
          <w:tab w:val="left" w:pos="9990"/>
        </w:tabs>
        <w:spacing w:line="276" w:lineRule="auto"/>
        <w:rPr>
          <w:color w:val="000000"/>
          <w:vertAlign w:val="superscript"/>
        </w:rPr>
      </w:pPr>
      <w:r w:rsidRPr="00363FDA">
        <w:rPr>
          <w:color w:val="000000"/>
        </w:rPr>
        <w:t>Jep Lokesh</w:t>
      </w:r>
      <w:r w:rsidRPr="00363FDA">
        <w:rPr>
          <w:color w:val="000000"/>
          <w:vertAlign w:val="superscript"/>
        </w:rPr>
        <w:t>1</w:t>
      </w:r>
      <w:r w:rsidRPr="00363FDA">
        <w:rPr>
          <w:color w:val="000000"/>
        </w:rPr>
        <w:t>,</w:t>
      </w:r>
      <w:bookmarkStart w:id="0" w:name="bookmark=id.gjdgxs" w:colFirst="0" w:colLast="0"/>
      <w:bookmarkEnd w:id="0"/>
      <w:r w:rsidRPr="00363FDA">
        <w:rPr>
          <w:color w:val="000000"/>
        </w:rPr>
        <w:t xml:space="preserve"> Marine Delaygues</w:t>
      </w:r>
      <w:r w:rsidRPr="00363FDA">
        <w:rPr>
          <w:color w:val="000000"/>
          <w:vertAlign w:val="superscript"/>
        </w:rPr>
        <w:t>1</w:t>
      </w:r>
      <w:r w:rsidRPr="00363FDA">
        <w:rPr>
          <w:color w:val="000000"/>
        </w:rPr>
        <w:t xml:space="preserve">, </w:t>
      </w:r>
      <w:hyperlink r:id="rId8" w:anchor="!">
        <w:r w:rsidRPr="00363FDA">
          <w:rPr>
            <w:color w:val="000000"/>
          </w:rPr>
          <w:t>Mickael Le Bechec</w:t>
        </w:r>
      </w:hyperlink>
      <w:r w:rsidRPr="00363FDA">
        <w:rPr>
          <w:color w:val="000000"/>
          <w:vertAlign w:val="superscript"/>
        </w:rPr>
        <w:t>2</w:t>
      </w:r>
      <w:bookmarkStart w:id="1" w:name="bookmark=id.30j0zll" w:colFirst="0" w:colLast="0"/>
      <w:bookmarkEnd w:id="1"/>
      <w:r w:rsidRPr="00363FDA">
        <w:rPr>
          <w:color w:val="000000"/>
        </w:rPr>
        <w:t xml:space="preserve">, </w:t>
      </w:r>
      <w:hyperlink r:id="rId9" w:anchor="!">
        <w:r w:rsidRPr="00363FDA">
          <w:rPr>
            <w:color w:val="000000"/>
          </w:rPr>
          <w:t>Thierry Pigot</w:t>
        </w:r>
      </w:hyperlink>
      <w:r w:rsidRPr="00363FDA">
        <w:rPr>
          <w:color w:val="000000"/>
          <w:vertAlign w:val="superscript"/>
        </w:rPr>
        <w:t>2</w:t>
      </w:r>
      <w:r w:rsidRPr="00363FDA">
        <w:rPr>
          <w:color w:val="000000"/>
          <w:vertAlign w:val="subscript"/>
        </w:rPr>
        <w:t xml:space="preserve">, </w:t>
      </w:r>
      <w:r w:rsidRPr="00363FDA">
        <w:rPr>
          <w:color w:val="000000"/>
        </w:rPr>
        <w:t>Mathilde Dupont Nivet</w:t>
      </w:r>
      <w:r w:rsidRPr="00363FDA">
        <w:rPr>
          <w:color w:val="000000"/>
          <w:vertAlign w:val="superscript"/>
        </w:rPr>
        <w:t>3</w:t>
      </w:r>
      <w:r w:rsidRPr="00363FDA">
        <w:rPr>
          <w:color w:val="000000"/>
        </w:rPr>
        <w:t>, Laurent Labbé</w:t>
      </w:r>
      <w:r w:rsidRPr="00363FDA">
        <w:rPr>
          <w:color w:val="000000"/>
          <w:vertAlign w:val="superscript"/>
        </w:rPr>
        <w:t>4</w:t>
      </w:r>
      <w:r w:rsidRPr="00363FDA">
        <w:rPr>
          <w:color w:val="000000"/>
        </w:rPr>
        <w:t>, Lionel Goardon</w:t>
      </w:r>
      <w:r w:rsidRPr="00363FDA">
        <w:rPr>
          <w:color w:val="000000"/>
          <w:vertAlign w:val="superscript"/>
        </w:rPr>
        <w:t>4</w:t>
      </w:r>
      <w:r w:rsidRPr="00363FDA">
        <w:rPr>
          <w:color w:val="000000"/>
        </w:rPr>
        <w:t>, Thierry Kerneis</w:t>
      </w:r>
      <w:r w:rsidRPr="00363FDA">
        <w:rPr>
          <w:color w:val="000000"/>
          <w:vertAlign w:val="superscript"/>
        </w:rPr>
        <w:t>4</w:t>
      </w:r>
      <w:r w:rsidRPr="00363FDA">
        <w:rPr>
          <w:color w:val="000000"/>
        </w:rPr>
        <w:t>, Stéphane Panserat</w:t>
      </w:r>
      <w:r w:rsidRPr="00363FDA">
        <w:rPr>
          <w:color w:val="000000"/>
          <w:vertAlign w:val="superscript"/>
        </w:rPr>
        <w:t>1</w:t>
      </w:r>
      <w:r w:rsidRPr="00363FDA">
        <w:rPr>
          <w:color w:val="000000"/>
        </w:rPr>
        <w:t>, Karine Ricaud</w:t>
      </w:r>
      <w:r w:rsidRPr="00363FDA">
        <w:rPr>
          <w:color w:val="000000"/>
          <w:vertAlign w:val="superscript"/>
        </w:rPr>
        <w:t>1</w:t>
      </w:r>
      <w:r w:rsidRPr="00363FDA">
        <w:rPr>
          <w:color w:val="000000"/>
        </w:rPr>
        <w:t>*</w:t>
      </w:r>
    </w:p>
    <w:p w:rsidR="00363FDA" w:rsidRPr="00363FDA" w:rsidRDefault="00363FDA" w:rsidP="00363FDA">
      <w:pPr>
        <w:tabs>
          <w:tab w:val="left" w:pos="9990"/>
        </w:tabs>
        <w:spacing w:line="276" w:lineRule="auto"/>
      </w:pPr>
    </w:p>
    <w:p w:rsidR="00363FDA" w:rsidRPr="00363FDA" w:rsidRDefault="00363FDA" w:rsidP="00363FDA">
      <w:pPr>
        <w:shd w:val="clear" w:color="auto" w:fill="FFFFFF"/>
        <w:spacing w:line="276" w:lineRule="auto"/>
        <w:jc w:val="both"/>
        <w:rPr>
          <w:vertAlign w:val="superscript"/>
        </w:rPr>
      </w:pPr>
    </w:p>
    <w:p w:rsidR="00363FDA" w:rsidRPr="00363FDA" w:rsidRDefault="00363FDA" w:rsidP="00363FDA">
      <w:pPr>
        <w:shd w:val="clear" w:color="auto" w:fill="FFFFFF"/>
        <w:jc w:val="both"/>
        <w:rPr>
          <w:lang w:val="fr-FR"/>
        </w:rPr>
      </w:pPr>
      <w:r w:rsidRPr="00363FDA">
        <w:rPr>
          <w:vertAlign w:val="superscript"/>
          <w:lang w:val="fr-FR"/>
        </w:rPr>
        <w:t>1</w:t>
      </w:r>
      <w:r w:rsidRPr="00363FDA">
        <w:rPr>
          <w:lang w:val="fr-FR"/>
        </w:rPr>
        <w:t>Université de Pau et des Pays de l'Adour, E2S UPPA</w:t>
      </w:r>
      <w:r w:rsidR="008F6C88">
        <w:rPr>
          <w:lang w:val="fr-FR"/>
        </w:rPr>
        <w:t>,</w:t>
      </w:r>
      <w:r w:rsidRPr="00363FDA">
        <w:rPr>
          <w:lang w:val="fr-FR"/>
        </w:rPr>
        <w:t xml:space="preserve"> </w:t>
      </w:r>
      <w:r w:rsidR="008F6C88" w:rsidRPr="00363FDA">
        <w:rPr>
          <w:lang w:val="fr-FR"/>
        </w:rPr>
        <w:t>INRAE</w:t>
      </w:r>
      <w:r w:rsidR="008F6C88">
        <w:rPr>
          <w:lang w:val="fr-FR"/>
        </w:rPr>
        <w:t xml:space="preserve">, </w:t>
      </w:r>
      <w:r w:rsidRPr="00363FDA">
        <w:rPr>
          <w:lang w:val="fr-FR"/>
        </w:rPr>
        <w:t>NUMEA, Saint-</w:t>
      </w:r>
      <w:proofErr w:type="spellStart"/>
      <w:r w:rsidRPr="00363FDA">
        <w:rPr>
          <w:lang w:val="fr-FR"/>
        </w:rPr>
        <w:t>Pée</w:t>
      </w:r>
      <w:proofErr w:type="spellEnd"/>
      <w:r w:rsidRPr="00363FDA">
        <w:rPr>
          <w:lang w:val="fr-FR"/>
        </w:rPr>
        <w:t>-sur-Nivelle, France</w:t>
      </w:r>
    </w:p>
    <w:p w:rsidR="00363FDA" w:rsidRPr="00363FDA" w:rsidRDefault="00363FDA" w:rsidP="00363FDA">
      <w:pPr>
        <w:shd w:val="clear" w:color="auto" w:fill="FFFFFF"/>
        <w:spacing w:line="276" w:lineRule="auto"/>
        <w:ind w:left="90" w:hanging="90"/>
        <w:jc w:val="both"/>
        <w:rPr>
          <w:vertAlign w:val="superscript"/>
          <w:lang w:val="fr-FR"/>
        </w:rPr>
      </w:pPr>
      <w:r w:rsidRPr="00363FDA">
        <w:rPr>
          <w:vertAlign w:val="superscript"/>
          <w:lang w:val="fr-FR"/>
        </w:rPr>
        <w:t>2</w:t>
      </w:r>
      <w:r w:rsidRPr="00363FDA">
        <w:rPr>
          <w:lang w:val="fr-FR"/>
        </w:rPr>
        <w:t>Universite de Pau et des Pays de l’Adour, E2S UPPA, CNRS, IMT Mines Ales, IPREM, Pau, France, Institut des sciences analytiques et de Physicochimie pour l'environnement et les Matériaux, UMR5254, Hélioparc, 2 avenue Président Angot, 64053 PAU cedex 9, France</w:t>
      </w:r>
    </w:p>
    <w:p w:rsidR="00363FDA" w:rsidRPr="00363FDA" w:rsidRDefault="00363FDA" w:rsidP="00363FDA">
      <w:pPr>
        <w:shd w:val="clear" w:color="auto" w:fill="FFFFFF"/>
        <w:spacing w:line="276" w:lineRule="auto"/>
        <w:ind w:left="90" w:hanging="90"/>
        <w:jc w:val="both"/>
        <w:rPr>
          <w:highlight w:val="white"/>
          <w:lang w:val="fr-FR"/>
        </w:rPr>
      </w:pPr>
      <w:r w:rsidRPr="00363FDA">
        <w:rPr>
          <w:vertAlign w:val="superscript"/>
          <w:lang w:val="fr-FR"/>
        </w:rPr>
        <w:t>3</w:t>
      </w:r>
      <w:r w:rsidRPr="00363FDA">
        <w:rPr>
          <w:highlight w:val="white"/>
          <w:lang w:val="fr-FR"/>
        </w:rPr>
        <w:t>UMR GABI, INRAE, AgroParisTech, Université Paris-Saclay, Jouy-en-Josas, France.</w:t>
      </w:r>
    </w:p>
    <w:p w:rsidR="001C1CFA" w:rsidRPr="00363FDA" w:rsidRDefault="00363FDA" w:rsidP="00363FDA">
      <w:pPr>
        <w:pStyle w:val="HTMLPreformatted"/>
        <w:jc w:val="both"/>
        <w:rPr>
          <w:rFonts w:ascii="Times New Roman" w:hAnsi="Times New Roman" w:cs="Times New Roman"/>
          <w:b/>
          <w:color w:val="000000"/>
          <w:sz w:val="24"/>
          <w:szCs w:val="24"/>
        </w:rPr>
      </w:pPr>
      <w:r w:rsidRPr="00363FDA">
        <w:rPr>
          <w:rFonts w:ascii="Times New Roman" w:hAnsi="Times New Roman" w:cs="Times New Roman"/>
          <w:sz w:val="24"/>
          <w:szCs w:val="24"/>
          <w:highlight w:val="white"/>
          <w:vertAlign w:val="superscript"/>
        </w:rPr>
        <w:t>4</w:t>
      </w:r>
      <w:r w:rsidRPr="00363FDA">
        <w:rPr>
          <w:rFonts w:ascii="Times New Roman" w:hAnsi="Times New Roman" w:cs="Times New Roman"/>
          <w:sz w:val="24"/>
          <w:szCs w:val="24"/>
          <w:highlight w:val="white"/>
        </w:rPr>
        <w:t xml:space="preserve">PEIMA, INRAE, </w:t>
      </w:r>
      <w:proofErr w:type="spellStart"/>
      <w:r w:rsidRPr="00363FDA">
        <w:rPr>
          <w:rFonts w:ascii="Times New Roman" w:hAnsi="Times New Roman" w:cs="Times New Roman"/>
          <w:sz w:val="24"/>
          <w:szCs w:val="24"/>
          <w:highlight w:val="white"/>
        </w:rPr>
        <w:t>Sizun</w:t>
      </w:r>
      <w:proofErr w:type="spellEnd"/>
      <w:r w:rsidRPr="00363FDA">
        <w:rPr>
          <w:rFonts w:ascii="Times New Roman" w:hAnsi="Times New Roman" w:cs="Times New Roman"/>
          <w:sz w:val="24"/>
          <w:szCs w:val="24"/>
          <w:highlight w:val="white"/>
        </w:rPr>
        <w:t>, France.</w:t>
      </w:r>
    </w:p>
    <w:p w:rsidR="00E71F61" w:rsidRPr="00363FDA" w:rsidRDefault="00E71F61" w:rsidP="00D65EFF">
      <w:pPr>
        <w:pStyle w:val="HTMLPreformatted"/>
        <w:jc w:val="both"/>
        <w:rPr>
          <w:rFonts w:ascii="Times New Roman" w:hAnsi="Times New Roman" w:cs="Times New Roman"/>
          <w:b/>
          <w:color w:val="000000"/>
          <w:sz w:val="24"/>
          <w:szCs w:val="24"/>
        </w:rPr>
      </w:pPr>
    </w:p>
    <w:p w:rsidR="001C1CFA" w:rsidRPr="00363FD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1C1CFA" w:rsidRDefault="001C1CFA" w:rsidP="00D65EFF">
      <w:pPr>
        <w:pStyle w:val="HTMLPreformatted"/>
        <w:jc w:val="both"/>
        <w:rPr>
          <w:rFonts w:ascii="Times New Roman" w:hAnsi="Times New Roman" w:cs="Times New Roman"/>
          <w:b/>
          <w:color w:val="000000"/>
          <w:sz w:val="24"/>
          <w:szCs w:val="24"/>
        </w:rPr>
      </w:pPr>
    </w:p>
    <w:p w:rsidR="00363FDA" w:rsidRDefault="00363FDA" w:rsidP="00D65EFF">
      <w:pPr>
        <w:pStyle w:val="HTMLPreformatted"/>
        <w:jc w:val="both"/>
        <w:rPr>
          <w:rFonts w:ascii="Times New Roman" w:hAnsi="Times New Roman" w:cs="Times New Roman"/>
          <w:b/>
          <w:color w:val="000000"/>
          <w:sz w:val="24"/>
          <w:szCs w:val="24"/>
        </w:rPr>
      </w:pPr>
    </w:p>
    <w:p w:rsidR="00E71F61" w:rsidRDefault="00E71F61" w:rsidP="00D65EFF">
      <w:pPr>
        <w:pStyle w:val="HTMLPreformatted"/>
        <w:jc w:val="both"/>
        <w:rPr>
          <w:rFonts w:ascii="Times New Roman" w:hAnsi="Times New Roman" w:cs="Times New Roman"/>
          <w:b/>
          <w:color w:val="000000"/>
          <w:sz w:val="24"/>
          <w:szCs w:val="24"/>
        </w:rPr>
      </w:pPr>
      <w:r>
        <w:rPr>
          <w:rFonts w:ascii="Times New Roman" w:hAnsi="Times New Roman" w:cs="Times New Roman"/>
          <w:b/>
          <w:color w:val="000000"/>
          <w:sz w:val="24"/>
          <w:szCs w:val="24"/>
        </w:rPr>
        <w:t>Supplementary figures</w:t>
      </w:r>
    </w:p>
    <w:p w:rsidR="00E71F61" w:rsidRDefault="00E71F61" w:rsidP="00D65EFF">
      <w:pPr>
        <w:pStyle w:val="HTMLPreformatted"/>
        <w:jc w:val="center"/>
        <w:rPr>
          <w:rFonts w:ascii="Times New Roman" w:hAnsi="Times New Roman" w:cs="Times New Roman"/>
          <w:b/>
          <w:color w:val="000000"/>
          <w:sz w:val="24"/>
          <w:szCs w:val="24"/>
        </w:rPr>
      </w:pPr>
    </w:p>
    <w:p w:rsidR="007509D5" w:rsidRDefault="000227D9" w:rsidP="00923A2B">
      <w:pPr>
        <w:pStyle w:val="HTMLPreformatted"/>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6309360" cy="4678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plementary figure 2.tif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09360" cy="4678680"/>
                    </a:xfrm>
                    <a:prstGeom prst="rect">
                      <a:avLst/>
                    </a:prstGeom>
                  </pic:spPr>
                </pic:pic>
              </a:graphicData>
            </a:graphic>
          </wp:inline>
        </w:drawing>
      </w:r>
    </w:p>
    <w:p w:rsidR="007509D5" w:rsidRDefault="007509D5" w:rsidP="00D65EFF">
      <w:pPr>
        <w:pStyle w:val="HTMLPreformatted"/>
        <w:jc w:val="both"/>
        <w:rPr>
          <w:rFonts w:ascii="Times New Roman" w:hAnsi="Times New Roman" w:cs="Times New Roman"/>
          <w:b/>
          <w:color w:val="000000"/>
          <w:sz w:val="24"/>
          <w:szCs w:val="24"/>
        </w:rPr>
      </w:pPr>
    </w:p>
    <w:p w:rsidR="00363FDA" w:rsidRDefault="00CE6990" w:rsidP="00363FDA">
      <w:pPr>
        <w:pStyle w:val="HTMLPreformatted"/>
        <w:spacing w:line="276" w:lineRule="auto"/>
        <w:jc w:val="both"/>
        <w:rPr>
          <w:rFonts w:ascii="Times New Roman" w:hAnsi="Times New Roman" w:cs="Times New Roman"/>
          <w:sz w:val="24"/>
          <w:szCs w:val="24"/>
        </w:rPr>
        <w:sectPr w:rsidR="00363FDA" w:rsidSect="00363FDA">
          <w:headerReference w:type="default" r:id="rId11"/>
          <w:footerReference w:type="default" r:id="rId12"/>
          <w:pgSz w:w="11906" w:h="16838"/>
          <w:pgMar w:top="1417" w:right="1151" w:bottom="1417" w:left="819" w:header="708" w:footer="708" w:gutter="0"/>
          <w:cols w:space="708"/>
          <w:docGrid w:linePitch="360"/>
        </w:sectPr>
      </w:pPr>
      <w:r w:rsidRPr="00CE6990">
        <w:rPr>
          <w:rFonts w:ascii="Times New Roman" w:hAnsi="Times New Roman" w:cs="Times New Roman"/>
          <w:b/>
          <w:sz w:val="24"/>
          <w:szCs w:val="24"/>
        </w:rPr>
        <w:t xml:space="preserve">Supplementary Figure </w:t>
      </w:r>
      <w:r w:rsidR="003A390E">
        <w:rPr>
          <w:rFonts w:ascii="Times New Roman" w:hAnsi="Times New Roman" w:cs="Times New Roman"/>
          <w:b/>
          <w:sz w:val="24"/>
          <w:szCs w:val="24"/>
        </w:rPr>
        <w:t>1</w:t>
      </w:r>
      <w:r w:rsidRPr="00CE6990">
        <w:rPr>
          <w:rFonts w:ascii="Times New Roman" w:hAnsi="Times New Roman" w:cs="Times New Roman"/>
          <w:sz w:val="24"/>
          <w:szCs w:val="24"/>
        </w:rPr>
        <w:t xml:space="preserve">: </w:t>
      </w:r>
      <w:bookmarkStart w:id="2" w:name="_Hlk90470691"/>
      <w:r w:rsidRPr="00CE6990">
        <w:rPr>
          <w:rFonts w:ascii="Times New Roman" w:hAnsi="Times New Roman" w:cs="Times New Roman"/>
          <w:sz w:val="24"/>
          <w:szCs w:val="24"/>
        </w:rPr>
        <w:t>Plot of alpha and beta diversity and OTU composition in the intestine of two genetic lines (Temoin</w:t>
      </w:r>
      <w:r>
        <w:rPr>
          <w:rFonts w:ascii="Times New Roman" w:hAnsi="Times New Roman" w:cs="Times New Roman"/>
          <w:sz w:val="24"/>
          <w:szCs w:val="24"/>
        </w:rPr>
        <w:t xml:space="preserve"> and </w:t>
      </w:r>
      <w:r w:rsidRPr="00CE6990">
        <w:rPr>
          <w:rFonts w:ascii="Times New Roman" w:hAnsi="Times New Roman" w:cs="Times New Roman"/>
          <w:sz w:val="24"/>
          <w:szCs w:val="24"/>
        </w:rPr>
        <w:t>Suav</w:t>
      </w:r>
      <w:r>
        <w:rPr>
          <w:rFonts w:ascii="Times New Roman" w:hAnsi="Times New Roman" w:cs="Times New Roman"/>
          <w:sz w:val="24"/>
          <w:szCs w:val="24"/>
        </w:rPr>
        <w:t>e</w:t>
      </w:r>
      <w:r w:rsidRPr="00CE6990">
        <w:rPr>
          <w:rFonts w:ascii="Times New Roman" w:hAnsi="Times New Roman" w:cs="Times New Roman"/>
          <w:sz w:val="24"/>
          <w:szCs w:val="24"/>
        </w:rPr>
        <w:t xml:space="preserve">) of rainbow trout fed 0% and 2% inulin before filtering out </w:t>
      </w:r>
      <w:r w:rsidRPr="00CE6990">
        <w:rPr>
          <w:rFonts w:ascii="Times New Roman" w:hAnsi="Times New Roman" w:cs="Times New Roman"/>
          <w:i/>
          <w:sz w:val="24"/>
          <w:szCs w:val="24"/>
        </w:rPr>
        <w:t>Mycoplasma</w:t>
      </w:r>
      <w:r w:rsidRPr="00CE6990">
        <w:rPr>
          <w:rFonts w:ascii="Times New Roman" w:hAnsi="Times New Roman" w:cs="Times New Roman"/>
          <w:sz w:val="24"/>
          <w:szCs w:val="24"/>
        </w:rPr>
        <w:t xml:space="preserve"> and </w:t>
      </w:r>
      <w:r w:rsidRPr="00CE6990">
        <w:rPr>
          <w:rFonts w:ascii="Times New Roman" w:hAnsi="Times New Roman" w:cs="Times New Roman"/>
          <w:i/>
          <w:sz w:val="24"/>
          <w:szCs w:val="24"/>
        </w:rPr>
        <w:t>Streptophyta</w:t>
      </w:r>
      <w:r w:rsidRPr="00CE6990">
        <w:rPr>
          <w:rFonts w:ascii="Times New Roman" w:hAnsi="Times New Roman" w:cs="Times New Roman"/>
          <w:sz w:val="24"/>
          <w:szCs w:val="24"/>
        </w:rPr>
        <w:t xml:space="preserve">. (A) Alpha diversity measures (Observed OTUs and Shannon index) in different feeding groups (TVO: Temoin-0% inulin; TVI: Temoin-2% inulin; SVO: Suave-0% inulin; SVI: Suave-2% inulin). Measurements were performed separately for the content (C) and </w:t>
      </w:r>
      <w:r>
        <w:rPr>
          <w:rFonts w:ascii="Times New Roman" w:hAnsi="Times New Roman" w:cs="Times New Roman"/>
          <w:sz w:val="24"/>
          <w:szCs w:val="24"/>
        </w:rPr>
        <w:t>mucus</w:t>
      </w:r>
      <w:r w:rsidRPr="00CE6990">
        <w:rPr>
          <w:rFonts w:ascii="Times New Roman" w:hAnsi="Times New Roman" w:cs="Times New Roman"/>
          <w:sz w:val="24"/>
          <w:szCs w:val="24"/>
        </w:rPr>
        <w:t xml:space="preserve"> (M) samples. There was no statistically significant effect of </w:t>
      </w:r>
      <w:r w:rsidR="004930C7">
        <w:rPr>
          <w:rFonts w:ascii="Times New Roman" w:hAnsi="Times New Roman" w:cs="Times New Roman"/>
          <w:sz w:val="24"/>
          <w:szCs w:val="24"/>
        </w:rPr>
        <w:t>inulin</w:t>
      </w:r>
      <w:r w:rsidRPr="00CE6990">
        <w:rPr>
          <w:rFonts w:ascii="Times New Roman" w:hAnsi="Times New Roman" w:cs="Times New Roman"/>
          <w:sz w:val="24"/>
          <w:szCs w:val="24"/>
        </w:rPr>
        <w:t xml:space="preserve"> or </w:t>
      </w:r>
      <w:r w:rsidR="004930C7">
        <w:rPr>
          <w:rFonts w:ascii="Times New Roman" w:hAnsi="Times New Roman" w:cs="Times New Roman"/>
          <w:sz w:val="24"/>
          <w:szCs w:val="24"/>
        </w:rPr>
        <w:t>line</w:t>
      </w:r>
      <w:r w:rsidRPr="00CE6990">
        <w:rPr>
          <w:rFonts w:ascii="Times New Roman" w:hAnsi="Times New Roman" w:cs="Times New Roman"/>
          <w:sz w:val="24"/>
          <w:szCs w:val="24"/>
        </w:rPr>
        <w:t xml:space="preserve"> on the alpha diversity measurement (Two-way ANOVA; p&gt;0.05). The differences between the mucus and content samples were significant</w:t>
      </w:r>
      <w:r w:rsidR="00363FDA">
        <w:rPr>
          <w:rFonts w:ascii="Times New Roman" w:hAnsi="Times New Roman" w:cs="Times New Roman"/>
          <w:sz w:val="24"/>
          <w:szCs w:val="24"/>
        </w:rPr>
        <w:t xml:space="preserve"> </w:t>
      </w:r>
      <w:r w:rsidR="00363FDA" w:rsidRPr="00CE6990">
        <w:rPr>
          <w:rFonts w:ascii="Times New Roman" w:hAnsi="Times New Roman" w:cs="Times New Roman"/>
          <w:sz w:val="24"/>
          <w:szCs w:val="24"/>
        </w:rPr>
        <w:t xml:space="preserve">both the observed and Shannon indexes (One-way ANOVA; p=0.0001). (B) Beta diversity calculated using the Bray-Curtis dissimilarity matrix is shown in an NMDS plot. Sample types (content and mucus) are color coded. Feeding groups are represented by different shapes (0% inulin: sphere; 2% inulin: triangle). There was a significant effect of sample type (mucus </w:t>
      </w:r>
      <w:r w:rsidR="00C06CB4">
        <w:rPr>
          <w:rFonts w:ascii="Times New Roman" w:hAnsi="Times New Roman" w:cs="Times New Roman"/>
          <w:sz w:val="24"/>
          <w:szCs w:val="24"/>
        </w:rPr>
        <w:t>Vs</w:t>
      </w:r>
      <w:r w:rsidR="00363FDA" w:rsidRPr="00CE6990">
        <w:rPr>
          <w:rFonts w:ascii="Times New Roman" w:hAnsi="Times New Roman" w:cs="Times New Roman"/>
          <w:sz w:val="24"/>
          <w:szCs w:val="24"/>
        </w:rPr>
        <w:t xml:space="preserve"> contents) on </w:t>
      </w:r>
      <w:r w:rsidR="00C06CB4">
        <w:rPr>
          <w:rFonts w:ascii="Times New Roman" w:hAnsi="Times New Roman" w:cs="Times New Roman"/>
          <w:sz w:val="24"/>
          <w:szCs w:val="24"/>
        </w:rPr>
        <w:t xml:space="preserve">beta diversity </w:t>
      </w:r>
      <w:r w:rsidR="00363FDA" w:rsidRPr="00CE6990">
        <w:rPr>
          <w:rFonts w:ascii="Times New Roman" w:hAnsi="Times New Roman" w:cs="Times New Roman"/>
          <w:sz w:val="24"/>
          <w:szCs w:val="24"/>
        </w:rPr>
        <w:t>(PERMANOVA: P=0.0001). (C) Composition of the different OTUs in the content (C) and mucus (M) samples. Taxonomies assigned to OTUs are color-coded (at genus level). Feeding groups</w:t>
      </w:r>
      <w:r w:rsidR="00363FDA">
        <w:rPr>
          <w:rFonts w:ascii="Times New Roman" w:hAnsi="Times New Roman" w:cs="Times New Roman"/>
          <w:sz w:val="24"/>
          <w:szCs w:val="24"/>
        </w:rPr>
        <w:t xml:space="preserve"> are symbolized as</w:t>
      </w:r>
      <w:r w:rsidR="00363FDA" w:rsidRPr="00CE6990">
        <w:rPr>
          <w:rFonts w:ascii="Times New Roman" w:hAnsi="Times New Roman" w:cs="Times New Roman"/>
          <w:sz w:val="24"/>
          <w:szCs w:val="24"/>
        </w:rPr>
        <w:t xml:space="preserve"> TVO: Temoin-0% inulin; TVI: Temoin-2% inulin; SVO: Suave-0% inulin; SVI: Suave-2% inulin.</w:t>
      </w:r>
    </w:p>
    <w:p w:rsidR="00363FDA" w:rsidRPr="00CE6990" w:rsidRDefault="00363FDA" w:rsidP="00363FDA">
      <w:pPr>
        <w:pStyle w:val="HTMLPreformatted"/>
        <w:spacing w:line="276" w:lineRule="auto"/>
        <w:jc w:val="both"/>
        <w:rPr>
          <w:rFonts w:ascii="Times New Roman" w:hAnsi="Times New Roman" w:cs="Times New Roman"/>
          <w:b/>
          <w:color w:val="000000"/>
          <w:sz w:val="24"/>
          <w:szCs w:val="24"/>
        </w:rPr>
      </w:pPr>
    </w:p>
    <w:p w:rsidR="00363FDA" w:rsidRDefault="00363FDA" w:rsidP="00363FDA">
      <w:pPr>
        <w:pStyle w:val="HTMLPreformatted"/>
        <w:spacing w:line="276" w:lineRule="auto"/>
        <w:jc w:val="both"/>
        <w:rPr>
          <w:rFonts w:ascii="Times New Roman" w:hAnsi="Times New Roman" w:cs="Times New Roman"/>
          <w:b/>
          <w:color w:val="000000"/>
          <w:sz w:val="24"/>
          <w:szCs w:val="24"/>
        </w:rPr>
      </w:pPr>
    </w:p>
    <w:p w:rsidR="00363FDA" w:rsidRDefault="00363FDA" w:rsidP="00886A44">
      <w:pPr>
        <w:pStyle w:val="HTMLPreformatted"/>
        <w:spacing w:line="276" w:lineRule="auto"/>
        <w:jc w:val="both"/>
        <w:rPr>
          <w:rFonts w:ascii="Times New Roman" w:hAnsi="Times New Roman" w:cs="Times New Roman"/>
          <w:sz w:val="24"/>
          <w:szCs w:val="24"/>
        </w:rPr>
        <w:sectPr w:rsidR="00363FDA" w:rsidSect="00363FDA">
          <w:type w:val="continuous"/>
          <w:pgSz w:w="11906" w:h="16838"/>
          <w:pgMar w:top="1417" w:right="1151" w:bottom="1417" w:left="819" w:header="708" w:footer="708" w:gutter="0"/>
          <w:cols w:space="708"/>
          <w:docGrid w:linePitch="360"/>
        </w:sectPr>
      </w:pPr>
    </w:p>
    <w:bookmarkEnd w:id="2"/>
    <w:p w:rsidR="007509D5" w:rsidRPr="00474AB4" w:rsidRDefault="009856D3" w:rsidP="00886A44">
      <w:pPr>
        <w:pStyle w:val="HTMLPreformatted"/>
        <w:spacing w:line="276" w:lineRule="auto"/>
        <w:jc w:val="both"/>
        <w:rPr>
          <w:rFonts w:ascii="Times New Roman" w:hAnsi="Times New Roman" w:cs="Times New Roman"/>
          <w:sz w:val="24"/>
          <w:szCs w:val="24"/>
          <w:bdr w:val="none" w:sz="0" w:space="0" w:color="auto" w:frame="1"/>
        </w:rPr>
      </w:pPr>
      <w:r w:rsidRPr="007509D5">
        <w:rPr>
          <w:rFonts w:ascii="Times New Roman" w:hAnsi="Times New Roman" w:cs="Times New Roman"/>
          <w:b/>
          <w:color w:val="000000"/>
          <w:sz w:val="24"/>
          <w:szCs w:val="24"/>
        </w:rPr>
        <w:lastRenderedPageBreak/>
        <w:t>Supplementary table 1</w:t>
      </w:r>
      <w:r w:rsidR="003154B1" w:rsidRPr="00AC0F7B">
        <w:rPr>
          <w:rFonts w:ascii="Times New Roman" w:hAnsi="Times New Roman" w:cs="Times New Roman"/>
          <w:color w:val="000000"/>
          <w:sz w:val="24"/>
          <w:szCs w:val="24"/>
        </w:rPr>
        <w:t xml:space="preserve">: </w:t>
      </w:r>
      <w:r w:rsidR="00AC0F7B" w:rsidRPr="00AC0F7B">
        <w:rPr>
          <w:rStyle w:val="word"/>
          <w:rFonts w:ascii="Times New Roman" w:hAnsi="Times New Roman" w:cs="Times New Roman"/>
          <w:sz w:val="24"/>
          <w:szCs w:val="24"/>
          <w:bdr w:val="none" w:sz="0" w:space="0" w:color="auto" w:frame="1"/>
        </w:rPr>
        <w:t>Analysis</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of</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the</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nutrient</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composition</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of</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the</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different</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feeds</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used</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in</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the</w:t>
      </w:r>
      <w:r w:rsidR="00AC0F7B" w:rsidRPr="00AC0F7B">
        <w:rPr>
          <w:rStyle w:val="space"/>
          <w:rFonts w:ascii="Times New Roman" w:hAnsi="Times New Roman" w:cs="Times New Roman"/>
          <w:sz w:val="24"/>
          <w:szCs w:val="24"/>
          <w:bdr w:val="none" w:sz="0" w:space="0" w:color="auto" w:frame="1"/>
        </w:rPr>
        <w:t xml:space="preserve"> </w:t>
      </w:r>
      <w:r w:rsidR="00AC0F7B" w:rsidRPr="00AC0F7B">
        <w:rPr>
          <w:rStyle w:val="word"/>
          <w:rFonts w:ascii="Times New Roman" w:hAnsi="Times New Roman" w:cs="Times New Roman"/>
          <w:sz w:val="24"/>
          <w:szCs w:val="24"/>
          <w:bdr w:val="none" w:sz="0" w:space="0" w:color="auto" w:frame="1"/>
        </w:rPr>
        <w:t>study.</w:t>
      </w:r>
      <w:r w:rsidR="00AC0F7B" w:rsidRPr="00AC0F7B">
        <w:rPr>
          <w:rStyle w:val="space"/>
          <w:rFonts w:ascii="Times New Roman" w:hAnsi="Times New Roman" w:cs="Times New Roman"/>
          <w:sz w:val="24"/>
          <w:szCs w:val="24"/>
          <w:bdr w:val="none" w:sz="0" w:space="0" w:color="auto" w:frame="1"/>
        </w:rPr>
        <w:t xml:space="preserve"> </w:t>
      </w:r>
    </w:p>
    <w:tbl>
      <w:tblPr>
        <w:tblW w:w="13388" w:type="dxa"/>
        <w:tblCellMar>
          <w:left w:w="0" w:type="dxa"/>
          <w:right w:w="0" w:type="dxa"/>
        </w:tblCellMar>
        <w:tblLook w:val="04A0"/>
      </w:tblPr>
      <w:tblGrid>
        <w:gridCol w:w="2999"/>
        <w:gridCol w:w="4111"/>
        <w:gridCol w:w="4118"/>
        <w:gridCol w:w="2160"/>
      </w:tblGrid>
      <w:tr w:rsidR="00814BDF" w:rsidRPr="00814BDF" w:rsidTr="008B08A9">
        <w:trPr>
          <w:trHeight w:val="300"/>
        </w:trPr>
        <w:tc>
          <w:tcPr>
            <w:tcW w:w="299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14BDF" w:rsidRPr="00814BDF" w:rsidRDefault="00814BDF" w:rsidP="00814BDF">
            <w:pPr>
              <w:rPr>
                <w:color w:val="000000"/>
                <w:lang w:eastAsia="en-US"/>
              </w:rPr>
            </w:pPr>
            <w:r w:rsidRPr="00814BDF">
              <w:rPr>
                <w:color w:val="000000"/>
              </w:rPr>
              <w:t>Parameters</w:t>
            </w:r>
          </w:p>
        </w:tc>
        <w:tc>
          <w:tcPr>
            <w:tcW w:w="411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Control</w:t>
            </w:r>
            <w:r w:rsidR="00C2152A">
              <w:rPr>
                <w:color w:val="000000"/>
              </w:rPr>
              <w:t xml:space="preserve"> diet</w:t>
            </w:r>
            <w:r w:rsidRPr="00814BDF">
              <w:rPr>
                <w:color w:val="000000"/>
              </w:rPr>
              <w:t xml:space="preserve"> (</w:t>
            </w:r>
            <w:r w:rsidR="00C2152A">
              <w:rPr>
                <w:color w:val="000000"/>
              </w:rPr>
              <w:t xml:space="preserve">0% inulin; </w:t>
            </w:r>
            <w:r w:rsidRPr="00814BDF">
              <w:rPr>
                <w:color w:val="000000"/>
              </w:rPr>
              <w:t>TVO, SVO)</w:t>
            </w:r>
          </w:p>
        </w:tc>
        <w:tc>
          <w:tcPr>
            <w:tcW w:w="411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14BDF" w:rsidRPr="00363FDA" w:rsidRDefault="00814BDF">
            <w:pPr>
              <w:jc w:val="center"/>
              <w:rPr>
                <w:color w:val="000000"/>
                <w:lang w:val="nb-NO"/>
              </w:rPr>
            </w:pPr>
            <w:r w:rsidRPr="00814BDF">
              <w:rPr>
                <w:color w:val="000000"/>
              </w:rPr>
              <w:t xml:space="preserve"> </w:t>
            </w:r>
            <w:r w:rsidR="008B08A9" w:rsidRPr="00363FDA">
              <w:rPr>
                <w:color w:val="000000"/>
                <w:lang w:val="nb-NO"/>
              </w:rPr>
              <w:t xml:space="preserve">Experimental diet </w:t>
            </w:r>
            <w:r w:rsidRPr="00363FDA">
              <w:rPr>
                <w:color w:val="000000"/>
                <w:lang w:val="nb-NO"/>
              </w:rPr>
              <w:t>(</w:t>
            </w:r>
            <w:r w:rsidR="00C2152A" w:rsidRPr="00363FDA">
              <w:rPr>
                <w:color w:val="000000"/>
                <w:lang w:val="nb-NO"/>
              </w:rPr>
              <w:t>2% inulin; TV</w:t>
            </w:r>
            <w:r w:rsidR="008B08A9" w:rsidRPr="00363FDA">
              <w:rPr>
                <w:color w:val="000000"/>
                <w:lang w:val="nb-NO"/>
              </w:rPr>
              <w:t>I</w:t>
            </w:r>
            <w:r w:rsidR="00C2152A" w:rsidRPr="00363FDA">
              <w:rPr>
                <w:color w:val="000000"/>
                <w:lang w:val="nb-NO"/>
              </w:rPr>
              <w:t>, SV</w:t>
            </w:r>
            <w:r w:rsidR="008B08A9" w:rsidRPr="00363FDA">
              <w:rPr>
                <w:color w:val="000000"/>
                <w:lang w:val="nb-NO"/>
              </w:rPr>
              <w:t>I</w:t>
            </w:r>
            <w:r w:rsidRPr="00363FDA">
              <w:rPr>
                <w:color w:val="000000"/>
                <w:lang w:val="nb-NO"/>
              </w:rPr>
              <w:t>)</w:t>
            </w:r>
          </w:p>
        </w:tc>
        <w:tc>
          <w:tcPr>
            <w:tcW w:w="21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 xml:space="preserve">p value </w:t>
            </w:r>
          </w:p>
        </w:tc>
      </w:tr>
      <w:tr w:rsidR="00814BDF" w:rsidRPr="00814BDF" w:rsidTr="008B08A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rsidP="00814BDF">
            <w:pPr>
              <w:rPr>
                <w:color w:val="000000"/>
              </w:rPr>
            </w:pPr>
            <w:r w:rsidRPr="00814BDF">
              <w:rPr>
                <w:color w:val="000000"/>
              </w:rPr>
              <w:t>Crude lipids (%DM)</w:t>
            </w:r>
          </w:p>
        </w:tc>
        <w:tc>
          <w:tcPr>
            <w:tcW w:w="4111"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23.08 ± 0.27</w:t>
            </w:r>
          </w:p>
        </w:tc>
        <w:tc>
          <w:tcPr>
            <w:tcW w:w="4118"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21.46 ± 0.45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&gt;0.05</w:t>
            </w:r>
          </w:p>
        </w:tc>
      </w:tr>
      <w:tr w:rsidR="00814BDF" w:rsidRPr="00814BDF" w:rsidTr="008B08A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rsidP="00814BDF">
            <w:pPr>
              <w:rPr>
                <w:color w:val="000000"/>
              </w:rPr>
            </w:pPr>
            <w:r w:rsidRPr="00814BDF">
              <w:rPr>
                <w:color w:val="000000"/>
              </w:rPr>
              <w:t>Crude protein (%DM)</w:t>
            </w:r>
          </w:p>
        </w:tc>
        <w:tc>
          <w:tcPr>
            <w:tcW w:w="4111"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45.18 ± 0.18</w:t>
            </w:r>
          </w:p>
        </w:tc>
        <w:tc>
          <w:tcPr>
            <w:tcW w:w="4118"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45.76 ± 0.37</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&gt;0.05</w:t>
            </w:r>
          </w:p>
        </w:tc>
      </w:tr>
      <w:tr w:rsidR="00814BDF" w:rsidRPr="00814BDF" w:rsidTr="008B08A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rsidP="00814BDF">
            <w:pPr>
              <w:rPr>
                <w:color w:val="000000"/>
              </w:rPr>
            </w:pPr>
            <w:r w:rsidRPr="00814BDF">
              <w:rPr>
                <w:color w:val="000000"/>
              </w:rPr>
              <w:t>Gross energy (kJ kg−1 of DM)</w:t>
            </w:r>
          </w:p>
        </w:tc>
        <w:tc>
          <w:tcPr>
            <w:tcW w:w="4111"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24.54 ± 0.02</w:t>
            </w:r>
          </w:p>
        </w:tc>
        <w:tc>
          <w:tcPr>
            <w:tcW w:w="4118"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24.32 ± 0.04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&gt;0.05</w:t>
            </w:r>
          </w:p>
        </w:tc>
      </w:tr>
      <w:tr w:rsidR="00814BDF" w:rsidRPr="00814BDF" w:rsidTr="008B08A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rsidP="00814BDF">
            <w:pPr>
              <w:rPr>
                <w:color w:val="000000"/>
              </w:rPr>
            </w:pPr>
            <w:r w:rsidRPr="00814BDF">
              <w:rPr>
                <w:color w:val="000000"/>
              </w:rPr>
              <w:t>Dry matter (DM</w:t>
            </w:r>
            <w:proofErr w:type="gramStart"/>
            <w:r w:rsidRPr="00814BDF">
              <w:rPr>
                <w:color w:val="000000"/>
              </w:rPr>
              <w:t>)(</w:t>
            </w:r>
            <w:proofErr w:type="gramEnd"/>
            <w:r w:rsidRPr="00814BDF">
              <w:rPr>
                <w:color w:val="000000"/>
              </w:rPr>
              <w:t>%)</w:t>
            </w:r>
          </w:p>
        </w:tc>
        <w:tc>
          <w:tcPr>
            <w:tcW w:w="4111"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95.87 ± 0.26</w:t>
            </w:r>
          </w:p>
        </w:tc>
        <w:tc>
          <w:tcPr>
            <w:tcW w:w="4118"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96.49 ± 0.21</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&gt;0.05</w:t>
            </w:r>
          </w:p>
        </w:tc>
      </w:tr>
      <w:tr w:rsidR="00814BDF" w:rsidRPr="00814BDF" w:rsidTr="008B08A9">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14BDF" w:rsidRPr="00814BDF" w:rsidRDefault="00814BDF" w:rsidP="00814BDF">
            <w:pPr>
              <w:rPr>
                <w:color w:val="000000"/>
              </w:rPr>
            </w:pPr>
            <w:r w:rsidRPr="00814BDF">
              <w:rPr>
                <w:color w:val="000000"/>
              </w:rPr>
              <w:t>Ash (%)</w:t>
            </w:r>
          </w:p>
        </w:tc>
        <w:tc>
          <w:tcPr>
            <w:tcW w:w="411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6.42 ± 0.05</w:t>
            </w:r>
          </w:p>
        </w:tc>
        <w:tc>
          <w:tcPr>
            <w:tcW w:w="411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7.77 ± 0.04</w:t>
            </w:r>
          </w:p>
        </w:tc>
        <w:tc>
          <w:tcPr>
            <w:tcW w:w="21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14BDF" w:rsidRPr="00814BDF" w:rsidRDefault="00814BDF">
            <w:pPr>
              <w:jc w:val="center"/>
              <w:rPr>
                <w:color w:val="000000"/>
              </w:rPr>
            </w:pPr>
            <w:r w:rsidRPr="00814BDF">
              <w:rPr>
                <w:color w:val="000000"/>
              </w:rPr>
              <w:t>&gt;0.05</w:t>
            </w:r>
          </w:p>
        </w:tc>
      </w:tr>
    </w:tbl>
    <w:p w:rsidR="00ED553D" w:rsidRDefault="00814BDF" w:rsidP="00886A44">
      <w:pPr>
        <w:spacing w:line="276" w:lineRule="auto"/>
        <w:jc w:val="both"/>
        <w:rPr>
          <w:lang w:val="en-US"/>
        </w:rPr>
      </w:pPr>
      <w:r>
        <w:rPr>
          <w:lang w:val="en-US"/>
        </w:rPr>
        <w:t xml:space="preserve"> </w:t>
      </w:r>
      <w:r w:rsidR="006D3363">
        <w:rPr>
          <w:lang w:val="en-US"/>
        </w:rPr>
        <w:t xml:space="preserve">The data is presented as the mean </w:t>
      </w:r>
      <w:r w:rsidR="006D3363" w:rsidRPr="00320B5B">
        <w:rPr>
          <w:color w:val="000000"/>
          <w:sz w:val="22"/>
          <w:szCs w:val="22"/>
        </w:rPr>
        <w:t>±</w:t>
      </w:r>
      <w:r w:rsidR="006D3363">
        <w:rPr>
          <w:color w:val="000000"/>
          <w:sz w:val="22"/>
          <w:szCs w:val="22"/>
          <w:lang w:val="en-US"/>
        </w:rPr>
        <w:t xml:space="preserve"> </w:t>
      </w:r>
      <w:r w:rsidR="00C65228">
        <w:rPr>
          <w:color w:val="000000"/>
          <w:sz w:val="22"/>
          <w:szCs w:val="22"/>
          <w:lang w:val="en-US"/>
        </w:rPr>
        <w:t>Sd</w:t>
      </w:r>
      <w:r w:rsidR="006D3363">
        <w:rPr>
          <w:color w:val="000000"/>
          <w:sz w:val="22"/>
          <w:szCs w:val="22"/>
          <w:lang w:val="en-US"/>
        </w:rPr>
        <w:t xml:space="preserve">, n=3. </w:t>
      </w:r>
      <w:r w:rsidR="006D3363">
        <w:rPr>
          <w:lang w:val="en-US"/>
        </w:rPr>
        <w:t>Means between the groups were compared using a one-way ANOVA. There were no significant differences in means between groups (p&gt;0.05)</w:t>
      </w:r>
      <w:r w:rsidR="00ED553D">
        <w:rPr>
          <w:lang w:val="en-US"/>
        </w:rPr>
        <w:t>.</w:t>
      </w:r>
    </w:p>
    <w:p w:rsidR="0058124F" w:rsidRDefault="0058124F" w:rsidP="00886A44">
      <w:pPr>
        <w:spacing w:line="276" w:lineRule="auto"/>
        <w:jc w:val="both"/>
        <w:rPr>
          <w:color w:val="000000"/>
        </w:rPr>
      </w:pPr>
    </w:p>
    <w:p w:rsidR="00474AB4" w:rsidRDefault="00474AB4" w:rsidP="00886A44">
      <w:pPr>
        <w:spacing w:line="276" w:lineRule="auto"/>
        <w:jc w:val="both"/>
        <w:rPr>
          <w:color w:val="000000"/>
        </w:rPr>
      </w:pPr>
    </w:p>
    <w:p w:rsidR="00474AB4" w:rsidRDefault="00474AB4" w:rsidP="00886A44">
      <w:pPr>
        <w:spacing w:line="276" w:lineRule="auto"/>
        <w:jc w:val="both"/>
        <w:rPr>
          <w:color w:val="000000"/>
        </w:rPr>
      </w:pPr>
    </w:p>
    <w:p w:rsidR="00057024" w:rsidRDefault="00057024" w:rsidP="00886A44">
      <w:pPr>
        <w:spacing w:line="276" w:lineRule="auto"/>
        <w:jc w:val="both"/>
        <w:rPr>
          <w:color w:val="000000"/>
        </w:rPr>
      </w:pPr>
    </w:p>
    <w:p w:rsidR="007509D5" w:rsidRPr="003154B1" w:rsidRDefault="00ED553D" w:rsidP="00886A44">
      <w:pPr>
        <w:spacing w:line="276" w:lineRule="auto"/>
        <w:jc w:val="both"/>
        <w:rPr>
          <w:color w:val="000000"/>
          <w:lang w:val="en-US"/>
        </w:rPr>
      </w:pPr>
      <w:r w:rsidRPr="007509D5">
        <w:rPr>
          <w:b/>
          <w:color w:val="000000"/>
        </w:rPr>
        <w:t xml:space="preserve">Supplementary table </w:t>
      </w:r>
      <w:r w:rsidR="00995E06">
        <w:rPr>
          <w:b/>
          <w:color w:val="000000"/>
        </w:rPr>
        <w:t>2</w:t>
      </w:r>
      <w:r>
        <w:rPr>
          <w:color w:val="000000"/>
          <w:lang w:val="en-US"/>
        </w:rPr>
        <w:t>: Whole body proximate composition of the fish at the end of the experiment</w:t>
      </w:r>
      <w:r w:rsidR="00C00FB6">
        <w:rPr>
          <w:color w:val="000000"/>
          <w:lang w:val="en-US"/>
        </w:rPr>
        <w:t>.</w:t>
      </w:r>
    </w:p>
    <w:tbl>
      <w:tblPr>
        <w:tblW w:w="15220" w:type="dxa"/>
        <w:tblLook w:val="04A0"/>
      </w:tblPr>
      <w:tblGrid>
        <w:gridCol w:w="3660"/>
        <w:gridCol w:w="1740"/>
        <w:gridCol w:w="1860"/>
        <w:gridCol w:w="1860"/>
        <w:gridCol w:w="1940"/>
        <w:gridCol w:w="1075"/>
        <w:gridCol w:w="1014"/>
        <w:gridCol w:w="2071"/>
      </w:tblGrid>
      <w:tr w:rsidR="00997288" w:rsidRPr="00814BDF" w:rsidTr="00997288">
        <w:trPr>
          <w:trHeight w:val="315"/>
        </w:trPr>
        <w:tc>
          <w:tcPr>
            <w:tcW w:w="3660" w:type="dxa"/>
            <w:vMerge w:val="restart"/>
            <w:tcBorders>
              <w:top w:val="single" w:sz="4" w:space="0" w:color="auto"/>
              <w:left w:val="nil"/>
              <w:bottom w:val="single" w:sz="4" w:space="0" w:color="000000"/>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Parameters</w:t>
            </w:r>
          </w:p>
        </w:tc>
        <w:tc>
          <w:tcPr>
            <w:tcW w:w="1740" w:type="dxa"/>
            <w:vMerge w:val="restart"/>
            <w:tcBorders>
              <w:top w:val="single" w:sz="4" w:space="0" w:color="auto"/>
              <w:left w:val="nil"/>
              <w:bottom w:val="single" w:sz="4" w:space="0" w:color="000000"/>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TVO</w:t>
            </w:r>
          </w:p>
        </w:tc>
        <w:tc>
          <w:tcPr>
            <w:tcW w:w="1860" w:type="dxa"/>
            <w:vMerge w:val="restart"/>
            <w:tcBorders>
              <w:top w:val="single" w:sz="4" w:space="0" w:color="auto"/>
              <w:left w:val="nil"/>
              <w:bottom w:val="single" w:sz="4" w:space="0" w:color="000000"/>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TVI</w:t>
            </w:r>
          </w:p>
        </w:tc>
        <w:tc>
          <w:tcPr>
            <w:tcW w:w="1860" w:type="dxa"/>
            <w:vMerge w:val="restart"/>
            <w:tcBorders>
              <w:top w:val="single" w:sz="4" w:space="0" w:color="auto"/>
              <w:left w:val="nil"/>
              <w:bottom w:val="single" w:sz="4" w:space="0" w:color="000000"/>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SVO</w:t>
            </w:r>
          </w:p>
        </w:tc>
        <w:tc>
          <w:tcPr>
            <w:tcW w:w="1940" w:type="dxa"/>
            <w:vMerge w:val="restart"/>
            <w:tcBorders>
              <w:top w:val="single" w:sz="4" w:space="0" w:color="auto"/>
              <w:left w:val="nil"/>
              <w:bottom w:val="single" w:sz="4" w:space="0" w:color="000000"/>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SVI</w:t>
            </w:r>
          </w:p>
        </w:tc>
        <w:tc>
          <w:tcPr>
            <w:tcW w:w="4160" w:type="dxa"/>
            <w:gridSpan w:val="3"/>
            <w:tcBorders>
              <w:top w:val="single" w:sz="4" w:space="0" w:color="auto"/>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p value</w:t>
            </w:r>
          </w:p>
        </w:tc>
      </w:tr>
      <w:tr w:rsidR="00997288" w:rsidRPr="00814BDF" w:rsidTr="00997288">
        <w:trPr>
          <w:trHeight w:val="315"/>
        </w:trPr>
        <w:tc>
          <w:tcPr>
            <w:tcW w:w="3660" w:type="dxa"/>
            <w:vMerge/>
            <w:tcBorders>
              <w:top w:val="single" w:sz="4" w:space="0" w:color="auto"/>
              <w:left w:val="nil"/>
              <w:bottom w:val="single" w:sz="4" w:space="0" w:color="000000"/>
              <w:right w:val="nil"/>
            </w:tcBorders>
            <w:vAlign w:val="center"/>
            <w:hideMark/>
          </w:tcPr>
          <w:p w:rsidR="00997288" w:rsidRPr="00814BDF" w:rsidRDefault="00997288" w:rsidP="00997288">
            <w:pPr>
              <w:rPr>
                <w:color w:val="000000"/>
                <w:lang w:val="en-US" w:eastAsia="en-US"/>
              </w:rPr>
            </w:pPr>
          </w:p>
        </w:tc>
        <w:tc>
          <w:tcPr>
            <w:tcW w:w="1740" w:type="dxa"/>
            <w:vMerge/>
            <w:tcBorders>
              <w:top w:val="single" w:sz="4" w:space="0" w:color="auto"/>
              <w:left w:val="nil"/>
              <w:bottom w:val="single" w:sz="4" w:space="0" w:color="000000"/>
              <w:right w:val="nil"/>
            </w:tcBorders>
            <w:vAlign w:val="center"/>
            <w:hideMark/>
          </w:tcPr>
          <w:p w:rsidR="00997288" w:rsidRPr="00814BDF" w:rsidRDefault="00997288" w:rsidP="00997288">
            <w:pPr>
              <w:rPr>
                <w:color w:val="000000"/>
                <w:lang w:val="en-US" w:eastAsia="en-US"/>
              </w:rPr>
            </w:pPr>
          </w:p>
        </w:tc>
        <w:tc>
          <w:tcPr>
            <w:tcW w:w="1860" w:type="dxa"/>
            <w:vMerge/>
            <w:tcBorders>
              <w:top w:val="single" w:sz="4" w:space="0" w:color="auto"/>
              <w:left w:val="nil"/>
              <w:bottom w:val="single" w:sz="4" w:space="0" w:color="000000"/>
              <w:right w:val="nil"/>
            </w:tcBorders>
            <w:vAlign w:val="center"/>
            <w:hideMark/>
          </w:tcPr>
          <w:p w:rsidR="00997288" w:rsidRPr="00814BDF" w:rsidRDefault="00997288" w:rsidP="00997288">
            <w:pPr>
              <w:rPr>
                <w:color w:val="000000"/>
                <w:lang w:val="en-US" w:eastAsia="en-US"/>
              </w:rPr>
            </w:pPr>
          </w:p>
        </w:tc>
        <w:tc>
          <w:tcPr>
            <w:tcW w:w="1860" w:type="dxa"/>
            <w:vMerge/>
            <w:tcBorders>
              <w:top w:val="single" w:sz="4" w:space="0" w:color="auto"/>
              <w:left w:val="nil"/>
              <w:bottom w:val="single" w:sz="4" w:space="0" w:color="000000"/>
              <w:right w:val="nil"/>
            </w:tcBorders>
            <w:vAlign w:val="center"/>
            <w:hideMark/>
          </w:tcPr>
          <w:p w:rsidR="00997288" w:rsidRPr="00814BDF" w:rsidRDefault="00997288" w:rsidP="00997288">
            <w:pPr>
              <w:rPr>
                <w:color w:val="000000"/>
                <w:lang w:val="en-US" w:eastAsia="en-US"/>
              </w:rPr>
            </w:pPr>
          </w:p>
        </w:tc>
        <w:tc>
          <w:tcPr>
            <w:tcW w:w="1940" w:type="dxa"/>
            <w:vMerge/>
            <w:tcBorders>
              <w:top w:val="single" w:sz="4" w:space="0" w:color="auto"/>
              <w:left w:val="nil"/>
              <w:bottom w:val="single" w:sz="4" w:space="0" w:color="000000"/>
              <w:right w:val="nil"/>
            </w:tcBorders>
            <w:vAlign w:val="center"/>
            <w:hideMark/>
          </w:tcPr>
          <w:p w:rsidR="00997288" w:rsidRPr="00814BDF" w:rsidRDefault="00997288" w:rsidP="00997288">
            <w:pPr>
              <w:rPr>
                <w:color w:val="000000"/>
                <w:lang w:val="en-US" w:eastAsia="en-US"/>
              </w:rPr>
            </w:pPr>
          </w:p>
        </w:tc>
        <w:tc>
          <w:tcPr>
            <w:tcW w:w="1075"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Inulin</w:t>
            </w:r>
          </w:p>
        </w:tc>
        <w:tc>
          <w:tcPr>
            <w:tcW w:w="1014"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Line</w:t>
            </w:r>
          </w:p>
        </w:tc>
        <w:tc>
          <w:tcPr>
            <w:tcW w:w="2071"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Inulin*Line</w:t>
            </w:r>
          </w:p>
        </w:tc>
      </w:tr>
      <w:tr w:rsidR="00997288" w:rsidRPr="00814BDF" w:rsidTr="00997288">
        <w:trPr>
          <w:trHeight w:val="315"/>
        </w:trPr>
        <w:tc>
          <w:tcPr>
            <w:tcW w:w="3660" w:type="dxa"/>
            <w:tcBorders>
              <w:top w:val="nil"/>
              <w:left w:val="nil"/>
              <w:bottom w:val="nil"/>
              <w:right w:val="nil"/>
            </w:tcBorders>
            <w:shd w:val="clear" w:color="auto" w:fill="auto"/>
            <w:noWrap/>
            <w:vAlign w:val="center"/>
            <w:hideMark/>
          </w:tcPr>
          <w:p w:rsidR="00997288" w:rsidRPr="00814BDF" w:rsidRDefault="00997288" w:rsidP="00997288">
            <w:pPr>
              <w:rPr>
                <w:color w:val="000000"/>
                <w:lang w:val="en-US" w:eastAsia="en-US"/>
              </w:rPr>
            </w:pPr>
            <w:r w:rsidRPr="00814BDF">
              <w:rPr>
                <w:color w:val="000000"/>
                <w:lang w:val="en-US" w:eastAsia="en-US"/>
              </w:rPr>
              <w:t>Crude lipids (% DM)</w:t>
            </w:r>
          </w:p>
        </w:tc>
        <w:tc>
          <w:tcPr>
            <w:tcW w:w="174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44.73 ± 1.27</w:t>
            </w:r>
          </w:p>
        </w:tc>
        <w:tc>
          <w:tcPr>
            <w:tcW w:w="186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43.89 ± 1.04</w:t>
            </w:r>
          </w:p>
        </w:tc>
        <w:tc>
          <w:tcPr>
            <w:tcW w:w="186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43.19 ± 1.29</w:t>
            </w:r>
          </w:p>
        </w:tc>
        <w:tc>
          <w:tcPr>
            <w:tcW w:w="194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43.12 ± 1.42</w:t>
            </w:r>
          </w:p>
        </w:tc>
        <w:tc>
          <w:tcPr>
            <w:tcW w:w="1075"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0.55</w:t>
            </w:r>
          </w:p>
        </w:tc>
        <w:tc>
          <w:tcPr>
            <w:tcW w:w="1014"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0.151</w:t>
            </w:r>
          </w:p>
        </w:tc>
        <w:tc>
          <w:tcPr>
            <w:tcW w:w="2071"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0.614</w:t>
            </w:r>
          </w:p>
        </w:tc>
      </w:tr>
      <w:tr w:rsidR="00997288" w:rsidRPr="00814BDF" w:rsidTr="00997288">
        <w:trPr>
          <w:trHeight w:val="315"/>
        </w:trPr>
        <w:tc>
          <w:tcPr>
            <w:tcW w:w="3660" w:type="dxa"/>
            <w:tcBorders>
              <w:top w:val="nil"/>
              <w:left w:val="nil"/>
              <w:bottom w:val="nil"/>
              <w:right w:val="nil"/>
            </w:tcBorders>
            <w:shd w:val="clear" w:color="auto" w:fill="auto"/>
            <w:noWrap/>
            <w:vAlign w:val="center"/>
            <w:hideMark/>
          </w:tcPr>
          <w:p w:rsidR="00997288" w:rsidRPr="00814BDF" w:rsidRDefault="00997288" w:rsidP="00997288">
            <w:pPr>
              <w:rPr>
                <w:color w:val="000000"/>
                <w:lang w:val="en-US" w:eastAsia="en-US"/>
              </w:rPr>
            </w:pPr>
            <w:r w:rsidRPr="00814BDF">
              <w:rPr>
                <w:color w:val="000000"/>
                <w:lang w:val="en-US" w:eastAsia="en-US"/>
              </w:rPr>
              <w:t>Crude protein (% DM)</w:t>
            </w:r>
          </w:p>
        </w:tc>
        <w:tc>
          <w:tcPr>
            <w:tcW w:w="174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48.73 ± 1.19</w:t>
            </w:r>
          </w:p>
        </w:tc>
        <w:tc>
          <w:tcPr>
            <w:tcW w:w="186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48.89 ± 1.22</w:t>
            </w:r>
          </w:p>
        </w:tc>
        <w:tc>
          <w:tcPr>
            <w:tcW w:w="186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50.28 ± 0.97</w:t>
            </w:r>
          </w:p>
        </w:tc>
        <w:tc>
          <w:tcPr>
            <w:tcW w:w="194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49.83 ± 1.21</w:t>
            </w:r>
          </w:p>
        </w:tc>
        <w:tc>
          <w:tcPr>
            <w:tcW w:w="1075"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0.832</w:t>
            </w:r>
          </w:p>
        </w:tc>
        <w:tc>
          <w:tcPr>
            <w:tcW w:w="1014"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0.10</w:t>
            </w:r>
          </w:p>
        </w:tc>
        <w:tc>
          <w:tcPr>
            <w:tcW w:w="2071"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0.654</w:t>
            </w:r>
          </w:p>
        </w:tc>
      </w:tr>
      <w:tr w:rsidR="00997288" w:rsidRPr="00814BDF" w:rsidTr="00997288">
        <w:trPr>
          <w:trHeight w:val="375"/>
        </w:trPr>
        <w:tc>
          <w:tcPr>
            <w:tcW w:w="3660" w:type="dxa"/>
            <w:tcBorders>
              <w:top w:val="nil"/>
              <w:left w:val="nil"/>
              <w:bottom w:val="nil"/>
              <w:right w:val="nil"/>
            </w:tcBorders>
            <w:shd w:val="clear" w:color="auto" w:fill="auto"/>
            <w:noWrap/>
            <w:vAlign w:val="center"/>
            <w:hideMark/>
          </w:tcPr>
          <w:p w:rsidR="00997288" w:rsidRPr="00814BDF" w:rsidRDefault="00997288" w:rsidP="00997288">
            <w:pPr>
              <w:rPr>
                <w:color w:val="000000"/>
                <w:lang w:val="en-US" w:eastAsia="en-US"/>
              </w:rPr>
            </w:pPr>
            <w:r w:rsidRPr="00814BDF">
              <w:rPr>
                <w:color w:val="000000"/>
                <w:lang w:val="en-US" w:eastAsia="en-US"/>
              </w:rPr>
              <w:t>Gross energy (kJ kg</w:t>
            </w:r>
            <w:r w:rsidRPr="00814BDF">
              <w:rPr>
                <w:color w:val="000000"/>
                <w:vertAlign w:val="superscript"/>
                <w:lang w:val="en-US" w:eastAsia="en-US"/>
              </w:rPr>
              <w:t>−1</w:t>
            </w:r>
            <w:r w:rsidRPr="00814BDF">
              <w:rPr>
                <w:color w:val="000000"/>
                <w:lang w:val="en-US" w:eastAsia="en-US"/>
              </w:rPr>
              <w:t xml:space="preserve"> of DM)</w:t>
            </w:r>
          </w:p>
        </w:tc>
        <w:tc>
          <w:tcPr>
            <w:tcW w:w="174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29.29 ± 0.32</w:t>
            </w:r>
          </w:p>
        </w:tc>
        <w:tc>
          <w:tcPr>
            <w:tcW w:w="186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29.42 ± 0.28</w:t>
            </w:r>
          </w:p>
        </w:tc>
        <w:tc>
          <w:tcPr>
            <w:tcW w:w="186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29.25 ± 0.16</w:t>
            </w:r>
          </w:p>
        </w:tc>
        <w:tc>
          <w:tcPr>
            <w:tcW w:w="194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29.01 ± 0.43</w:t>
            </w:r>
          </w:p>
        </w:tc>
        <w:tc>
          <w:tcPr>
            <w:tcW w:w="1075"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0.771</w:t>
            </w:r>
          </w:p>
        </w:tc>
        <w:tc>
          <w:tcPr>
            <w:tcW w:w="1014"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0.259</w:t>
            </w:r>
          </w:p>
        </w:tc>
        <w:tc>
          <w:tcPr>
            <w:tcW w:w="2071"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0.349</w:t>
            </w:r>
          </w:p>
        </w:tc>
      </w:tr>
      <w:tr w:rsidR="00997288" w:rsidRPr="00814BDF" w:rsidTr="00997288">
        <w:trPr>
          <w:trHeight w:val="315"/>
        </w:trPr>
        <w:tc>
          <w:tcPr>
            <w:tcW w:w="3660" w:type="dxa"/>
            <w:tcBorders>
              <w:top w:val="nil"/>
              <w:left w:val="nil"/>
              <w:bottom w:val="nil"/>
              <w:right w:val="nil"/>
            </w:tcBorders>
            <w:shd w:val="clear" w:color="auto" w:fill="auto"/>
            <w:noWrap/>
            <w:vAlign w:val="center"/>
            <w:hideMark/>
          </w:tcPr>
          <w:p w:rsidR="00997288" w:rsidRPr="00814BDF" w:rsidRDefault="00997288" w:rsidP="00997288">
            <w:pPr>
              <w:rPr>
                <w:color w:val="000000"/>
                <w:lang w:val="en-US" w:eastAsia="en-US"/>
              </w:rPr>
            </w:pPr>
            <w:r w:rsidRPr="00814BDF">
              <w:rPr>
                <w:color w:val="000000"/>
                <w:lang w:val="en-US" w:eastAsia="en-US"/>
              </w:rPr>
              <w:t>Dry matter (DM) (%)</w:t>
            </w:r>
          </w:p>
        </w:tc>
        <w:tc>
          <w:tcPr>
            <w:tcW w:w="174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100 ± 0</w:t>
            </w:r>
          </w:p>
        </w:tc>
        <w:tc>
          <w:tcPr>
            <w:tcW w:w="186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100 ± 0</w:t>
            </w:r>
          </w:p>
        </w:tc>
        <w:tc>
          <w:tcPr>
            <w:tcW w:w="186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100 ± 0</w:t>
            </w:r>
          </w:p>
        </w:tc>
        <w:tc>
          <w:tcPr>
            <w:tcW w:w="1940"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99.98 ± 0.04</w:t>
            </w:r>
          </w:p>
        </w:tc>
        <w:tc>
          <w:tcPr>
            <w:tcW w:w="1075"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0.29</w:t>
            </w:r>
          </w:p>
        </w:tc>
        <w:tc>
          <w:tcPr>
            <w:tcW w:w="1014"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0.29</w:t>
            </w:r>
          </w:p>
        </w:tc>
        <w:tc>
          <w:tcPr>
            <w:tcW w:w="2071" w:type="dxa"/>
            <w:tcBorders>
              <w:top w:val="nil"/>
              <w:left w:val="nil"/>
              <w:bottom w:val="nil"/>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0.29</w:t>
            </w:r>
          </w:p>
        </w:tc>
      </w:tr>
      <w:tr w:rsidR="00997288" w:rsidRPr="00814BDF" w:rsidTr="00997288">
        <w:trPr>
          <w:trHeight w:val="315"/>
        </w:trPr>
        <w:tc>
          <w:tcPr>
            <w:tcW w:w="3660" w:type="dxa"/>
            <w:tcBorders>
              <w:top w:val="nil"/>
              <w:left w:val="nil"/>
              <w:bottom w:val="single" w:sz="4" w:space="0" w:color="auto"/>
              <w:right w:val="nil"/>
            </w:tcBorders>
            <w:shd w:val="clear" w:color="auto" w:fill="auto"/>
            <w:noWrap/>
            <w:vAlign w:val="center"/>
            <w:hideMark/>
          </w:tcPr>
          <w:p w:rsidR="00997288" w:rsidRPr="00814BDF" w:rsidRDefault="00997288" w:rsidP="00997288">
            <w:pPr>
              <w:rPr>
                <w:color w:val="000000"/>
                <w:lang w:val="en-US" w:eastAsia="en-US"/>
              </w:rPr>
            </w:pPr>
            <w:r w:rsidRPr="00814BDF">
              <w:rPr>
                <w:color w:val="000000"/>
                <w:lang w:val="en-US" w:eastAsia="en-US"/>
              </w:rPr>
              <w:t>Ash (%)</w:t>
            </w:r>
          </w:p>
        </w:tc>
        <w:tc>
          <w:tcPr>
            <w:tcW w:w="1740"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5.76 ± 0.14</w:t>
            </w:r>
          </w:p>
        </w:tc>
        <w:tc>
          <w:tcPr>
            <w:tcW w:w="1860"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5.84 ± 0.40</w:t>
            </w:r>
          </w:p>
        </w:tc>
        <w:tc>
          <w:tcPr>
            <w:tcW w:w="1860"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6.03 ± 0.46</w:t>
            </w:r>
          </w:p>
        </w:tc>
        <w:tc>
          <w:tcPr>
            <w:tcW w:w="1940"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5.72 ± 0.15</w:t>
            </w:r>
          </w:p>
        </w:tc>
        <w:tc>
          <w:tcPr>
            <w:tcW w:w="1075"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0.541</w:t>
            </w:r>
          </w:p>
        </w:tc>
        <w:tc>
          <w:tcPr>
            <w:tcW w:w="1014"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0.71</w:t>
            </w:r>
          </w:p>
        </w:tc>
        <w:tc>
          <w:tcPr>
            <w:tcW w:w="2071" w:type="dxa"/>
            <w:tcBorders>
              <w:top w:val="nil"/>
              <w:left w:val="nil"/>
              <w:bottom w:val="single" w:sz="4" w:space="0" w:color="auto"/>
              <w:right w:val="nil"/>
            </w:tcBorders>
            <w:shd w:val="clear" w:color="auto" w:fill="auto"/>
            <w:noWrap/>
            <w:vAlign w:val="center"/>
            <w:hideMark/>
          </w:tcPr>
          <w:p w:rsidR="00997288" w:rsidRPr="00814BDF" w:rsidRDefault="00997288" w:rsidP="00997288">
            <w:pPr>
              <w:jc w:val="center"/>
              <w:rPr>
                <w:color w:val="000000"/>
                <w:lang w:val="en-US" w:eastAsia="en-US"/>
              </w:rPr>
            </w:pPr>
            <w:r w:rsidRPr="00814BDF">
              <w:rPr>
                <w:color w:val="000000"/>
                <w:lang w:val="en-US" w:eastAsia="en-US"/>
              </w:rPr>
              <w:t>0.316</w:t>
            </w:r>
          </w:p>
        </w:tc>
      </w:tr>
    </w:tbl>
    <w:p w:rsidR="00312FDB" w:rsidRPr="00363FDA" w:rsidRDefault="00ED553D" w:rsidP="00363FDA">
      <w:pPr>
        <w:spacing w:line="276" w:lineRule="auto"/>
        <w:jc w:val="both"/>
        <w:rPr>
          <w:color w:val="000000"/>
          <w:lang w:val="en-US"/>
        </w:rPr>
      </w:pPr>
      <w:r>
        <w:rPr>
          <w:lang w:val="en-US"/>
        </w:rPr>
        <w:t xml:space="preserve">The data is presented as the mean </w:t>
      </w:r>
      <w:r w:rsidRPr="00320B5B">
        <w:rPr>
          <w:color w:val="000000"/>
          <w:sz w:val="22"/>
          <w:szCs w:val="22"/>
        </w:rPr>
        <w:t>±</w:t>
      </w:r>
      <w:r>
        <w:rPr>
          <w:color w:val="000000"/>
          <w:sz w:val="22"/>
          <w:szCs w:val="22"/>
          <w:lang w:val="en-US"/>
        </w:rPr>
        <w:t xml:space="preserve"> Sd, n=3. </w:t>
      </w:r>
      <w:r>
        <w:rPr>
          <w:lang w:val="en-US"/>
        </w:rPr>
        <w:t xml:space="preserve">Means between the groups were compared using a </w:t>
      </w:r>
      <w:r w:rsidR="00D10525">
        <w:rPr>
          <w:lang w:val="en-US"/>
        </w:rPr>
        <w:t>two</w:t>
      </w:r>
      <w:r>
        <w:rPr>
          <w:lang w:val="en-US"/>
        </w:rPr>
        <w:t xml:space="preserve">-way ANOVA. </w:t>
      </w:r>
      <w:r>
        <w:rPr>
          <w:color w:val="000000"/>
          <w:lang w:val="en-US"/>
        </w:rPr>
        <w:t xml:space="preserve">There </w:t>
      </w:r>
      <w:r w:rsidR="007509D5">
        <w:rPr>
          <w:color w:val="000000"/>
          <w:lang w:val="en-US"/>
        </w:rPr>
        <w:t>was</w:t>
      </w:r>
      <w:r>
        <w:rPr>
          <w:color w:val="000000"/>
          <w:lang w:val="en-US"/>
        </w:rPr>
        <w:t xml:space="preserve"> no significant </w:t>
      </w:r>
      <w:r w:rsidR="00D10525">
        <w:rPr>
          <w:color w:val="000000"/>
          <w:lang w:val="en-US"/>
        </w:rPr>
        <w:t>effect of the factors (</w:t>
      </w:r>
      <w:r w:rsidR="002B6BA9">
        <w:rPr>
          <w:color w:val="000000"/>
          <w:lang w:val="en-US"/>
        </w:rPr>
        <w:t>L</w:t>
      </w:r>
      <w:r w:rsidR="00D10525">
        <w:rPr>
          <w:color w:val="000000"/>
          <w:lang w:val="en-US"/>
        </w:rPr>
        <w:t xml:space="preserve">ine and </w:t>
      </w:r>
      <w:r w:rsidR="002B6BA9">
        <w:rPr>
          <w:color w:val="000000"/>
          <w:lang w:val="en-US"/>
        </w:rPr>
        <w:t>I</w:t>
      </w:r>
      <w:r w:rsidR="00D10525">
        <w:rPr>
          <w:color w:val="000000"/>
          <w:lang w:val="en-US"/>
        </w:rPr>
        <w:t>nulin) on the</w:t>
      </w:r>
      <w:r>
        <w:rPr>
          <w:color w:val="000000"/>
          <w:lang w:val="en-US"/>
        </w:rPr>
        <w:t xml:space="preserve"> parameters measured (p&gt;0.05)</w:t>
      </w:r>
    </w:p>
    <w:sectPr w:rsidR="00312FDB" w:rsidRPr="00363FDA" w:rsidSect="00363FDA">
      <w:pgSz w:w="16838" w:h="11906" w:orient="landscape"/>
      <w:pgMar w:top="819" w:right="1417" w:bottom="11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1FF" w:rsidRDefault="007951FF" w:rsidP="00E71F61">
      <w:r>
        <w:separator/>
      </w:r>
    </w:p>
  </w:endnote>
  <w:endnote w:type="continuationSeparator" w:id="0">
    <w:p w:rsidR="007951FF" w:rsidRDefault="007951FF" w:rsidP="00E71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DC" w:rsidRDefault="001571DC">
    <w:pPr>
      <w:pStyle w:val="Footer"/>
      <w:jc w:val="right"/>
    </w:pPr>
  </w:p>
  <w:p w:rsidR="001571DC" w:rsidRDefault="00157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1FF" w:rsidRDefault="007951FF" w:rsidP="00E71F61">
      <w:r>
        <w:separator/>
      </w:r>
    </w:p>
  </w:footnote>
  <w:footnote w:type="continuationSeparator" w:id="0">
    <w:p w:rsidR="007951FF" w:rsidRDefault="007951FF" w:rsidP="00E71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978436"/>
      <w:docPartObj>
        <w:docPartGallery w:val="Page Numbers (Top of Page)"/>
        <w:docPartUnique/>
      </w:docPartObj>
    </w:sdtPr>
    <w:sdtEndPr>
      <w:rPr>
        <w:noProof/>
      </w:rPr>
    </w:sdtEndPr>
    <w:sdtContent>
      <w:p w:rsidR="001571DC" w:rsidRDefault="00DB1939">
        <w:pPr>
          <w:pStyle w:val="Header"/>
          <w:jc w:val="right"/>
        </w:pPr>
        <w:r>
          <w:fldChar w:fldCharType="begin"/>
        </w:r>
        <w:r w:rsidR="001571DC">
          <w:instrText xml:space="preserve"> PAGE   \* MERGEFORMAT </w:instrText>
        </w:r>
        <w:r>
          <w:fldChar w:fldCharType="separate"/>
        </w:r>
        <w:r w:rsidR="008F6C88">
          <w:rPr>
            <w:noProof/>
          </w:rPr>
          <w:t>1</w:t>
        </w:r>
        <w:r>
          <w:rPr>
            <w:noProof/>
          </w:rPr>
          <w:fldChar w:fldCharType="end"/>
        </w:r>
      </w:p>
    </w:sdtContent>
  </w:sdt>
  <w:p w:rsidR="001571DC" w:rsidRDefault="00157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30C48"/>
    <w:multiLevelType w:val="hybridMultilevel"/>
    <w:tmpl w:val="563C9C1C"/>
    <w:lvl w:ilvl="0" w:tplc="24C4E60E">
      <w:start w:val="10"/>
      <w:numFmt w:val="bullet"/>
      <w:lvlText w:val=""/>
      <w:lvlJc w:val="left"/>
      <w:pPr>
        <w:ind w:left="720" w:hanging="360"/>
      </w:pPr>
      <w:rPr>
        <w:rFonts w:ascii="Symbol" w:eastAsia="Times New Roman" w:hAnsi="Symbol" w:cs="Times New Roman" w:hint="default"/>
        <w:b/>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footnotePr>
    <w:footnote w:id="-1"/>
    <w:footnote w:id="0"/>
  </w:footnotePr>
  <w:endnotePr>
    <w:endnote w:id="-1"/>
    <w:endnote w:id="0"/>
  </w:endnotePr>
  <w:compat/>
  <w:rsids>
    <w:rsidRoot w:val="00191F8F"/>
    <w:rsid w:val="000227D9"/>
    <w:rsid w:val="00037FBC"/>
    <w:rsid w:val="00052295"/>
    <w:rsid w:val="00057024"/>
    <w:rsid w:val="00063168"/>
    <w:rsid w:val="00081183"/>
    <w:rsid w:val="000C679F"/>
    <w:rsid w:val="000F48BE"/>
    <w:rsid w:val="001571DC"/>
    <w:rsid w:val="00180F0F"/>
    <w:rsid w:val="00191960"/>
    <w:rsid w:val="00191F8F"/>
    <w:rsid w:val="001B33F3"/>
    <w:rsid w:val="001C1CFA"/>
    <w:rsid w:val="001C6D30"/>
    <w:rsid w:val="001F5CF7"/>
    <w:rsid w:val="00214D75"/>
    <w:rsid w:val="00216AFF"/>
    <w:rsid w:val="00284719"/>
    <w:rsid w:val="002B49E0"/>
    <w:rsid w:val="002B5B33"/>
    <w:rsid w:val="002B6BA9"/>
    <w:rsid w:val="002F25E8"/>
    <w:rsid w:val="00304A4B"/>
    <w:rsid w:val="0030540C"/>
    <w:rsid w:val="00312FDB"/>
    <w:rsid w:val="003154B1"/>
    <w:rsid w:val="00320B5B"/>
    <w:rsid w:val="00341F74"/>
    <w:rsid w:val="003633AF"/>
    <w:rsid w:val="00363FDA"/>
    <w:rsid w:val="003822C3"/>
    <w:rsid w:val="00394B0C"/>
    <w:rsid w:val="003A390E"/>
    <w:rsid w:val="003C6DD1"/>
    <w:rsid w:val="003F2700"/>
    <w:rsid w:val="00435C1D"/>
    <w:rsid w:val="0044196C"/>
    <w:rsid w:val="00443185"/>
    <w:rsid w:val="00451CF3"/>
    <w:rsid w:val="00463FB6"/>
    <w:rsid w:val="004662CA"/>
    <w:rsid w:val="00474AB4"/>
    <w:rsid w:val="004904CF"/>
    <w:rsid w:val="004930C7"/>
    <w:rsid w:val="004C2997"/>
    <w:rsid w:val="004D0643"/>
    <w:rsid w:val="004D6A98"/>
    <w:rsid w:val="00536A50"/>
    <w:rsid w:val="0053789B"/>
    <w:rsid w:val="00560C56"/>
    <w:rsid w:val="00561BC1"/>
    <w:rsid w:val="005639FC"/>
    <w:rsid w:val="005678DD"/>
    <w:rsid w:val="0058124F"/>
    <w:rsid w:val="00585AB2"/>
    <w:rsid w:val="00595A75"/>
    <w:rsid w:val="00597C62"/>
    <w:rsid w:val="005C0BC6"/>
    <w:rsid w:val="005C253B"/>
    <w:rsid w:val="006235DF"/>
    <w:rsid w:val="006437DA"/>
    <w:rsid w:val="006563AB"/>
    <w:rsid w:val="00686E4A"/>
    <w:rsid w:val="00692CFD"/>
    <w:rsid w:val="006A5593"/>
    <w:rsid w:val="006A7FBB"/>
    <w:rsid w:val="006B2567"/>
    <w:rsid w:val="006D3363"/>
    <w:rsid w:val="006E6CE1"/>
    <w:rsid w:val="00716868"/>
    <w:rsid w:val="00732548"/>
    <w:rsid w:val="0074522D"/>
    <w:rsid w:val="007509D5"/>
    <w:rsid w:val="00765F02"/>
    <w:rsid w:val="0076675B"/>
    <w:rsid w:val="00772E57"/>
    <w:rsid w:val="007731A2"/>
    <w:rsid w:val="007916C1"/>
    <w:rsid w:val="007951FF"/>
    <w:rsid w:val="007B2051"/>
    <w:rsid w:val="007B3DFE"/>
    <w:rsid w:val="00814BDF"/>
    <w:rsid w:val="00820BD7"/>
    <w:rsid w:val="008332B4"/>
    <w:rsid w:val="00862AA8"/>
    <w:rsid w:val="008657F3"/>
    <w:rsid w:val="00875747"/>
    <w:rsid w:val="0088530C"/>
    <w:rsid w:val="00886A44"/>
    <w:rsid w:val="008A7BA9"/>
    <w:rsid w:val="008B08A9"/>
    <w:rsid w:val="008D75A8"/>
    <w:rsid w:val="008F541B"/>
    <w:rsid w:val="008F6C88"/>
    <w:rsid w:val="00923A2B"/>
    <w:rsid w:val="00952ADF"/>
    <w:rsid w:val="00961015"/>
    <w:rsid w:val="009856D3"/>
    <w:rsid w:val="00995E06"/>
    <w:rsid w:val="00997288"/>
    <w:rsid w:val="00A4219A"/>
    <w:rsid w:val="00A66B72"/>
    <w:rsid w:val="00A850BB"/>
    <w:rsid w:val="00A87D70"/>
    <w:rsid w:val="00AB191A"/>
    <w:rsid w:val="00AC0F7B"/>
    <w:rsid w:val="00AD6387"/>
    <w:rsid w:val="00AE5978"/>
    <w:rsid w:val="00B04D69"/>
    <w:rsid w:val="00B06219"/>
    <w:rsid w:val="00B23423"/>
    <w:rsid w:val="00B5212B"/>
    <w:rsid w:val="00B74864"/>
    <w:rsid w:val="00B77D99"/>
    <w:rsid w:val="00B80845"/>
    <w:rsid w:val="00B83AE3"/>
    <w:rsid w:val="00B84EB6"/>
    <w:rsid w:val="00B85D1F"/>
    <w:rsid w:val="00BB0AD3"/>
    <w:rsid w:val="00C00FB6"/>
    <w:rsid w:val="00C06CB4"/>
    <w:rsid w:val="00C07F42"/>
    <w:rsid w:val="00C11EC1"/>
    <w:rsid w:val="00C2152A"/>
    <w:rsid w:val="00C4449F"/>
    <w:rsid w:val="00C558C3"/>
    <w:rsid w:val="00C56059"/>
    <w:rsid w:val="00C65228"/>
    <w:rsid w:val="00C80F9F"/>
    <w:rsid w:val="00CC6C14"/>
    <w:rsid w:val="00CD4E96"/>
    <w:rsid w:val="00CE31CD"/>
    <w:rsid w:val="00CE3F9B"/>
    <w:rsid w:val="00CE6990"/>
    <w:rsid w:val="00D10525"/>
    <w:rsid w:val="00D17C7B"/>
    <w:rsid w:val="00D23B2A"/>
    <w:rsid w:val="00D255FA"/>
    <w:rsid w:val="00D30939"/>
    <w:rsid w:val="00D4132D"/>
    <w:rsid w:val="00D4147E"/>
    <w:rsid w:val="00D54186"/>
    <w:rsid w:val="00D65EFF"/>
    <w:rsid w:val="00D75492"/>
    <w:rsid w:val="00D85197"/>
    <w:rsid w:val="00D85916"/>
    <w:rsid w:val="00D8597F"/>
    <w:rsid w:val="00DB1939"/>
    <w:rsid w:val="00DE4E52"/>
    <w:rsid w:val="00DE67CC"/>
    <w:rsid w:val="00DF1AA5"/>
    <w:rsid w:val="00E12205"/>
    <w:rsid w:val="00E37D74"/>
    <w:rsid w:val="00E4107F"/>
    <w:rsid w:val="00E60A12"/>
    <w:rsid w:val="00E71CE3"/>
    <w:rsid w:val="00E71F61"/>
    <w:rsid w:val="00ED25DD"/>
    <w:rsid w:val="00ED553D"/>
    <w:rsid w:val="00EE7FCD"/>
    <w:rsid w:val="00F05CB4"/>
    <w:rsid w:val="00F220E1"/>
    <w:rsid w:val="00F37126"/>
    <w:rsid w:val="00F47411"/>
    <w:rsid w:val="00FE6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5B"/>
    <w:pPr>
      <w:ind w:left="720"/>
      <w:contextualSpacing/>
    </w:pPr>
  </w:style>
  <w:style w:type="paragraph" w:styleId="HTMLPreformatted">
    <w:name w:val="HTML Preformatted"/>
    <w:basedOn w:val="Normal"/>
    <w:link w:val="HTMLPreformattedChar"/>
    <w:uiPriority w:val="99"/>
    <w:semiHidden/>
    <w:unhideWhenUsed/>
    <w:rsid w:val="00AC0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C0F7B"/>
    <w:rPr>
      <w:rFonts w:ascii="Courier New" w:eastAsia="Times New Roman" w:hAnsi="Courier New" w:cs="Courier New"/>
      <w:sz w:val="20"/>
      <w:szCs w:val="20"/>
      <w:lang w:val="en-US"/>
    </w:rPr>
  </w:style>
  <w:style w:type="character" w:customStyle="1" w:styleId="word">
    <w:name w:val="word"/>
    <w:basedOn w:val="DefaultParagraphFont"/>
    <w:rsid w:val="00AC0F7B"/>
  </w:style>
  <w:style w:type="character" w:customStyle="1" w:styleId="space">
    <w:name w:val="space"/>
    <w:basedOn w:val="DefaultParagraphFont"/>
    <w:rsid w:val="00AC0F7B"/>
  </w:style>
  <w:style w:type="paragraph" w:styleId="Header">
    <w:name w:val="header"/>
    <w:basedOn w:val="Normal"/>
    <w:link w:val="HeaderChar"/>
    <w:uiPriority w:val="99"/>
    <w:unhideWhenUsed/>
    <w:rsid w:val="00E71F61"/>
    <w:pPr>
      <w:tabs>
        <w:tab w:val="center" w:pos="4680"/>
        <w:tab w:val="right" w:pos="9360"/>
      </w:tabs>
    </w:pPr>
  </w:style>
  <w:style w:type="character" w:customStyle="1" w:styleId="HeaderChar">
    <w:name w:val="Header Char"/>
    <w:basedOn w:val="DefaultParagraphFont"/>
    <w:link w:val="Header"/>
    <w:uiPriority w:val="99"/>
    <w:rsid w:val="00E71F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1F61"/>
    <w:pPr>
      <w:tabs>
        <w:tab w:val="center" w:pos="4680"/>
        <w:tab w:val="right" w:pos="9360"/>
      </w:tabs>
    </w:pPr>
  </w:style>
  <w:style w:type="character" w:customStyle="1" w:styleId="FooterChar">
    <w:name w:val="Footer Char"/>
    <w:basedOn w:val="DefaultParagraphFont"/>
    <w:link w:val="Footer"/>
    <w:uiPriority w:val="99"/>
    <w:rsid w:val="00E71F61"/>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E71F61"/>
  </w:style>
  <w:style w:type="character" w:customStyle="1" w:styleId="text">
    <w:name w:val="text"/>
    <w:basedOn w:val="DefaultParagraphFont"/>
    <w:rsid w:val="001C1CFA"/>
  </w:style>
  <w:style w:type="paragraph" w:customStyle="1" w:styleId="AuthorList">
    <w:name w:val="Author List"/>
    <w:aliases w:val="Keywords,Abstract"/>
    <w:basedOn w:val="Subtitle"/>
    <w:next w:val="Normal"/>
    <w:uiPriority w:val="1"/>
    <w:qFormat/>
    <w:rsid w:val="001C1CFA"/>
    <w:pPr>
      <w:numPr>
        <w:ilvl w:val="0"/>
      </w:numPr>
      <w:spacing w:before="240" w:after="240"/>
    </w:pPr>
    <w:rPr>
      <w:rFonts w:ascii="Times New Roman" w:eastAsiaTheme="minorHAnsi" w:hAnsi="Times New Roman" w:cs="Times New Roman"/>
      <w:b/>
      <w:color w:val="auto"/>
      <w:spacing w:val="0"/>
      <w:sz w:val="24"/>
      <w:szCs w:val="24"/>
      <w:lang w:val="en-US" w:eastAsia="en-US"/>
    </w:rPr>
  </w:style>
  <w:style w:type="paragraph" w:styleId="Subtitle">
    <w:name w:val="Subtitle"/>
    <w:basedOn w:val="Normal"/>
    <w:next w:val="Normal"/>
    <w:link w:val="SubtitleChar"/>
    <w:uiPriority w:val="11"/>
    <w:qFormat/>
    <w:rsid w:val="001C1C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1CFA"/>
    <w:rPr>
      <w:rFonts w:eastAsiaTheme="minorEastAsia"/>
      <w:color w:val="5A5A5A" w:themeColor="text1" w:themeTint="A5"/>
      <w:spacing w:val="15"/>
      <w:lang w:eastAsia="en-GB"/>
    </w:rPr>
  </w:style>
</w:styles>
</file>

<file path=word/webSettings.xml><?xml version="1.0" encoding="utf-8"?>
<w:webSettings xmlns:r="http://schemas.openxmlformats.org/officeDocument/2006/relationships" xmlns:w="http://schemas.openxmlformats.org/wordprocessingml/2006/main">
  <w:divs>
    <w:div w:id="24139924">
      <w:bodyDiv w:val="1"/>
      <w:marLeft w:val="0"/>
      <w:marRight w:val="0"/>
      <w:marTop w:val="0"/>
      <w:marBottom w:val="0"/>
      <w:divBdr>
        <w:top w:val="none" w:sz="0" w:space="0" w:color="auto"/>
        <w:left w:val="none" w:sz="0" w:space="0" w:color="auto"/>
        <w:bottom w:val="none" w:sz="0" w:space="0" w:color="auto"/>
        <w:right w:val="none" w:sz="0" w:space="0" w:color="auto"/>
      </w:divBdr>
    </w:div>
    <w:div w:id="78601737">
      <w:bodyDiv w:val="1"/>
      <w:marLeft w:val="0"/>
      <w:marRight w:val="0"/>
      <w:marTop w:val="0"/>
      <w:marBottom w:val="0"/>
      <w:divBdr>
        <w:top w:val="none" w:sz="0" w:space="0" w:color="auto"/>
        <w:left w:val="none" w:sz="0" w:space="0" w:color="auto"/>
        <w:bottom w:val="none" w:sz="0" w:space="0" w:color="auto"/>
        <w:right w:val="none" w:sz="0" w:space="0" w:color="auto"/>
      </w:divBdr>
    </w:div>
    <w:div w:id="89548712">
      <w:bodyDiv w:val="1"/>
      <w:marLeft w:val="0"/>
      <w:marRight w:val="0"/>
      <w:marTop w:val="0"/>
      <w:marBottom w:val="0"/>
      <w:divBdr>
        <w:top w:val="none" w:sz="0" w:space="0" w:color="auto"/>
        <w:left w:val="none" w:sz="0" w:space="0" w:color="auto"/>
        <w:bottom w:val="none" w:sz="0" w:space="0" w:color="auto"/>
        <w:right w:val="none" w:sz="0" w:space="0" w:color="auto"/>
      </w:divBdr>
    </w:div>
    <w:div w:id="109252302">
      <w:bodyDiv w:val="1"/>
      <w:marLeft w:val="0"/>
      <w:marRight w:val="0"/>
      <w:marTop w:val="0"/>
      <w:marBottom w:val="0"/>
      <w:divBdr>
        <w:top w:val="none" w:sz="0" w:space="0" w:color="auto"/>
        <w:left w:val="none" w:sz="0" w:space="0" w:color="auto"/>
        <w:bottom w:val="none" w:sz="0" w:space="0" w:color="auto"/>
        <w:right w:val="none" w:sz="0" w:space="0" w:color="auto"/>
      </w:divBdr>
    </w:div>
    <w:div w:id="165020747">
      <w:bodyDiv w:val="1"/>
      <w:marLeft w:val="0"/>
      <w:marRight w:val="0"/>
      <w:marTop w:val="0"/>
      <w:marBottom w:val="0"/>
      <w:divBdr>
        <w:top w:val="none" w:sz="0" w:space="0" w:color="auto"/>
        <w:left w:val="none" w:sz="0" w:space="0" w:color="auto"/>
        <w:bottom w:val="none" w:sz="0" w:space="0" w:color="auto"/>
        <w:right w:val="none" w:sz="0" w:space="0" w:color="auto"/>
      </w:divBdr>
    </w:div>
    <w:div w:id="244069779">
      <w:bodyDiv w:val="1"/>
      <w:marLeft w:val="0"/>
      <w:marRight w:val="0"/>
      <w:marTop w:val="0"/>
      <w:marBottom w:val="0"/>
      <w:divBdr>
        <w:top w:val="none" w:sz="0" w:space="0" w:color="auto"/>
        <w:left w:val="none" w:sz="0" w:space="0" w:color="auto"/>
        <w:bottom w:val="none" w:sz="0" w:space="0" w:color="auto"/>
        <w:right w:val="none" w:sz="0" w:space="0" w:color="auto"/>
      </w:divBdr>
    </w:div>
    <w:div w:id="365251278">
      <w:bodyDiv w:val="1"/>
      <w:marLeft w:val="0"/>
      <w:marRight w:val="0"/>
      <w:marTop w:val="0"/>
      <w:marBottom w:val="0"/>
      <w:divBdr>
        <w:top w:val="none" w:sz="0" w:space="0" w:color="auto"/>
        <w:left w:val="none" w:sz="0" w:space="0" w:color="auto"/>
        <w:bottom w:val="none" w:sz="0" w:space="0" w:color="auto"/>
        <w:right w:val="none" w:sz="0" w:space="0" w:color="auto"/>
      </w:divBdr>
    </w:div>
    <w:div w:id="395594804">
      <w:bodyDiv w:val="1"/>
      <w:marLeft w:val="0"/>
      <w:marRight w:val="0"/>
      <w:marTop w:val="0"/>
      <w:marBottom w:val="0"/>
      <w:divBdr>
        <w:top w:val="none" w:sz="0" w:space="0" w:color="auto"/>
        <w:left w:val="none" w:sz="0" w:space="0" w:color="auto"/>
        <w:bottom w:val="none" w:sz="0" w:space="0" w:color="auto"/>
        <w:right w:val="none" w:sz="0" w:space="0" w:color="auto"/>
      </w:divBdr>
    </w:div>
    <w:div w:id="471026468">
      <w:bodyDiv w:val="1"/>
      <w:marLeft w:val="0"/>
      <w:marRight w:val="0"/>
      <w:marTop w:val="0"/>
      <w:marBottom w:val="0"/>
      <w:divBdr>
        <w:top w:val="none" w:sz="0" w:space="0" w:color="auto"/>
        <w:left w:val="none" w:sz="0" w:space="0" w:color="auto"/>
        <w:bottom w:val="none" w:sz="0" w:space="0" w:color="auto"/>
        <w:right w:val="none" w:sz="0" w:space="0" w:color="auto"/>
      </w:divBdr>
    </w:div>
    <w:div w:id="536697061">
      <w:bodyDiv w:val="1"/>
      <w:marLeft w:val="0"/>
      <w:marRight w:val="0"/>
      <w:marTop w:val="0"/>
      <w:marBottom w:val="0"/>
      <w:divBdr>
        <w:top w:val="none" w:sz="0" w:space="0" w:color="auto"/>
        <w:left w:val="none" w:sz="0" w:space="0" w:color="auto"/>
        <w:bottom w:val="none" w:sz="0" w:space="0" w:color="auto"/>
        <w:right w:val="none" w:sz="0" w:space="0" w:color="auto"/>
      </w:divBdr>
    </w:div>
    <w:div w:id="595208227">
      <w:bodyDiv w:val="1"/>
      <w:marLeft w:val="0"/>
      <w:marRight w:val="0"/>
      <w:marTop w:val="0"/>
      <w:marBottom w:val="0"/>
      <w:divBdr>
        <w:top w:val="none" w:sz="0" w:space="0" w:color="auto"/>
        <w:left w:val="none" w:sz="0" w:space="0" w:color="auto"/>
        <w:bottom w:val="none" w:sz="0" w:space="0" w:color="auto"/>
        <w:right w:val="none" w:sz="0" w:space="0" w:color="auto"/>
      </w:divBdr>
    </w:div>
    <w:div w:id="615912293">
      <w:bodyDiv w:val="1"/>
      <w:marLeft w:val="0"/>
      <w:marRight w:val="0"/>
      <w:marTop w:val="0"/>
      <w:marBottom w:val="0"/>
      <w:divBdr>
        <w:top w:val="none" w:sz="0" w:space="0" w:color="auto"/>
        <w:left w:val="none" w:sz="0" w:space="0" w:color="auto"/>
        <w:bottom w:val="none" w:sz="0" w:space="0" w:color="auto"/>
        <w:right w:val="none" w:sz="0" w:space="0" w:color="auto"/>
      </w:divBdr>
    </w:div>
    <w:div w:id="634483885">
      <w:bodyDiv w:val="1"/>
      <w:marLeft w:val="0"/>
      <w:marRight w:val="0"/>
      <w:marTop w:val="0"/>
      <w:marBottom w:val="0"/>
      <w:divBdr>
        <w:top w:val="none" w:sz="0" w:space="0" w:color="auto"/>
        <w:left w:val="none" w:sz="0" w:space="0" w:color="auto"/>
        <w:bottom w:val="none" w:sz="0" w:space="0" w:color="auto"/>
        <w:right w:val="none" w:sz="0" w:space="0" w:color="auto"/>
      </w:divBdr>
    </w:div>
    <w:div w:id="764230134">
      <w:bodyDiv w:val="1"/>
      <w:marLeft w:val="0"/>
      <w:marRight w:val="0"/>
      <w:marTop w:val="0"/>
      <w:marBottom w:val="0"/>
      <w:divBdr>
        <w:top w:val="none" w:sz="0" w:space="0" w:color="auto"/>
        <w:left w:val="none" w:sz="0" w:space="0" w:color="auto"/>
        <w:bottom w:val="none" w:sz="0" w:space="0" w:color="auto"/>
        <w:right w:val="none" w:sz="0" w:space="0" w:color="auto"/>
      </w:divBdr>
    </w:div>
    <w:div w:id="827014805">
      <w:bodyDiv w:val="1"/>
      <w:marLeft w:val="0"/>
      <w:marRight w:val="0"/>
      <w:marTop w:val="0"/>
      <w:marBottom w:val="0"/>
      <w:divBdr>
        <w:top w:val="none" w:sz="0" w:space="0" w:color="auto"/>
        <w:left w:val="none" w:sz="0" w:space="0" w:color="auto"/>
        <w:bottom w:val="none" w:sz="0" w:space="0" w:color="auto"/>
        <w:right w:val="none" w:sz="0" w:space="0" w:color="auto"/>
      </w:divBdr>
    </w:div>
    <w:div w:id="838810566">
      <w:bodyDiv w:val="1"/>
      <w:marLeft w:val="0"/>
      <w:marRight w:val="0"/>
      <w:marTop w:val="0"/>
      <w:marBottom w:val="0"/>
      <w:divBdr>
        <w:top w:val="none" w:sz="0" w:space="0" w:color="auto"/>
        <w:left w:val="none" w:sz="0" w:space="0" w:color="auto"/>
        <w:bottom w:val="none" w:sz="0" w:space="0" w:color="auto"/>
        <w:right w:val="none" w:sz="0" w:space="0" w:color="auto"/>
      </w:divBdr>
    </w:div>
    <w:div w:id="873692067">
      <w:bodyDiv w:val="1"/>
      <w:marLeft w:val="0"/>
      <w:marRight w:val="0"/>
      <w:marTop w:val="0"/>
      <w:marBottom w:val="0"/>
      <w:divBdr>
        <w:top w:val="none" w:sz="0" w:space="0" w:color="auto"/>
        <w:left w:val="none" w:sz="0" w:space="0" w:color="auto"/>
        <w:bottom w:val="none" w:sz="0" w:space="0" w:color="auto"/>
        <w:right w:val="none" w:sz="0" w:space="0" w:color="auto"/>
      </w:divBdr>
    </w:div>
    <w:div w:id="915094092">
      <w:bodyDiv w:val="1"/>
      <w:marLeft w:val="0"/>
      <w:marRight w:val="0"/>
      <w:marTop w:val="0"/>
      <w:marBottom w:val="0"/>
      <w:divBdr>
        <w:top w:val="none" w:sz="0" w:space="0" w:color="auto"/>
        <w:left w:val="none" w:sz="0" w:space="0" w:color="auto"/>
        <w:bottom w:val="none" w:sz="0" w:space="0" w:color="auto"/>
        <w:right w:val="none" w:sz="0" w:space="0" w:color="auto"/>
      </w:divBdr>
    </w:div>
    <w:div w:id="1087994436">
      <w:bodyDiv w:val="1"/>
      <w:marLeft w:val="0"/>
      <w:marRight w:val="0"/>
      <w:marTop w:val="0"/>
      <w:marBottom w:val="0"/>
      <w:divBdr>
        <w:top w:val="none" w:sz="0" w:space="0" w:color="auto"/>
        <w:left w:val="none" w:sz="0" w:space="0" w:color="auto"/>
        <w:bottom w:val="none" w:sz="0" w:space="0" w:color="auto"/>
        <w:right w:val="none" w:sz="0" w:space="0" w:color="auto"/>
      </w:divBdr>
    </w:div>
    <w:div w:id="1108886882">
      <w:bodyDiv w:val="1"/>
      <w:marLeft w:val="0"/>
      <w:marRight w:val="0"/>
      <w:marTop w:val="0"/>
      <w:marBottom w:val="0"/>
      <w:divBdr>
        <w:top w:val="none" w:sz="0" w:space="0" w:color="auto"/>
        <w:left w:val="none" w:sz="0" w:space="0" w:color="auto"/>
        <w:bottom w:val="none" w:sz="0" w:space="0" w:color="auto"/>
        <w:right w:val="none" w:sz="0" w:space="0" w:color="auto"/>
      </w:divBdr>
    </w:div>
    <w:div w:id="1157649793">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90360702">
      <w:bodyDiv w:val="1"/>
      <w:marLeft w:val="0"/>
      <w:marRight w:val="0"/>
      <w:marTop w:val="0"/>
      <w:marBottom w:val="0"/>
      <w:divBdr>
        <w:top w:val="none" w:sz="0" w:space="0" w:color="auto"/>
        <w:left w:val="none" w:sz="0" w:space="0" w:color="auto"/>
        <w:bottom w:val="none" w:sz="0" w:space="0" w:color="auto"/>
        <w:right w:val="none" w:sz="0" w:space="0" w:color="auto"/>
      </w:divBdr>
    </w:div>
    <w:div w:id="1297837435">
      <w:bodyDiv w:val="1"/>
      <w:marLeft w:val="0"/>
      <w:marRight w:val="0"/>
      <w:marTop w:val="0"/>
      <w:marBottom w:val="0"/>
      <w:divBdr>
        <w:top w:val="none" w:sz="0" w:space="0" w:color="auto"/>
        <w:left w:val="none" w:sz="0" w:space="0" w:color="auto"/>
        <w:bottom w:val="none" w:sz="0" w:space="0" w:color="auto"/>
        <w:right w:val="none" w:sz="0" w:space="0" w:color="auto"/>
      </w:divBdr>
    </w:div>
    <w:div w:id="1352336591">
      <w:bodyDiv w:val="1"/>
      <w:marLeft w:val="0"/>
      <w:marRight w:val="0"/>
      <w:marTop w:val="0"/>
      <w:marBottom w:val="0"/>
      <w:divBdr>
        <w:top w:val="none" w:sz="0" w:space="0" w:color="auto"/>
        <w:left w:val="none" w:sz="0" w:space="0" w:color="auto"/>
        <w:bottom w:val="none" w:sz="0" w:space="0" w:color="auto"/>
        <w:right w:val="none" w:sz="0" w:space="0" w:color="auto"/>
      </w:divBdr>
    </w:div>
    <w:div w:id="1363477910">
      <w:bodyDiv w:val="1"/>
      <w:marLeft w:val="0"/>
      <w:marRight w:val="0"/>
      <w:marTop w:val="0"/>
      <w:marBottom w:val="0"/>
      <w:divBdr>
        <w:top w:val="none" w:sz="0" w:space="0" w:color="auto"/>
        <w:left w:val="none" w:sz="0" w:space="0" w:color="auto"/>
        <w:bottom w:val="none" w:sz="0" w:space="0" w:color="auto"/>
        <w:right w:val="none" w:sz="0" w:space="0" w:color="auto"/>
      </w:divBdr>
    </w:div>
    <w:div w:id="1415202917">
      <w:bodyDiv w:val="1"/>
      <w:marLeft w:val="0"/>
      <w:marRight w:val="0"/>
      <w:marTop w:val="0"/>
      <w:marBottom w:val="0"/>
      <w:divBdr>
        <w:top w:val="none" w:sz="0" w:space="0" w:color="auto"/>
        <w:left w:val="none" w:sz="0" w:space="0" w:color="auto"/>
        <w:bottom w:val="none" w:sz="0" w:space="0" w:color="auto"/>
        <w:right w:val="none" w:sz="0" w:space="0" w:color="auto"/>
      </w:divBdr>
    </w:div>
    <w:div w:id="1473407020">
      <w:bodyDiv w:val="1"/>
      <w:marLeft w:val="0"/>
      <w:marRight w:val="0"/>
      <w:marTop w:val="0"/>
      <w:marBottom w:val="0"/>
      <w:divBdr>
        <w:top w:val="none" w:sz="0" w:space="0" w:color="auto"/>
        <w:left w:val="none" w:sz="0" w:space="0" w:color="auto"/>
        <w:bottom w:val="none" w:sz="0" w:space="0" w:color="auto"/>
        <w:right w:val="none" w:sz="0" w:space="0" w:color="auto"/>
      </w:divBdr>
    </w:div>
    <w:div w:id="1482429619">
      <w:bodyDiv w:val="1"/>
      <w:marLeft w:val="0"/>
      <w:marRight w:val="0"/>
      <w:marTop w:val="0"/>
      <w:marBottom w:val="0"/>
      <w:divBdr>
        <w:top w:val="none" w:sz="0" w:space="0" w:color="auto"/>
        <w:left w:val="none" w:sz="0" w:space="0" w:color="auto"/>
        <w:bottom w:val="none" w:sz="0" w:space="0" w:color="auto"/>
        <w:right w:val="none" w:sz="0" w:space="0" w:color="auto"/>
      </w:divBdr>
    </w:div>
    <w:div w:id="1553732464">
      <w:bodyDiv w:val="1"/>
      <w:marLeft w:val="0"/>
      <w:marRight w:val="0"/>
      <w:marTop w:val="0"/>
      <w:marBottom w:val="0"/>
      <w:divBdr>
        <w:top w:val="none" w:sz="0" w:space="0" w:color="auto"/>
        <w:left w:val="none" w:sz="0" w:space="0" w:color="auto"/>
        <w:bottom w:val="none" w:sz="0" w:space="0" w:color="auto"/>
        <w:right w:val="none" w:sz="0" w:space="0" w:color="auto"/>
      </w:divBdr>
    </w:div>
    <w:div w:id="1575747939">
      <w:bodyDiv w:val="1"/>
      <w:marLeft w:val="0"/>
      <w:marRight w:val="0"/>
      <w:marTop w:val="0"/>
      <w:marBottom w:val="0"/>
      <w:divBdr>
        <w:top w:val="none" w:sz="0" w:space="0" w:color="auto"/>
        <w:left w:val="none" w:sz="0" w:space="0" w:color="auto"/>
        <w:bottom w:val="none" w:sz="0" w:space="0" w:color="auto"/>
        <w:right w:val="none" w:sz="0" w:space="0" w:color="auto"/>
      </w:divBdr>
    </w:div>
    <w:div w:id="1603535058">
      <w:bodyDiv w:val="1"/>
      <w:marLeft w:val="0"/>
      <w:marRight w:val="0"/>
      <w:marTop w:val="0"/>
      <w:marBottom w:val="0"/>
      <w:divBdr>
        <w:top w:val="none" w:sz="0" w:space="0" w:color="auto"/>
        <w:left w:val="none" w:sz="0" w:space="0" w:color="auto"/>
        <w:bottom w:val="none" w:sz="0" w:space="0" w:color="auto"/>
        <w:right w:val="none" w:sz="0" w:space="0" w:color="auto"/>
      </w:divBdr>
    </w:div>
    <w:div w:id="1622806536">
      <w:bodyDiv w:val="1"/>
      <w:marLeft w:val="0"/>
      <w:marRight w:val="0"/>
      <w:marTop w:val="0"/>
      <w:marBottom w:val="0"/>
      <w:divBdr>
        <w:top w:val="none" w:sz="0" w:space="0" w:color="auto"/>
        <w:left w:val="none" w:sz="0" w:space="0" w:color="auto"/>
        <w:bottom w:val="none" w:sz="0" w:space="0" w:color="auto"/>
        <w:right w:val="none" w:sz="0" w:space="0" w:color="auto"/>
      </w:divBdr>
    </w:div>
    <w:div w:id="1623535113">
      <w:bodyDiv w:val="1"/>
      <w:marLeft w:val="0"/>
      <w:marRight w:val="0"/>
      <w:marTop w:val="0"/>
      <w:marBottom w:val="0"/>
      <w:divBdr>
        <w:top w:val="none" w:sz="0" w:space="0" w:color="auto"/>
        <w:left w:val="none" w:sz="0" w:space="0" w:color="auto"/>
        <w:bottom w:val="none" w:sz="0" w:space="0" w:color="auto"/>
        <w:right w:val="none" w:sz="0" w:space="0" w:color="auto"/>
      </w:divBdr>
    </w:div>
    <w:div w:id="1633831258">
      <w:bodyDiv w:val="1"/>
      <w:marLeft w:val="0"/>
      <w:marRight w:val="0"/>
      <w:marTop w:val="0"/>
      <w:marBottom w:val="0"/>
      <w:divBdr>
        <w:top w:val="none" w:sz="0" w:space="0" w:color="auto"/>
        <w:left w:val="none" w:sz="0" w:space="0" w:color="auto"/>
        <w:bottom w:val="none" w:sz="0" w:space="0" w:color="auto"/>
        <w:right w:val="none" w:sz="0" w:space="0" w:color="auto"/>
      </w:divBdr>
    </w:div>
    <w:div w:id="1695839902">
      <w:bodyDiv w:val="1"/>
      <w:marLeft w:val="0"/>
      <w:marRight w:val="0"/>
      <w:marTop w:val="0"/>
      <w:marBottom w:val="0"/>
      <w:divBdr>
        <w:top w:val="none" w:sz="0" w:space="0" w:color="auto"/>
        <w:left w:val="none" w:sz="0" w:space="0" w:color="auto"/>
        <w:bottom w:val="none" w:sz="0" w:space="0" w:color="auto"/>
        <w:right w:val="none" w:sz="0" w:space="0" w:color="auto"/>
      </w:divBdr>
    </w:div>
    <w:div w:id="1721321399">
      <w:bodyDiv w:val="1"/>
      <w:marLeft w:val="0"/>
      <w:marRight w:val="0"/>
      <w:marTop w:val="0"/>
      <w:marBottom w:val="0"/>
      <w:divBdr>
        <w:top w:val="none" w:sz="0" w:space="0" w:color="auto"/>
        <w:left w:val="none" w:sz="0" w:space="0" w:color="auto"/>
        <w:bottom w:val="none" w:sz="0" w:space="0" w:color="auto"/>
        <w:right w:val="none" w:sz="0" w:space="0" w:color="auto"/>
      </w:divBdr>
    </w:div>
    <w:div w:id="1743284983">
      <w:bodyDiv w:val="1"/>
      <w:marLeft w:val="0"/>
      <w:marRight w:val="0"/>
      <w:marTop w:val="0"/>
      <w:marBottom w:val="0"/>
      <w:divBdr>
        <w:top w:val="none" w:sz="0" w:space="0" w:color="auto"/>
        <w:left w:val="none" w:sz="0" w:space="0" w:color="auto"/>
        <w:bottom w:val="none" w:sz="0" w:space="0" w:color="auto"/>
        <w:right w:val="none" w:sz="0" w:space="0" w:color="auto"/>
      </w:divBdr>
    </w:div>
    <w:div w:id="1786578677">
      <w:bodyDiv w:val="1"/>
      <w:marLeft w:val="0"/>
      <w:marRight w:val="0"/>
      <w:marTop w:val="0"/>
      <w:marBottom w:val="0"/>
      <w:divBdr>
        <w:top w:val="none" w:sz="0" w:space="0" w:color="auto"/>
        <w:left w:val="none" w:sz="0" w:space="0" w:color="auto"/>
        <w:bottom w:val="none" w:sz="0" w:space="0" w:color="auto"/>
        <w:right w:val="none" w:sz="0" w:space="0" w:color="auto"/>
      </w:divBdr>
    </w:div>
    <w:div w:id="1805154644">
      <w:bodyDiv w:val="1"/>
      <w:marLeft w:val="0"/>
      <w:marRight w:val="0"/>
      <w:marTop w:val="0"/>
      <w:marBottom w:val="0"/>
      <w:divBdr>
        <w:top w:val="none" w:sz="0" w:space="0" w:color="auto"/>
        <w:left w:val="none" w:sz="0" w:space="0" w:color="auto"/>
        <w:bottom w:val="none" w:sz="0" w:space="0" w:color="auto"/>
        <w:right w:val="none" w:sz="0" w:space="0" w:color="auto"/>
      </w:divBdr>
    </w:div>
    <w:div w:id="1840388489">
      <w:bodyDiv w:val="1"/>
      <w:marLeft w:val="0"/>
      <w:marRight w:val="0"/>
      <w:marTop w:val="0"/>
      <w:marBottom w:val="0"/>
      <w:divBdr>
        <w:top w:val="none" w:sz="0" w:space="0" w:color="auto"/>
        <w:left w:val="none" w:sz="0" w:space="0" w:color="auto"/>
        <w:bottom w:val="none" w:sz="0" w:space="0" w:color="auto"/>
        <w:right w:val="none" w:sz="0" w:space="0" w:color="auto"/>
      </w:divBdr>
    </w:div>
    <w:div w:id="2010018862">
      <w:bodyDiv w:val="1"/>
      <w:marLeft w:val="0"/>
      <w:marRight w:val="0"/>
      <w:marTop w:val="0"/>
      <w:marBottom w:val="0"/>
      <w:divBdr>
        <w:top w:val="none" w:sz="0" w:space="0" w:color="auto"/>
        <w:left w:val="none" w:sz="0" w:space="0" w:color="auto"/>
        <w:bottom w:val="none" w:sz="0" w:space="0" w:color="auto"/>
        <w:right w:val="none" w:sz="0" w:space="0" w:color="auto"/>
      </w:divBdr>
    </w:div>
    <w:div w:id="2067677743">
      <w:bodyDiv w:val="1"/>
      <w:marLeft w:val="0"/>
      <w:marRight w:val="0"/>
      <w:marTop w:val="0"/>
      <w:marBottom w:val="0"/>
      <w:divBdr>
        <w:top w:val="none" w:sz="0" w:space="0" w:color="auto"/>
        <w:left w:val="none" w:sz="0" w:space="0" w:color="auto"/>
        <w:bottom w:val="none" w:sz="0" w:space="0" w:color="auto"/>
        <w:right w:val="none" w:sz="0" w:space="0" w:color="auto"/>
      </w:divBdr>
    </w:div>
    <w:div w:id="2069260794">
      <w:bodyDiv w:val="1"/>
      <w:marLeft w:val="0"/>
      <w:marRight w:val="0"/>
      <w:marTop w:val="0"/>
      <w:marBottom w:val="0"/>
      <w:divBdr>
        <w:top w:val="none" w:sz="0" w:space="0" w:color="auto"/>
        <w:left w:val="none" w:sz="0" w:space="0" w:color="auto"/>
        <w:bottom w:val="none" w:sz="0" w:space="0" w:color="auto"/>
        <w:right w:val="none" w:sz="0" w:space="0" w:color="auto"/>
      </w:divBdr>
    </w:div>
    <w:div w:id="2095659094">
      <w:bodyDiv w:val="1"/>
      <w:marLeft w:val="0"/>
      <w:marRight w:val="0"/>
      <w:marTop w:val="0"/>
      <w:marBottom w:val="0"/>
      <w:divBdr>
        <w:top w:val="none" w:sz="0" w:space="0" w:color="auto"/>
        <w:left w:val="none" w:sz="0" w:space="0" w:color="auto"/>
        <w:bottom w:val="none" w:sz="0" w:space="0" w:color="auto"/>
        <w:right w:val="none" w:sz="0" w:space="0" w:color="auto"/>
      </w:divBdr>
    </w:div>
    <w:div w:id="21258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26265X193283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www.sciencedirect.com/science/article/pii/S0026265X193283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F977375-0093-48EE-8F17-5926CE1B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Jep</dc:creator>
  <cp:keywords/>
  <dc:description/>
  <cp:lastModifiedBy>Mariselvam.g</cp:lastModifiedBy>
  <cp:revision>99</cp:revision>
  <dcterms:created xsi:type="dcterms:W3CDTF">2020-09-09T14:15:00Z</dcterms:created>
  <dcterms:modified xsi:type="dcterms:W3CDTF">2023-02-09T09:55:00Z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id="lvlzM7is"/&gt;&lt;style id="" hasBibliography="0" bibliographyStyleHasBeenSet="0"/&gt;&lt;prefs/&gt;&lt;/data&gt;</vt:lpwstr>
  </property>
</Properties>
</file>