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521F" w14:textId="77777777" w:rsidR="00725FA0" w:rsidRPr="00BC4681" w:rsidRDefault="00725FA0" w:rsidP="00725FA0">
      <w:pPr>
        <w:spacing w:after="0" w:line="360" w:lineRule="auto"/>
        <w:ind w:right="-32"/>
        <w:jc w:val="both"/>
        <w:rPr>
          <w:rFonts w:ascii="Times New Roman" w:eastAsia="Times New Roman" w:hAnsi="Times New Roman" w:cs="Times New Roman"/>
        </w:rPr>
      </w:pPr>
      <w:r w:rsidRPr="00BC4681">
        <w:rPr>
          <w:rFonts w:ascii="Times New Roman" w:eastAsia="Times New Roman" w:hAnsi="Times New Roman" w:cs="Times New Roman"/>
          <w:b/>
        </w:rPr>
        <w:t>Supplementary Table.</w:t>
      </w:r>
      <w:r w:rsidRPr="00BC4681">
        <w:rPr>
          <w:rFonts w:ascii="Times New Roman" w:eastAsia="Times New Roman" w:hAnsi="Times New Roman" w:cs="Times New Roman"/>
        </w:rPr>
        <w:t xml:space="preserve"> Crude and adjusted association between the score of ultra-processed food consumption and growth indicators (categorical) from 2 to 4 years of age (n 3,498). 2015 Pelotas Birth Cohort. </w:t>
      </w:r>
    </w:p>
    <w:tbl>
      <w:tblPr>
        <w:tblW w:w="14034" w:type="dxa"/>
        <w:tblLayout w:type="fixed"/>
        <w:tblLook w:val="0400" w:firstRow="0" w:lastRow="0" w:firstColumn="0" w:lastColumn="0" w:noHBand="0" w:noVBand="1"/>
      </w:tblPr>
      <w:tblGrid>
        <w:gridCol w:w="2268"/>
        <w:gridCol w:w="1985"/>
        <w:gridCol w:w="992"/>
        <w:gridCol w:w="1985"/>
        <w:gridCol w:w="992"/>
        <w:gridCol w:w="1984"/>
        <w:gridCol w:w="993"/>
        <w:gridCol w:w="1842"/>
        <w:gridCol w:w="993"/>
      </w:tblGrid>
      <w:tr w:rsidR="00BC4681" w:rsidRPr="00BC4681" w14:paraId="4F7AAB9D" w14:textId="77777777" w:rsidTr="000E2DF5">
        <w:trPr>
          <w:trHeight w:val="280"/>
        </w:trPr>
        <w:tc>
          <w:tcPr>
            <w:tcW w:w="2268" w:type="dxa"/>
            <w:vMerge w:val="restart"/>
            <w:tcBorders>
              <w:top w:val="single" w:sz="4" w:space="0" w:color="auto"/>
              <w:left w:val="nil"/>
              <w:bottom w:val="single" w:sz="4" w:space="0" w:color="000000"/>
              <w:right w:val="nil"/>
            </w:tcBorders>
            <w:shd w:val="clear" w:color="auto" w:fill="auto"/>
            <w:vAlign w:val="center"/>
          </w:tcPr>
          <w:p w14:paraId="01E23B9E"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Score of ultra-processed foods</w:t>
            </w:r>
          </w:p>
        </w:tc>
        <w:tc>
          <w:tcPr>
            <w:tcW w:w="5954" w:type="dxa"/>
            <w:gridSpan w:val="4"/>
            <w:tcBorders>
              <w:top w:val="single" w:sz="4" w:space="0" w:color="000000"/>
              <w:left w:val="nil"/>
              <w:bottom w:val="single" w:sz="4" w:space="0" w:color="000000"/>
              <w:right w:val="nil"/>
            </w:tcBorders>
            <w:shd w:val="clear" w:color="auto" w:fill="auto"/>
            <w:vAlign w:val="bottom"/>
          </w:tcPr>
          <w:p w14:paraId="5F15D36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BMI-for-age &gt;+2sd</w:t>
            </w:r>
          </w:p>
        </w:tc>
        <w:tc>
          <w:tcPr>
            <w:tcW w:w="5812" w:type="dxa"/>
            <w:gridSpan w:val="4"/>
            <w:tcBorders>
              <w:top w:val="single" w:sz="4" w:space="0" w:color="000000"/>
              <w:left w:val="nil"/>
              <w:bottom w:val="single" w:sz="4" w:space="0" w:color="000000"/>
              <w:right w:val="nil"/>
            </w:tcBorders>
          </w:tcPr>
          <w:p w14:paraId="635BAFF8"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Stunting (length/height-for-age &lt;-2sd)</w:t>
            </w:r>
          </w:p>
        </w:tc>
      </w:tr>
      <w:tr w:rsidR="00BC4681" w:rsidRPr="00BC4681" w14:paraId="0D740590" w14:textId="77777777" w:rsidTr="000E2DF5">
        <w:trPr>
          <w:trHeight w:val="280"/>
        </w:trPr>
        <w:tc>
          <w:tcPr>
            <w:tcW w:w="2268" w:type="dxa"/>
            <w:vMerge/>
            <w:tcBorders>
              <w:left w:val="nil"/>
              <w:bottom w:val="single" w:sz="4" w:space="0" w:color="000000"/>
              <w:right w:val="nil"/>
            </w:tcBorders>
            <w:shd w:val="clear" w:color="auto" w:fill="auto"/>
            <w:vAlign w:val="bottom"/>
          </w:tcPr>
          <w:p w14:paraId="30167CCE"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single" w:sz="4" w:space="0" w:color="000000"/>
              <w:left w:val="nil"/>
              <w:bottom w:val="single" w:sz="4" w:space="0" w:color="000000"/>
              <w:right w:val="nil"/>
            </w:tcBorders>
            <w:shd w:val="clear" w:color="auto" w:fill="auto"/>
            <w:vAlign w:val="bottom"/>
          </w:tcPr>
          <w:p w14:paraId="69BEAB59" w14:textId="02BFE32C" w:rsidR="00725FA0" w:rsidRPr="00BC4681" w:rsidRDefault="00725FA0" w:rsidP="000E2DF5">
            <w:pPr>
              <w:spacing w:after="0" w:line="360" w:lineRule="auto"/>
              <w:jc w:val="center"/>
              <w:rPr>
                <w:rFonts w:ascii="Times New Roman" w:eastAsia="Times New Roman" w:hAnsi="Times New Roman" w:cs="Times New Roman"/>
                <w:sz w:val="20"/>
                <w:szCs w:val="20"/>
              </w:rPr>
            </w:pPr>
            <w:proofErr w:type="spellStart"/>
            <w:r w:rsidRPr="00BC4681">
              <w:rPr>
                <w:rFonts w:ascii="Times New Roman" w:eastAsia="Times New Roman" w:hAnsi="Times New Roman" w:cs="Times New Roman"/>
                <w:sz w:val="20"/>
                <w:szCs w:val="20"/>
              </w:rPr>
              <w:t>Crude</w:t>
            </w:r>
            <w:r w:rsidR="00225077" w:rsidRPr="00BC4681">
              <w:rPr>
                <w:rFonts w:ascii="Times New Roman" w:eastAsia="Times New Roman" w:hAnsi="Times New Roman" w:cs="Times New Roman"/>
                <w:sz w:val="20"/>
                <w:szCs w:val="20"/>
                <w:vertAlign w:val="superscript"/>
              </w:rPr>
              <w:t>a</w:t>
            </w:r>
            <w:proofErr w:type="spellEnd"/>
          </w:p>
        </w:tc>
        <w:tc>
          <w:tcPr>
            <w:tcW w:w="992" w:type="dxa"/>
            <w:tcBorders>
              <w:top w:val="single" w:sz="4" w:space="0" w:color="000000"/>
              <w:left w:val="nil"/>
              <w:bottom w:val="single" w:sz="4" w:space="0" w:color="000000"/>
              <w:right w:val="nil"/>
            </w:tcBorders>
            <w:shd w:val="clear" w:color="auto" w:fill="auto"/>
            <w:vAlign w:val="bottom"/>
          </w:tcPr>
          <w:p w14:paraId="52C05E3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single" w:sz="4" w:space="0" w:color="000000"/>
              <w:left w:val="nil"/>
              <w:bottom w:val="single" w:sz="4" w:space="0" w:color="000000"/>
              <w:right w:val="nil"/>
            </w:tcBorders>
            <w:shd w:val="clear" w:color="auto" w:fill="auto"/>
            <w:vAlign w:val="bottom"/>
          </w:tcPr>
          <w:p w14:paraId="38EBE2AA" w14:textId="7C6692DA" w:rsidR="00725FA0" w:rsidRPr="00BC4681" w:rsidRDefault="00725FA0" w:rsidP="000E2DF5">
            <w:pPr>
              <w:spacing w:after="0" w:line="360" w:lineRule="auto"/>
              <w:jc w:val="center"/>
              <w:rPr>
                <w:rFonts w:ascii="Times New Roman" w:eastAsia="Times New Roman" w:hAnsi="Times New Roman" w:cs="Times New Roman"/>
                <w:sz w:val="20"/>
                <w:szCs w:val="20"/>
              </w:rPr>
            </w:pPr>
            <w:proofErr w:type="spellStart"/>
            <w:r w:rsidRPr="00BC4681">
              <w:rPr>
                <w:rFonts w:ascii="Times New Roman" w:eastAsia="Times New Roman" w:hAnsi="Times New Roman" w:cs="Times New Roman"/>
                <w:sz w:val="20"/>
                <w:szCs w:val="20"/>
              </w:rPr>
              <w:t>Adjusted</w:t>
            </w:r>
            <w:r w:rsidR="00225077" w:rsidRPr="00BC4681">
              <w:rPr>
                <w:rFonts w:ascii="Times New Roman" w:eastAsia="Times New Roman" w:hAnsi="Times New Roman" w:cs="Times New Roman"/>
                <w:sz w:val="20"/>
                <w:szCs w:val="20"/>
                <w:vertAlign w:val="superscript"/>
              </w:rPr>
              <w:t>b</w:t>
            </w:r>
            <w:proofErr w:type="spellEnd"/>
          </w:p>
        </w:tc>
        <w:tc>
          <w:tcPr>
            <w:tcW w:w="992" w:type="dxa"/>
            <w:tcBorders>
              <w:top w:val="single" w:sz="4" w:space="0" w:color="000000"/>
              <w:left w:val="nil"/>
              <w:bottom w:val="single" w:sz="4" w:space="0" w:color="000000"/>
              <w:right w:val="nil"/>
            </w:tcBorders>
            <w:shd w:val="clear" w:color="auto" w:fill="auto"/>
            <w:vAlign w:val="bottom"/>
          </w:tcPr>
          <w:p w14:paraId="4C635672"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4" w:type="dxa"/>
            <w:tcBorders>
              <w:top w:val="single" w:sz="4" w:space="0" w:color="000000"/>
              <w:left w:val="nil"/>
              <w:bottom w:val="single" w:sz="4" w:space="0" w:color="000000"/>
              <w:right w:val="nil"/>
            </w:tcBorders>
          </w:tcPr>
          <w:p w14:paraId="19F82038" w14:textId="58DD5E18" w:rsidR="00725FA0" w:rsidRPr="00BC4681" w:rsidRDefault="00725FA0" w:rsidP="000E2DF5">
            <w:pPr>
              <w:spacing w:after="0" w:line="360" w:lineRule="auto"/>
              <w:jc w:val="center"/>
              <w:rPr>
                <w:rFonts w:ascii="Times New Roman" w:eastAsia="Times New Roman" w:hAnsi="Times New Roman" w:cs="Times New Roman"/>
                <w:sz w:val="20"/>
                <w:szCs w:val="20"/>
              </w:rPr>
            </w:pPr>
            <w:proofErr w:type="spellStart"/>
            <w:r w:rsidRPr="00BC4681">
              <w:rPr>
                <w:rFonts w:ascii="Times New Roman" w:eastAsia="Times New Roman" w:hAnsi="Times New Roman" w:cs="Times New Roman"/>
                <w:sz w:val="20"/>
                <w:szCs w:val="20"/>
              </w:rPr>
              <w:t>Crude</w:t>
            </w:r>
            <w:r w:rsidR="00225077" w:rsidRPr="00BC4681">
              <w:rPr>
                <w:rFonts w:ascii="Times New Roman" w:eastAsia="Times New Roman" w:hAnsi="Times New Roman" w:cs="Times New Roman"/>
                <w:sz w:val="20"/>
                <w:szCs w:val="20"/>
                <w:vertAlign w:val="superscript"/>
              </w:rPr>
              <w:t>a</w:t>
            </w:r>
            <w:proofErr w:type="spellEnd"/>
          </w:p>
        </w:tc>
        <w:tc>
          <w:tcPr>
            <w:tcW w:w="993" w:type="dxa"/>
            <w:tcBorders>
              <w:top w:val="single" w:sz="4" w:space="0" w:color="000000"/>
              <w:left w:val="nil"/>
              <w:bottom w:val="single" w:sz="4" w:space="0" w:color="000000"/>
              <w:right w:val="nil"/>
            </w:tcBorders>
          </w:tcPr>
          <w:p w14:paraId="5EF8BEC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842" w:type="dxa"/>
            <w:tcBorders>
              <w:top w:val="single" w:sz="4" w:space="0" w:color="000000"/>
              <w:left w:val="nil"/>
              <w:bottom w:val="single" w:sz="4" w:space="0" w:color="000000"/>
              <w:right w:val="nil"/>
            </w:tcBorders>
          </w:tcPr>
          <w:p w14:paraId="07BC18F0" w14:textId="3AC30F03" w:rsidR="00725FA0" w:rsidRPr="00BC4681" w:rsidRDefault="00725FA0" w:rsidP="000E2DF5">
            <w:pPr>
              <w:spacing w:after="0" w:line="360" w:lineRule="auto"/>
              <w:jc w:val="center"/>
              <w:rPr>
                <w:rFonts w:ascii="Times New Roman" w:eastAsia="Times New Roman" w:hAnsi="Times New Roman" w:cs="Times New Roman"/>
                <w:sz w:val="20"/>
                <w:szCs w:val="20"/>
              </w:rPr>
            </w:pPr>
            <w:proofErr w:type="spellStart"/>
            <w:r w:rsidRPr="00BC4681">
              <w:rPr>
                <w:rFonts w:ascii="Times New Roman" w:eastAsia="Times New Roman" w:hAnsi="Times New Roman" w:cs="Times New Roman"/>
                <w:sz w:val="20"/>
                <w:szCs w:val="20"/>
              </w:rPr>
              <w:t>Adjusted</w:t>
            </w:r>
            <w:r w:rsidR="00225077" w:rsidRPr="00BC4681">
              <w:rPr>
                <w:rFonts w:ascii="Times New Roman" w:eastAsia="Times New Roman" w:hAnsi="Times New Roman" w:cs="Times New Roman"/>
                <w:sz w:val="20"/>
                <w:szCs w:val="20"/>
                <w:vertAlign w:val="superscript"/>
              </w:rPr>
              <w:t>b</w:t>
            </w:r>
            <w:proofErr w:type="spellEnd"/>
          </w:p>
        </w:tc>
        <w:tc>
          <w:tcPr>
            <w:tcW w:w="993" w:type="dxa"/>
            <w:tcBorders>
              <w:top w:val="single" w:sz="4" w:space="0" w:color="000000"/>
              <w:left w:val="nil"/>
              <w:bottom w:val="single" w:sz="4" w:space="0" w:color="000000"/>
              <w:right w:val="nil"/>
            </w:tcBorders>
          </w:tcPr>
          <w:p w14:paraId="56156296"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r>
      <w:tr w:rsidR="00BC4681" w:rsidRPr="00BC4681" w14:paraId="5C3E6BCC" w14:textId="77777777" w:rsidTr="000E2DF5">
        <w:trPr>
          <w:trHeight w:val="280"/>
        </w:trPr>
        <w:tc>
          <w:tcPr>
            <w:tcW w:w="2268" w:type="dxa"/>
            <w:vMerge/>
            <w:tcBorders>
              <w:left w:val="nil"/>
              <w:bottom w:val="single" w:sz="4" w:space="0" w:color="000000"/>
              <w:right w:val="nil"/>
            </w:tcBorders>
            <w:shd w:val="clear" w:color="auto" w:fill="auto"/>
            <w:vAlign w:val="bottom"/>
          </w:tcPr>
          <w:p w14:paraId="37061C76" w14:textId="77777777" w:rsidR="00725FA0" w:rsidRPr="00BC4681" w:rsidRDefault="00725FA0" w:rsidP="000E2DF5">
            <w:pPr>
              <w:spacing w:after="0" w:line="360" w:lineRule="auto"/>
              <w:rPr>
                <w:rFonts w:ascii="Times New Roman" w:eastAsia="Times New Roman" w:hAnsi="Times New Roman" w:cs="Times New Roman"/>
                <w:sz w:val="20"/>
                <w:szCs w:val="20"/>
              </w:rPr>
            </w:pPr>
          </w:p>
        </w:tc>
        <w:tc>
          <w:tcPr>
            <w:tcW w:w="1985" w:type="dxa"/>
            <w:tcBorders>
              <w:top w:val="single" w:sz="4" w:space="0" w:color="000000"/>
              <w:left w:val="nil"/>
              <w:bottom w:val="single" w:sz="4" w:space="0" w:color="000000"/>
              <w:right w:val="nil"/>
            </w:tcBorders>
            <w:shd w:val="clear" w:color="auto" w:fill="auto"/>
            <w:vAlign w:val="bottom"/>
          </w:tcPr>
          <w:p w14:paraId="007EA8B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RR (95% CI)</w:t>
            </w:r>
          </w:p>
        </w:tc>
        <w:tc>
          <w:tcPr>
            <w:tcW w:w="992" w:type="dxa"/>
            <w:tcBorders>
              <w:top w:val="single" w:sz="4" w:space="0" w:color="000000"/>
              <w:left w:val="nil"/>
              <w:bottom w:val="single" w:sz="4" w:space="0" w:color="000000"/>
              <w:right w:val="nil"/>
            </w:tcBorders>
            <w:shd w:val="clear" w:color="auto" w:fill="auto"/>
            <w:vAlign w:val="bottom"/>
          </w:tcPr>
          <w:p w14:paraId="161B6A1F"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p-value</w:t>
            </w:r>
          </w:p>
        </w:tc>
        <w:tc>
          <w:tcPr>
            <w:tcW w:w="1985" w:type="dxa"/>
            <w:tcBorders>
              <w:top w:val="single" w:sz="4" w:space="0" w:color="000000"/>
              <w:left w:val="nil"/>
              <w:bottom w:val="single" w:sz="4" w:space="0" w:color="000000"/>
              <w:right w:val="nil"/>
            </w:tcBorders>
            <w:shd w:val="clear" w:color="auto" w:fill="auto"/>
            <w:vAlign w:val="bottom"/>
          </w:tcPr>
          <w:p w14:paraId="34C2E17C"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RR (95% CI)</w:t>
            </w:r>
          </w:p>
        </w:tc>
        <w:tc>
          <w:tcPr>
            <w:tcW w:w="992" w:type="dxa"/>
            <w:tcBorders>
              <w:top w:val="single" w:sz="4" w:space="0" w:color="000000"/>
              <w:left w:val="nil"/>
              <w:bottom w:val="single" w:sz="4" w:space="0" w:color="000000"/>
              <w:right w:val="nil"/>
            </w:tcBorders>
            <w:shd w:val="clear" w:color="auto" w:fill="auto"/>
            <w:vAlign w:val="bottom"/>
          </w:tcPr>
          <w:p w14:paraId="33511632"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p-value</w:t>
            </w:r>
          </w:p>
        </w:tc>
        <w:tc>
          <w:tcPr>
            <w:tcW w:w="1984" w:type="dxa"/>
            <w:tcBorders>
              <w:top w:val="single" w:sz="4" w:space="0" w:color="000000"/>
              <w:left w:val="nil"/>
              <w:bottom w:val="single" w:sz="4" w:space="0" w:color="000000"/>
              <w:right w:val="nil"/>
            </w:tcBorders>
            <w:vAlign w:val="bottom"/>
          </w:tcPr>
          <w:p w14:paraId="48CD4A9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RR (95% CI)</w:t>
            </w:r>
          </w:p>
        </w:tc>
        <w:tc>
          <w:tcPr>
            <w:tcW w:w="993" w:type="dxa"/>
            <w:tcBorders>
              <w:top w:val="single" w:sz="4" w:space="0" w:color="000000"/>
              <w:left w:val="nil"/>
              <w:bottom w:val="single" w:sz="4" w:space="0" w:color="000000"/>
              <w:right w:val="nil"/>
            </w:tcBorders>
            <w:vAlign w:val="bottom"/>
          </w:tcPr>
          <w:p w14:paraId="06B2D9C3"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p-value</w:t>
            </w:r>
          </w:p>
        </w:tc>
        <w:tc>
          <w:tcPr>
            <w:tcW w:w="1842" w:type="dxa"/>
            <w:tcBorders>
              <w:top w:val="single" w:sz="4" w:space="0" w:color="000000"/>
              <w:left w:val="nil"/>
              <w:bottom w:val="single" w:sz="4" w:space="0" w:color="000000"/>
              <w:right w:val="nil"/>
            </w:tcBorders>
            <w:vAlign w:val="bottom"/>
          </w:tcPr>
          <w:p w14:paraId="1658BC4C"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RR (95% CI)</w:t>
            </w:r>
          </w:p>
        </w:tc>
        <w:tc>
          <w:tcPr>
            <w:tcW w:w="993" w:type="dxa"/>
            <w:tcBorders>
              <w:top w:val="single" w:sz="4" w:space="0" w:color="000000"/>
              <w:left w:val="nil"/>
              <w:bottom w:val="single" w:sz="4" w:space="0" w:color="000000"/>
              <w:right w:val="nil"/>
            </w:tcBorders>
            <w:vAlign w:val="bottom"/>
          </w:tcPr>
          <w:p w14:paraId="653C7AC3" w14:textId="77777777" w:rsidR="00725FA0" w:rsidRPr="00BC4681" w:rsidRDefault="00725FA0" w:rsidP="000E2DF5">
            <w:pPr>
              <w:spacing w:after="0" w:line="360" w:lineRule="auto"/>
              <w:ind w:right="-110"/>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p-value</w:t>
            </w:r>
          </w:p>
        </w:tc>
      </w:tr>
      <w:tr w:rsidR="00BC4681" w:rsidRPr="00BC4681" w14:paraId="249C4016" w14:textId="77777777" w:rsidTr="000E2DF5">
        <w:trPr>
          <w:trHeight w:val="497"/>
        </w:trPr>
        <w:tc>
          <w:tcPr>
            <w:tcW w:w="2268" w:type="dxa"/>
            <w:tcBorders>
              <w:top w:val="nil"/>
              <w:left w:val="nil"/>
              <w:bottom w:val="nil"/>
              <w:right w:val="nil"/>
            </w:tcBorders>
            <w:shd w:val="clear" w:color="auto" w:fill="auto"/>
            <w:vAlign w:val="center"/>
          </w:tcPr>
          <w:p w14:paraId="61BA4C98" w14:textId="77777777" w:rsidR="00725FA0" w:rsidRPr="00BC4681" w:rsidRDefault="00725FA0" w:rsidP="000E2DF5">
            <w:pPr>
              <w:spacing w:after="0" w:line="360" w:lineRule="auto"/>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Counting</w:t>
            </w:r>
          </w:p>
        </w:tc>
        <w:tc>
          <w:tcPr>
            <w:tcW w:w="1985" w:type="dxa"/>
            <w:tcBorders>
              <w:top w:val="nil"/>
              <w:left w:val="nil"/>
              <w:bottom w:val="nil"/>
              <w:right w:val="nil"/>
            </w:tcBorders>
            <w:shd w:val="clear" w:color="auto" w:fill="auto"/>
            <w:vAlign w:val="center"/>
          </w:tcPr>
          <w:p w14:paraId="43195B1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1.03 (1.01; 1.07)</w:t>
            </w:r>
          </w:p>
        </w:tc>
        <w:tc>
          <w:tcPr>
            <w:tcW w:w="992" w:type="dxa"/>
            <w:tcBorders>
              <w:top w:val="nil"/>
              <w:left w:val="nil"/>
              <w:bottom w:val="nil"/>
              <w:right w:val="nil"/>
            </w:tcBorders>
            <w:shd w:val="clear" w:color="auto" w:fill="auto"/>
            <w:vAlign w:val="center"/>
          </w:tcPr>
          <w:p w14:paraId="3EC8E643"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0.014</w:t>
            </w:r>
          </w:p>
        </w:tc>
        <w:tc>
          <w:tcPr>
            <w:tcW w:w="1985" w:type="dxa"/>
            <w:tcBorders>
              <w:top w:val="nil"/>
              <w:left w:val="nil"/>
              <w:bottom w:val="nil"/>
              <w:right w:val="nil"/>
            </w:tcBorders>
            <w:shd w:val="clear" w:color="auto" w:fill="auto"/>
            <w:vAlign w:val="center"/>
          </w:tcPr>
          <w:p w14:paraId="3C366ECF"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1.06 (1.02; 1.09)</w:t>
            </w:r>
          </w:p>
        </w:tc>
        <w:tc>
          <w:tcPr>
            <w:tcW w:w="992" w:type="dxa"/>
            <w:tcBorders>
              <w:top w:val="nil"/>
              <w:left w:val="nil"/>
              <w:bottom w:val="nil"/>
              <w:right w:val="nil"/>
            </w:tcBorders>
            <w:shd w:val="clear" w:color="auto" w:fill="auto"/>
            <w:vAlign w:val="center"/>
          </w:tcPr>
          <w:p w14:paraId="0F45C63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0.001</w:t>
            </w:r>
          </w:p>
        </w:tc>
        <w:tc>
          <w:tcPr>
            <w:tcW w:w="1984" w:type="dxa"/>
            <w:tcBorders>
              <w:top w:val="nil"/>
              <w:left w:val="nil"/>
              <w:bottom w:val="nil"/>
              <w:right w:val="nil"/>
            </w:tcBorders>
            <w:vAlign w:val="center"/>
          </w:tcPr>
          <w:p w14:paraId="02D18BEA"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1.06 (1.01; 1.12)</w:t>
            </w:r>
          </w:p>
        </w:tc>
        <w:tc>
          <w:tcPr>
            <w:tcW w:w="993" w:type="dxa"/>
            <w:tcBorders>
              <w:top w:val="nil"/>
              <w:left w:val="nil"/>
              <w:bottom w:val="nil"/>
              <w:right w:val="nil"/>
            </w:tcBorders>
            <w:vAlign w:val="center"/>
          </w:tcPr>
          <w:p w14:paraId="3BF14D60"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0.017</w:t>
            </w:r>
          </w:p>
        </w:tc>
        <w:tc>
          <w:tcPr>
            <w:tcW w:w="1842" w:type="dxa"/>
            <w:tcBorders>
              <w:top w:val="nil"/>
              <w:left w:val="nil"/>
              <w:bottom w:val="nil"/>
              <w:right w:val="nil"/>
            </w:tcBorders>
            <w:vAlign w:val="center"/>
          </w:tcPr>
          <w:p w14:paraId="33322CA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1.03 (0.97; 1.08)</w:t>
            </w:r>
          </w:p>
        </w:tc>
        <w:tc>
          <w:tcPr>
            <w:tcW w:w="993" w:type="dxa"/>
            <w:tcBorders>
              <w:top w:val="nil"/>
              <w:left w:val="nil"/>
              <w:bottom w:val="nil"/>
              <w:right w:val="nil"/>
            </w:tcBorders>
            <w:vAlign w:val="center"/>
          </w:tcPr>
          <w:p w14:paraId="26E7C5CE"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0.329</w:t>
            </w:r>
          </w:p>
        </w:tc>
      </w:tr>
      <w:tr w:rsidR="00BC4681" w:rsidRPr="00BC4681" w14:paraId="0AB83903" w14:textId="77777777" w:rsidTr="000E2DF5">
        <w:trPr>
          <w:trHeight w:val="280"/>
        </w:trPr>
        <w:tc>
          <w:tcPr>
            <w:tcW w:w="2268" w:type="dxa"/>
            <w:tcBorders>
              <w:top w:val="nil"/>
              <w:left w:val="nil"/>
              <w:bottom w:val="nil"/>
              <w:right w:val="nil"/>
            </w:tcBorders>
            <w:shd w:val="clear" w:color="auto" w:fill="auto"/>
            <w:vAlign w:val="center"/>
          </w:tcPr>
          <w:p w14:paraId="19535413" w14:textId="77777777" w:rsidR="00725FA0" w:rsidRPr="00BC4681" w:rsidRDefault="00725FA0" w:rsidP="000E2DF5">
            <w:pPr>
              <w:spacing w:after="0" w:line="360" w:lineRule="auto"/>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w:t>
            </w:r>
            <w:r w:rsidRPr="00BC4681">
              <w:rPr>
                <w:rFonts w:ascii="Times New Roman" w:eastAsia="Times New Roman" w:hAnsi="Times New Roman" w:cs="Times New Roman"/>
                <w:sz w:val="20"/>
                <w:szCs w:val="20"/>
                <w:vertAlign w:val="superscript"/>
              </w:rPr>
              <w:t>st</w:t>
            </w:r>
            <w:r w:rsidRPr="00BC4681">
              <w:rPr>
                <w:rFonts w:ascii="Times New Roman" w:eastAsia="Times New Roman" w:hAnsi="Times New Roman" w:cs="Times New Roman"/>
                <w:sz w:val="20"/>
                <w:szCs w:val="20"/>
              </w:rPr>
              <w:t xml:space="preserve"> tercile</w:t>
            </w:r>
          </w:p>
        </w:tc>
        <w:tc>
          <w:tcPr>
            <w:tcW w:w="1985" w:type="dxa"/>
            <w:tcBorders>
              <w:top w:val="nil"/>
              <w:left w:val="nil"/>
              <w:bottom w:val="nil"/>
              <w:right w:val="nil"/>
            </w:tcBorders>
            <w:shd w:val="clear" w:color="auto" w:fill="auto"/>
          </w:tcPr>
          <w:p w14:paraId="2CCD2CB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2" w:type="dxa"/>
            <w:tcBorders>
              <w:top w:val="nil"/>
              <w:left w:val="nil"/>
              <w:bottom w:val="nil"/>
              <w:right w:val="nil"/>
            </w:tcBorders>
            <w:shd w:val="clear" w:color="auto" w:fill="auto"/>
          </w:tcPr>
          <w:p w14:paraId="5638BA06"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0.302</w:t>
            </w:r>
          </w:p>
        </w:tc>
        <w:tc>
          <w:tcPr>
            <w:tcW w:w="1985" w:type="dxa"/>
            <w:tcBorders>
              <w:top w:val="nil"/>
              <w:left w:val="nil"/>
              <w:bottom w:val="nil"/>
              <w:right w:val="nil"/>
            </w:tcBorders>
            <w:shd w:val="clear" w:color="auto" w:fill="auto"/>
          </w:tcPr>
          <w:p w14:paraId="594560B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2" w:type="dxa"/>
            <w:tcBorders>
              <w:top w:val="nil"/>
              <w:left w:val="nil"/>
              <w:bottom w:val="nil"/>
              <w:right w:val="nil"/>
            </w:tcBorders>
            <w:shd w:val="clear" w:color="auto" w:fill="auto"/>
          </w:tcPr>
          <w:p w14:paraId="559BC22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0.280</w:t>
            </w:r>
          </w:p>
        </w:tc>
        <w:tc>
          <w:tcPr>
            <w:tcW w:w="1984" w:type="dxa"/>
            <w:tcBorders>
              <w:top w:val="nil"/>
              <w:left w:val="nil"/>
              <w:bottom w:val="nil"/>
              <w:right w:val="nil"/>
            </w:tcBorders>
          </w:tcPr>
          <w:p w14:paraId="5373B65E"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3" w:type="dxa"/>
            <w:tcBorders>
              <w:top w:val="nil"/>
              <w:left w:val="nil"/>
              <w:bottom w:val="nil"/>
              <w:right w:val="nil"/>
            </w:tcBorders>
          </w:tcPr>
          <w:p w14:paraId="19282571" w14:textId="40024E10"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0.023</w:t>
            </w:r>
            <w:r w:rsidR="00225077" w:rsidRPr="00BC4681">
              <w:rPr>
                <w:rFonts w:ascii="Times New Roman" w:eastAsia="Times New Roman" w:hAnsi="Times New Roman" w:cs="Times New Roman"/>
                <w:sz w:val="20"/>
                <w:szCs w:val="20"/>
                <w:vertAlign w:val="superscript"/>
              </w:rPr>
              <w:t>c</w:t>
            </w:r>
          </w:p>
        </w:tc>
        <w:tc>
          <w:tcPr>
            <w:tcW w:w="1842" w:type="dxa"/>
            <w:tcBorders>
              <w:top w:val="nil"/>
              <w:left w:val="nil"/>
              <w:bottom w:val="nil"/>
              <w:right w:val="nil"/>
            </w:tcBorders>
          </w:tcPr>
          <w:p w14:paraId="34312C1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3" w:type="dxa"/>
            <w:tcBorders>
              <w:top w:val="nil"/>
              <w:left w:val="nil"/>
              <w:bottom w:val="nil"/>
              <w:right w:val="nil"/>
            </w:tcBorders>
          </w:tcPr>
          <w:p w14:paraId="5D75C94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0.542</w:t>
            </w:r>
          </w:p>
        </w:tc>
      </w:tr>
      <w:tr w:rsidR="00BC4681" w:rsidRPr="00BC4681" w14:paraId="074BE63C" w14:textId="77777777" w:rsidTr="000E2DF5">
        <w:trPr>
          <w:trHeight w:val="280"/>
        </w:trPr>
        <w:tc>
          <w:tcPr>
            <w:tcW w:w="2268" w:type="dxa"/>
            <w:tcBorders>
              <w:top w:val="nil"/>
              <w:left w:val="nil"/>
              <w:bottom w:val="nil"/>
              <w:right w:val="nil"/>
            </w:tcBorders>
            <w:shd w:val="clear" w:color="auto" w:fill="auto"/>
            <w:vAlign w:val="center"/>
          </w:tcPr>
          <w:p w14:paraId="586FD7BE" w14:textId="77777777" w:rsidR="00725FA0" w:rsidRPr="00BC4681" w:rsidRDefault="00725FA0" w:rsidP="000E2DF5">
            <w:pPr>
              <w:spacing w:after="0" w:line="360" w:lineRule="auto"/>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2</w:t>
            </w:r>
            <w:r w:rsidRPr="00BC4681">
              <w:rPr>
                <w:rFonts w:ascii="Times New Roman" w:eastAsia="Times New Roman" w:hAnsi="Times New Roman" w:cs="Times New Roman"/>
                <w:sz w:val="20"/>
                <w:szCs w:val="20"/>
                <w:vertAlign w:val="superscript"/>
              </w:rPr>
              <w:t xml:space="preserve">nd </w:t>
            </w:r>
            <w:r w:rsidRPr="00BC4681">
              <w:rPr>
                <w:rFonts w:ascii="Times New Roman" w:eastAsia="Times New Roman" w:hAnsi="Times New Roman" w:cs="Times New Roman"/>
                <w:sz w:val="20"/>
                <w:szCs w:val="20"/>
              </w:rPr>
              <w:t>tercile</w:t>
            </w:r>
          </w:p>
        </w:tc>
        <w:tc>
          <w:tcPr>
            <w:tcW w:w="1985" w:type="dxa"/>
            <w:tcBorders>
              <w:top w:val="nil"/>
              <w:left w:val="nil"/>
              <w:bottom w:val="nil"/>
              <w:right w:val="nil"/>
            </w:tcBorders>
            <w:shd w:val="clear" w:color="auto" w:fill="auto"/>
          </w:tcPr>
          <w:p w14:paraId="55B481F1"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1.11 (0.94; 1.31)</w:t>
            </w:r>
          </w:p>
        </w:tc>
        <w:tc>
          <w:tcPr>
            <w:tcW w:w="992" w:type="dxa"/>
            <w:tcBorders>
              <w:top w:val="nil"/>
              <w:left w:val="nil"/>
              <w:bottom w:val="nil"/>
              <w:right w:val="nil"/>
            </w:tcBorders>
            <w:shd w:val="clear" w:color="auto" w:fill="auto"/>
          </w:tcPr>
          <w:p w14:paraId="08E9E64D"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tcPr>
          <w:p w14:paraId="1034D318"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1.15 (0.97; 1.36)</w:t>
            </w:r>
          </w:p>
        </w:tc>
        <w:tc>
          <w:tcPr>
            <w:tcW w:w="992" w:type="dxa"/>
            <w:tcBorders>
              <w:top w:val="nil"/>
              <w:left w:val="nil"/>
              <w:bottom w:val="nil"/>
              <w:right w:val="nil"/>
            </w:tcBorders>
            <w:shd w:val="clear" w:color="auto" w:fill="auto"/>
          </w:tcPr>
          <w:p w14:paraId="5592FF42"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4" w:type="dxa"/>
            <w:tcBorders>
              <w:top w:val="nil"/>
              <w:left w:val="nil"/>
              <w:bottom w:val="nil"/>
              <w:right w:val="nil"/>
            </w:tcBorders>
          </w:tcPr>
          <w:p w14:paraId="0357620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1.28 (0.96; 1.70)</w:t>
            </w:r>
          </w:p>
        </w:tc>
        <w:tc>
          <w:tcPr>
            <w:tcW w:w="993" w:type="dxa"/>
            <w:tcBorders>
              <w:top w:val="nil"/>
              <w:left w:val="nil"/>
              <w:bottom w:val="nil"/>
              <w:right w:val="nil"/>
            </w:tcBorders>
          </w:tcPr>
          <w:p w14:paraId="4A58018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842" w:type="dxa"/>
            <w:tcBorders>
              <w:top w:val="nil"/>
              <w:left w:val="nil"/>
              <w:bottom w:val="nil"/>
              <w:right w:val="nil"/>
            </w:tcBorders>
          </w:tcPr>
          <w:p w14:paraId="2D3F7C3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1.19 (0.87; 1.62)</w:t>
            </w:r>
          </w:p>
        </w:tc>
        <w:tc>
          <w:tcPr>
            <w:tcW w:w="993" w:type="dxa"/>
            <w:tcBorders>
              <w:top w:val="nil"/>
              <w:left w:val="nil"/>
              <w:bottom w:val="nil"/>
              <w:right w:val="nil"/>
            </w:tcBorders>
          </w:tcPr>
          <w:p w14:paraId="778D6AEC"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r>
      <w:tr w:rsidR="00BC4681" w:rsidRPr="00BC4681" w14:paraId="6787F543" w14:textId="77777777" w:rsidTr="000E2DF5">
        <w:trPr>
          <w:trHeight w:val="610"/>
        </w:trPr>
        <w:tc>
          <w:tcPr>
            <w:tcW w:w="2268" w:type="dxa"/>
            <w:tcBorders>
              <w:top w:val="nil"/>
              <w:left w:val="nil"/>
              <w:right w:val="nil"/>
            </w:tcBorders>
            <w:shd w:val="clear" w:color="auto" w:fill="auto"/>
          </w:tcPr>
          <w:p w14:paraId="05CC4113" w14:textId="77777777" w:rsidR="00725FA0" w:rsidRPr="00BC4681" w:rsidRDefault="00725FA0" w:rsidP="000E2DF5">
            <w:pPr>
              <w:spacing w:after="0" w:line="360" w:lineRule="auto"/>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3</w:t>
            </w:r>
            <w:r w:rsidRPr="00BC4681">
              <w:rPr>
                <w:rFonts w:ascii="Times New Roman" w:eastAsia="Times New Roman" w:hAnsi="Times New Roman" w:cs="Times New Roman"/>
                <w:sz w:val="20"/>
                <w:szCs w:val="20"/>
                <w:vertAlign w:val="superscript"/>
              </w:rPr>
              <w:t>rd</w:t>
            </w:r>
            <w:r w:rsidRPr="00BC4681">
              <w:rPr>
                <w:rFonts w:ascii="Times New Roman" w:eastAsia="Times New Roman" w:hAnsi="Times New Roman" w:cs="Times New Roman"/>
                <w:sz w:val="20"/>
                <w:szCs w:val="20"/>
              </w:rPr>
              <w:t xml:space="preserve"> tercile</w:t>
            </w:r>
          </w:p>
        </w:tc>
        <w:tc>
          <w:tcPr>
            <w:tcW w:w="1985" w:type="dxa"/>
            <w:tcBorders>
              <w:top w:val="nil"/>
              <w:left w:val="nil"/>
              <w:bottom w:val="nil"/>
              <w:right w:val="nil"/>
            </w:tcBorders>
            <w:shd w:val="clear" w:color="auto" w:fill="auto"/>
          </w:tcPr>
          <w:p w14:paraId="07E92F00"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0.98 (0.82; 1.17)</w:t>
            </w:r>
          </w:p>
        </w:tc>
        <w:tc>
          <w:tcPr>
            <w:tcW w:w="992" w:type="dxa"/>
            <w:tcBorders>
              <w:top w:val="nil"/>
              <w:left w:val="nil"/>
              <w:bottom w:val="nil"/>
              <w:right w:val="nil"/>
            </w:tcBorders>
            <w:shd w:val="clear" w:color="auto" w:fill="auto"/>
          </w:tcPr>
          <w:p w14:paraId="17BCD63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tcPr>
          <w:p w14:paraId="4272ACD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1.06 (0.88; 1.29)</w:t>
            </w:r>
          </w:p>
        </w:tc>
        <w:tc>
          <w:tcPr>
            <w:tcW w:w="992" w:type="dxa"/>
            <w:tcBorders>
              <w:top w:val="nil"/>
              <w:left w:val="nil"/>
              <w:bottom w:val="nil"/>
              <w:right w:val="nil"/>
            </w:tcBorders>
            <w:shd w:val="clear" w:color="auto" w:fill="auto"/>
          </w:tcPr>
          <w:p w14:paraId="445D51B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4" w:type="dxa"/>
            <w:tcBorders>
              <w:top w:val="nil"/>
              <w:left w:val="nil"/>
              <w:bottom w:val="nil"/>
              <w:right w:val="nil"/>
            </w:tcBorders>
          </w:tcPr>
          <w:p w14:paraId="4B143690"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1.35 (1.03; 1.76)</w:t>
            </w:r>
          </w:p>
        </w:tc>
        <w:tc>
          <w:tcPr>
            <w:tcW w:w="993" w:type="dxa"/>
            <w:tcBorders>
              <w:top w:val="nil"/>
              <w:left w:val="nil"/>
              <w:bottom w:val="nil"/>
              <w:right w:val="nil"/>
            </w:tcBorders>
          </w:tcPr>
          <w:p w14:paraId="617E19C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842" w:type="dxa"/>
            <w:tcBorders>
              <w:top w:val="nil"/>
              <w:left w:val="nil"/>
              <w:bottom w:val="nil"/>
              <w:right w:val="nil"/>
            </w:tcBorders>
          </w:tcPr>
          <w:p w14:paraId="3DB02E4E"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1.10 (0.83; 1.47)</w:t>
            </w:r>
          </w:p>
        </w:tc>
        <w:tc>
          <w:tcPr>
            <w:tcW w:w="993" w:type="dxa"/>
            <w:tcBorders>
              <w:top w:val="nil"/>
              <w:left w:val="nil"/>
              <w:bottom w:val="nil"/>
              <w:right w:val="nil"/>
            </w:tcBorders>
          </w:tcPr>
          <w:p w14:paraId="2AED2A9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r>
      <w:tr w:rsidR="00BC4681" w:rsidRPr="00BC4681" w14:paraId="59CAA89D" w14:textId="77777777" w:rsidTr="000E2DF5">
        <w:trPr>
          <w:trHeight w:val="280"/>
        </w:trPr>
        <w:tc>
          <w:tcPr>
            <w:tcW w:w="2268" w:type="dxa"/>
            <w:tcBorders>
              <w:left w:val="nil"/>
              <w:bottom w:val="nil"/>
              <w:right w:val="nil"/>
            </w:tcBorders>
            <w:shd w:val="clear" w:color="auto" w:fill="auto"/>
            <w:vAlign w:val="center"/>
          </w:tcPr>
          <w:p w14:paraId="65D908B1" w14:textId="77777777" w:rsidR="00725FA0" w:rsidRPr="00BC4681" w:rsidRDefault="00725FA0" w:rsidP="000E2DF5">
            <w:pPr>
              <w:spacing w:after="0" w:line="360" w:lineRule="auto"/>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 xml:space="preserve">Score </w:t>
            </w:r>
            <w:r w:rsidRPr="00BC4681">
              <w:rPr>
                <w:rFonts w:ascii="Times New Roman" w:eastAsia="Times New Roman" w:hAnsi="Times New Roman" w:cs="Times New Roman"/>
                <w:sz w:val="20"/>
                <w:szCs w:val="20"/>
              </w:rPr>
              <w:sym w:font="Symbol" w:char="F0B3"/>
            </w:r>
            <w:r w:rsidRPr="00BC4681">
              <w:rPr>
                <w:rFonts w:ascii="Times New Roman" w:eastAsia="Times New Roman" w:hAnsi="Times New Roman" w:cs="Times New Roman"/>
                <w:sz w:val="20"/>
                <w:szCs w:val="20"/>
              </w:rPr>
              <w:t>6</w:t>
            </w:r>
          </w:p>
        </w:tc>
        <w:tc>
          <w:tcPr>
            <w:tcW w:w="1985" w:type="dxa"/>
            <w:tcBorders>
              <w:top w:val="nil"/>
              <w:left w:val="nil"/>
              <w:bottom w:val="nil"/>
              <w:right w:val="nil"/>
            </w:tcBorders>
            <w:shd w:val="clear" w:color="auto" w:fill="auto"/>
          </w:tcPr>
          <w:p w14:paraId="522F6A1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tcPr>
          <w:p w14:paraId="0005842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tcPr>
          <w:p w14:paraId="6EAC259B"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tcPr>
          <w:p w14:paraId="5D2BB028"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4" w:type="dxa"/>
            <w:tcBorders>
              <w:top w:val="nil"/>
              <w:left w:val="nil"/>
              <w:bottom w:val="nil"/>
              <w:right w:val="nil"/>
            </w:tcBorders>
          </w:tcPr>
          <w:p w14:paraId="7011D81A"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tcPr>
          <w:p w14:paraId="779C5B06"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842" w:type="dxa"/>
            <w:tcBorders>
              <w:top w:val="nil"/>
              <w:left w:val="nil"/>
              <w:bottom w:val="nil"/>
              <w:right w:val="nil"/>
            </w:tcBorders>
          </w:tcPr>
          <w:p w14:paraId="445CDF81"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tcPr>
          <w:p w14:paraId="39F7281D"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r>
      <w:tr w:rsidR="00BC4681" w:rsidRPr="00BC4681" w14:paraId="1E2975C2" w14:textId="77777777" w:rsidTr="000E2DF5">
        <w:trPr>
          <w:trHeight w:val="280"/>
        </w:trPr>
        <w:tc>
          <w:tcPr>
            <w:tcW w:w="2268" w:type="dxa"/>
            <w:tcBorders>
              <w:top w:val="nil"/>
              <w:left w:val="nil"/>
              <w:bottom w:val="nil"/>
              <w:right w:val="nil"/>
            </w:tcBorders>
            <w:shd w:val="clear" w:color="auto" w:fill="auto"/>
            <w:vAlign w:val="center"/>
          </w:tcPr>
          <w:p w14:paraId="4EB38532" w14:textId="77777777" w:rsidR="00725FA0" w:rsidRPr="00BC4681" w:rsidRDefault="00725FA0" w:rsidP="000E2DF5">
            <w:pPr>
              <w:spacing w:after="0" w:line="360" w:lineRule="auto"/>
              <w:ind w:firstLine="177"/>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No</w:t>
            </w:r>
          </w:p>
        </w:tc>
        <w:tc>
          <w:tcPr>
            <w:tcW w:w="1985" w:type="dxa"/>
            <w:tcBorders>
              <w:top w:val="nil"/>
              <w:left w:val="nil"/>
              <w:bottom w:val="nil"/>
              <w:right w:val="nil"/>
            </w:tcBorders>
            <w:shd w:val="clear" w:color="auto" w:fill="auto"/>
          </w:tcPr>
          <w:p w14:paraId="5809BA29"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2" w:type="dxa"/>
            <w:tcBorders>
              <w:top w:val="nil"/>
              <w:left w:val="nil"/>
              <w:bottom w:val="nil"/>
              <w:right w:val="nil"/>
            </w:tcBorders>
            <w:shd w:val="clear" w:color="auto" w:fill="auto"/>
          </w:tcPr>
          <w:p w14:paraId="08379F6C"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0.053</w:t>
            </w:r>
          </w:p>
        </w:tc>
        <w:tc>
          <w:tcPr>
            <w:tcW w:w="1985" w:type="dxa"/>
            <w:tcBorders>
              <w:top w:val="nil"/>
              <w:left w:val="nil"/>
              <w:bottom w:val="nil"/>
              <w:right w:val="nil"/>
            </w:tcBorders>
            <w:shd w:val="clear" w:color="auto" w:fill="auto"/>
          </w:tcPr>
          <w:p w14:paraId="58EBB49F"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2" w:type="dxa"/>
            <w:tcBorders>
              <w:top w:val="nil"/>
              <w:left w:val="nil"/>
              <w:bottom w:val="nil"/>
              <w:right w:val="nil"/>
            </w:tcBorders>
            <w:shd w:val="clear" w:color="auto" w:fill="auto"/>
          </w:tcPr>
          <w:p w14:paraId="657D0F0D"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0.008</w:t>
            </w:r>
          </w:p>
        </w:tc>
        <w:tc>
          <w:tcPr>
            <w:tcW w:w="1984" w:type="dxa"/>
            <w:tcBorders>
              <w:top w:val="nil"/>
              <w:left w:val="nil"/>
              <w:bottom w:val="nil"/>
              <w:right w:val="nil"/>
            </w:tcBorders>
          </w:tcPr>
          <w:p w14:paraId="09B7570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3" w:type="dxa"/>
            <w:tcBorders>
              <w:top w:val="nil"/>
              <w:left w:val="nil"/>
              <w:bottom w:val="nil"/>
              <w:right w:val="nil"/>
            </w:tcBorders>
          </w:tcPr>
          <w:p w14:paraId="59920081"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0.007</w:t>
            </w:r>
          </w:p>
        </w:tc>
        <w:tc>
          <w:tcPr>
            <w:tcW w:w="1842" w:type="dxa"/>
            <w:tcBorders>
              <w:top w:val="nil"/>
              <w:left w:val="nil"/>
              <w:bottom w:val="nil"/>
              <w:right w:val="nil"/>
            </w:tcBorders>
          </w:tcPr>
          <w:p w14:paraId="512A3CB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Ref.</w:t>
            </w:r>
          </w:p>
        </w:tc>
        <w:tc>
          <w:tcPr>
            <w:tcW w:w="993" w:type="dxa"/>
            <w:tcBorders>
              <w:top w:val="nil"/>
              <w:left w:val="nil"/>
              <w:bottom w:val="nil"/>
              <w:right w:val="nil"/>
            </w:tcBorders>
          </w:tcPr>
          <w:p w14:paraId="5C6808E1"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0.211</w:t>
            </w:r>
          </w:p>
        </w:tc>
      </w:tr>
      <w:tr w:rsidR="00BC4681" w:rsidRPr="00BC4681" w14:paraId="4D53C098" w14:textId="77777777" w:rsidTr="000E2DF5">
        <w:trPr>
          <w:trHeight w:val="280"/>
        </w:trPr>
        <w:tc>
          <w:tcPr>
            <w:tcW w:w="2268" w:type="dxa"/>
            <w:tcBorders>
              <w:top w:val="nil"/>
              <w:left w:val="nil"/>
              <w:bottom w:val="single" w:sz="4" w:space="0" w:color="000000"/>
              <w:right w:val="nil"/>
            </w:tcBorders>
            <w:shd w:val="clear" w:color="auto" w:fill="auto"/>
            <w:vAlign w:val="center"/>
          </w:tcPr>
          <w:p w14:paraId="37975B09" w14:textId="77777777" w:rsidR="00725FA0" w:rsidRPr="00BC4681" w:rsidRDefault="00725FA0" w:rsidP="000E2DF5">
            <w:pPr>
              <w:spacing w:after="0" w:line="360" w:lineRule="auto"/>
              <w:ind w:firstLine="177"/>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Yes</w:t>
            </w:r>
          </w:p>
        </w:tc>
        <w:tc>
          <w:tcPr>
            <w:tcW w:w="1985" w:type="dxa"/>
            <w:tcBorders>
              <w:top w:val="nil"/>
              <w:left w:val="nil"/>
              <w:bottom w:val="single" w:sz="4" w:space="0" w:color="000000"/>
              <w:right w:val="nil"/>
            </w:tcBorders>
            <w:shd w:val="clear" w:color="auto" w:fill="auto"/>
          </w:tcPr>
          <w:p w14:paraId="448C2DA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1.15 (1.00; 1.32)</w:t>
            </w:r>
          </w:p>
        </w:tc>
        <w:tc>
          <w:tcPr>
            <w:tcW w:w="992" w:type="dxa"/>
            <w:tcBorders>
              <w:top w:val="nil"/>
              <w:left w:val="nil"/>
              <w:bottom w:val="single" w:sz="4" w:space="0" w:color="000000"/>
              <w:right w:val="nil"/>
            </w:tcBorders>
            <w:shd w:val="clear" w:color="auto" w:fill="auto"/>
          </w:tcPr>
          <w:p w14:paraId="50C04126"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5" w:type="dxa"/>
            <w:tcBorders>
              <w:top w:val="nil"/>
              <w:left w:val="nil"/>
              <w:bottom w:val="single" w:sz="4" w:space="0" w:color="000000"/>
              <w:right w:val="nil"/>
            </w:tcBorders>
            <w:shd w:val="clear" w:color="auto" w:fill="auto"/>
          </w:tcPr>
          <w:p w14:paraId="7A9034B4"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1.22 (1.05; 1.41)</w:t>
            </w:r>
          </w:p>
        </w:tc>
        <w:tc>
          <w:tcPr>
            <w:tcW w:w="992" w:type="dxa"/>
            <w:tcBorders>
              <w:top w:val="nil"/>
              <w:left w:val="nil"/>
              <w:bottom w:val="single" w:sz="4" w:space="0" w:color="000000"/>
              <w:right w:val="nil"/>
            </w:tcBorders>
            <w:shd w:val="clear" w:color="auto" w:fill="auto"/>
          </w:tcPr>
          <w:p w14:paraId="0942DECC"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984" w:type="dxa"/>
            <w:tcBorders>
              <w:top w:val="nil"/>
              <w:left w:val="nil"/>
              <w:bottom w:val="single" w:sz="4" w:space="0" w:color="000000"/>
              <w:right w:val="nil"/>
            </w:tcBorders>
          </w:tcPr>
          <w:p w14:paraId="6569DFE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1.34 (1.08; 1.65)</w:t>
            </w:r>
          </w:p>
        </w:tc>
        <w:tc>
          <w:tcPr>
            <w:tcW w:w="993" w:type="dxa"/>
            <w:tcBorders>
              <w:top w:val="nil"/>
              <w:left w:val="nil"/>
              <w:bottom w:val="single" w:sz="4" w:space="0" w:color="000000"/>
              <w:right w:val="nil"/>
            </w:tcBorders>
          </w:tcPr>
          <w:p w14:paraId="29BF3F57"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c>
          <w:tcPr>
            <w:tcW w:w="1842" w:type="dxa"/>
            <w:tcBorders>
              <w:top w:val="nil"/>
              <w:left w:val="nil"/>
              <w:bottom w:val="single" w:sz="4" w:space="0" w:color="000000"/>
              <w:right w:val="nil"/>
            </w:tcBorders>
          </w:tcPr>
          <w:p w14:paraId="28EDBCB5"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r w:rsidRPr="00BC4681">
              <w:rPr>
                <w:rFonts w:ascii="Times New Roman" w:eastAsia="Times New Roman" w:hAnsi="Times New Roman" w:cs="Times New Roman"/>
                <w:sz w:val="20"/>
                <w:szCs w:val="20"/>
              </w:rPr>
              <w:t>1.16 (0.92; 1.45)</w:t>
            </w:r>
          </w:p>
        </w:tc>
        <w:tc>
          <w:tcPr>
            <w:tcW w:w="993" w:type="dxa"/>
            <w:tcBorders>
              <w:top w:val="nil"/>
              <w:left w:val="nil"/>
              <w:bottom w:val="single" w:sz="4" w:space="0" w:color="000000"/>
              <w:right w:val="nil"/>
            </w:tcBorders>
          </w:tcPr>
          <w:p w14:paraId="436D25E6" w14:textId="77777777" w:rsidR="00725FA0" w:rsidRPr="00BC4681" w:rsidRDefault="00725FA0" w:rsidP="000E2DF5">
            <w:pPr>
              <w:spacing w:after="0" w:line="360" w:lineRule="auto"/>
              <w:jc w:val="center"/>
              <w:rPr>
                <w:rFonts w:ascii="Times New Roman" w:eastAsia="Times New Roman" w:hAnsi="Times New Roman" w:cs="Times New Roman"/>
                <w:sz w:val="20"/>
                <w:szCs w:val="20"/>
              </w:rPr>
            </w:pPr>
          </w:p>
        </w:tc>
      </w:tr>
    </w:tbl>
    <w:p w14:paraId="21107178" w14:textId="6E97CAA3" w:rsidR="00725FA0" w:rsidRPr="00BC4681" w:rsidRDefault="00725FA0" w:rsidP="00725FA0">
      <w:pPr>
        <w:pBdr>
          <w:top w:val="nil"/>
          <w:left w:val="nil"/>
          <w:bottom w:val="nil"/>
          <w:right w:val="nil"/>
          <w:between w:val="nil"/>
        </w:pBdr>
        <w:spacing w:after="0" w:line="360" w:lineRule="auto"/>
        <w:jc w:val="both"/>
        <w:rPr>
          <w:rFonts w:ascii="Times New Roman" w:eastAsia="Times New Roman" w:hAnsi="Times New Roman" w:cs="Times New Roman"/>
          <w:i/>
          <w:sz w:val="18"/>
          <w:szCs w:val="18"/>
        </w:rPr>
        <w:sectPr w:rsidR="00725FA0" w:rsidRPr="00BC4681" w:rsidSect="00DD5C30">
          <w:pgSz w:w="16838" w:h="11906" w:orient="landscape"/>
          <w:pgMar w:top="1701" w:right="1418" w:bottom="1701" w:left="1418" w:header="709" w:footer="709" w:gutter="0"/>
          <w:pgNumType w:start="1"/>
          <w:cols w:space="720"/>
        </w:sectPr>
      </w:pPr>
      <w:r w:rsidRPr="00BC4681">
        <w:rPr>
          <w:rFonts w:ascii="Times New Roman" w:eastAsia="Times New Roman" w:hAnsi="Times New Roman" w:cs="Times New Roman"/>
          <w:i/>
          <w:sz w:val="18"/>
          <w:szCs w:val="18"/>
        </w:rPr>
        <w:t xml:space="preserve">Generalized estimating equations (GEE) were used to estimate relative risks (RR), including the Poisson family in the command; </w:t>
      </w:r>
      <w:r w:rsidR="00225077" w:rsidRPr="00BC4681">
        <w:rPr>
          <w:rFonts w:ascii="Times New Roman" w:eastAsia="Times New Roman" w:hAnsi="Times New Roman" w:cs="Times New Roman"/>
          <w:i/>
          <w:sz w:val="18"/>
          <w:szCs w:val="18"/>
          <w:vertAlign w:val="superscript"/>
        </w:rPr>
        <w:t xml:space="preserve">a </w:t>
      </w:r>
      <w:proofErr w:type="gramStart"/>
      <w:r w:rsidR="00225077" w:rsidRPr="00BC4681">
        <w:rPr>
          <w:rFonts w:ascii="Times New Roman" w:eastAsia="Times New Roman" w:hAnsi="Times New Roman" w:cs="Times New Roman"/>
          <w:i/>
          <w:sz w:val="18"/>
          <w:szCs w:val="18"/>
        </w:rPr>
        <w:t>Crude analyses</w:t>
      </w:r>
      <w:proofErr w:type="gramEnd"/>
      <w:r w:rsidR="00225077" w:rsidRPr="00BC4681">
        <w:rPr>
          <w:rFonts w:ascii="Times New Roman" w:eastAsia="Times New Roman" w:hAnsi="Times New Roman" w:cs="Times New Roman"/>
          <w:i/>
          <w:sz w:val="18"/>
          <w:szCs w:val="18"/>
        </w:rPr>
        <w:t xml:space="preserve"> considered only the main exposure and the outcomes in the models. </w:t>
      </w:r>
      <w:r w:rsidR="00225077" w:rsidRPr="00BC4681">
        <w:rPr>
          <w:rFonts w:ascii="Times New Roman" w:eastAsia="Times New Roman" w:hAnsi="Times New Roman" w:cs="Times New Roman"/>
          <w:i/>
          <w:sz w:val="18"/>
          <w:szCs w:val="18"/>
          <w:vertAlign w:val="superscript"/>
        </w:rPr>
        <w:t>b</w:t>
      </w:r>
      <w:r w:rsidRPr="00BC4681">
        <w:rPr>
          <w:rFonts w:ascii="Times New Roman" w:eastAsia="Times New Roman" w:hAnsi="Times New Roman" w:cs="Times New Roman"/>
          <w:i/>
          <w:sz w:val="18"/>
          <w:szCs w:val="18"/>
        </w:rPr>
        <w:t xml:space="preserve"> Backward selection procedure by levels, considering the variables of the first level (sex and birthweight of the child, maternal age, education, and skin color, and wealth index of the family at baseline), second level (duration of exclusive breastfeeding and age of introduction of complementary feeding at the 12-month-old follow-up), and third level (marital status and proxy of physical activity at the 2- and 4-year-old follow-ups).  </w:t>
      </w:r>
      <w:r w:rsidR="00225077" w:rsidRPr="00BC4681">
        <w:rPr>
          <w:rFonts w:ascii="Times New Roman" w:eastAsia="Times New Roman" w:hAnsi="Times New Roman" w:cs="Times New Roman"/>
          <w:i/>
          <w:sz w:val="18"/>
          <w:szCs w:val="18"/>
          <w:vertAlign w:val="superscript"/>
        </w:rPr>
        <w:t>c</w:t>
      </w:r>
      <w:r w:rsidRPr="00BC4681">
        <w:rPr>
          <w:rFonts w:ascii="Times New Roman" w:eastAsia="Times New Roman" w:hAnsi="Times New Roman" w:cs="Times New Roman"/>
          <w:i/>
          <w:sz w:val="18"/>
          <w:szCs w:val="18"/>
          <w:vertAlign w:val="superscript"/>
        </w:rPr>
        <w:t xml:space="preserve"> </w:t>
      </w:r>
      <w:r w:rsidRPr="00BC4681">
        <w:rPr>
          <w:rFonts w:ascii="Times New Roman" w:eastAsia="Times New Roman" w:hAnsi="Times New Roman" w:cs="Times New Roman"/>
          <w:i/>
          <w:sz w:val="18"/>
          <w:szCs w:val="18"/>
        </w:rPr>
        <w:t>p-value for linear trend</w:t>
      </w:r>
      <w:r w:rsidR="00EC5BD6" w:rsidRPr="00BC4681">
        <w:rPr>
          <w:rFonts w:ascii="Times New Roman" w:eastAsia="Times New Roman" w:hAnsi="Times New Roman" w:cs="Times New Roman"/>
          <w:i/>
          <w:sz w:val="18"/>
          <w:szCs w:val="18"/>
        </w:rPr>
        <w:t>.</w:t>
      </w:r>
    </w:p>
    <w:p w14:paraId="37597C74" w14:textId="77777777" w:rsidR="00EA36A6" w:rsidRPr="00BC4681" w:rsidRDefault="00EA36A6"/>
    <w:sectPr w:rsidR="00EA36A6" w:rsidRPr="00BC4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A0"/>
    <w:rsid w:val="00225077"/>
    <w:rsid w:val="002C5544"/>
    <w:rsid w:val="00725FA0"/>
    <w:rsid w:val="00BC4681"/>
    <w:rsid w:val="00C50EEA"/>
    <w:rsid w:val="00EA36A6"/>
    <w:rsid w:val="00EC5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5AF6"/>
  <w15:chartTrackingRefBased/>
  <w15:docId w15:val="{5585F963-3632-394E-AB95-8B6194B0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A0"/>
    <w:pPr>
      <w:spacing w:after="160" w:line="259" w:lineRule="auto"/>
    </w:pPr>
    <w:rPr>
      <w:rFonts w:ascii="Calibri" w:eastAsia="Calibri" w:hAnsi="Calibri" w:cs="Calibri"/>
      <w:sz w:val="22"/>
      <w:szCs w:val="22"/>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Costa</dc:creator>
  <cp:keywords/>
  <dc:description/>
  <cp:lastModifiedBy>Matthew Woodcock</cp:lastModifiedBy>
  <cp:revision>2</cp:revision>
  <dcterms:created xsi:type="dcterms:W3CDTF">2022-09-06T15:00:00Z</dcterms:created>
  <dcterms:modified xsi:type="dcterms:W3CDTF">2022-09-06T15:00:00Z</dcterms:modified>
</cp:coreProperties>
</file>