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513A" w14:textId="156ADC9A" w:rsidR="00937634" w:rsidRPr="00353E73" w:rsidRDefault="00937634" w:rsidP="00937634">
      <w:pPr>
        <w:rPr>
          <w:rFonts w:ascii="Calibri" w:hAnsi="Calibri" w:cs="Calibri"/>
          <w:b/>
          <w:bCs/>
          <w:color w:val="000000" w:themeColor="text1"/>
          <w:lang w:val="en-GB"/>
        </w:rPr>
      </w:pPr>
      <w:r w:rsidRPr="00353E73">
        <w:rPr>
          <w:rFonts w:ascii="Calibri" w:hAnsi="Calibri" w:cs="Calibri"/>
          <w:b/>
          <w:bCs/>
          <w:color w:val="000000" w:themeColor="text1"/>
          <w:lang w:val="en-GB"/>
        </w:rPr>
        <w:t>Appendix</w:t>
      </w:r>
    </w:p>
    <w:p w14:paraId="74EF1C66" w14:textId="0E622D67" w:rsidR="00937634" w:rsidRPr="00353E73" w:rsidRDefault="00937634" w:rsidP="00937634">
      <w:pPr>
        <w:rPr>
          <w:rFonts w:ascii="Calibri" w:hAnsi="Calibri" w:cs="Calibri"/>
          <w:color w:val="000000" w:themeColor="text1"/>
          <w:lang w:val="en-GB"/>
        </w:rPr>
      </w:pPr>
      <w:r w:rsidRPr="00353E73">
        <w:rPr>
          <w:rFonts w:ascii="Calibri" w:hAnsi="Calibri" w:cs="Calibri"/>
          <w:b/>
          <w:bCs/>
          <w:color w:val="000000" w:themeColor="text1"/>
          <w:lang w:val="en-GB"/>
        </w:rPr>
        <w:t>Table 1</w:t>
      </w:r>
      <w:r w:rsidRPr="00353E73">
        <w:rPr>
          <w:rFonts w:ascii="Calibri" w:hAnsi="Calibri" w:cs="Calibri"/>
          <w:color w:val="000000" w:themeColor="text1"/>
          <w:lang w:val="en-GB"/>
        </w:rPr>
        <w:t xml:space="preserve"> Overall </w:t>
      </w:r>
      <w:r w:rsidR="00141095" w:rsidRPr="00353E73">
        <w:rPr>
          <w:rFonts w:ascii="Calibri" w:hAnsi="Calibri" w:cs="Calibri"/>
          <w:color w:val="000000" w:themeColor="text1"/>
          <w:lang w:val="en-GB"/>
        </w:rPr>
        <w:t xml:space="preserve">population attributable fraction </w:t>
      </w:r>
      <w:r w:rsidRPr="00353E73">
        <w:rPr>
          <w:rFonts w:ascii="Calibri" w:hAnsi="Calibri" w:cs="Calibri"/>
          <w:color w:val="000000" w:themeColor="text1"/>
          <w:lang w:val="en-GB"/>
        </w:rPr>
        <w:t xml:space="preserve">estimate </w:t>
      </w:r>
      <w:r w:rsidR="00D1010E" w:rsidRPr="00353E73">
        <w:rPr>
          <w:rFonts w:ascii="Calibri" w:hAnsi="Calibri" w:cs="Calibri"/>
          <w:color w:val="000000" w:themeColor="text1"/>
          <w:lang w:val="en-GB"/>
        </w:rPr>
        <w:t xml:space="preserve">(%) and its </w:t>
      </w:r>
      <w:r w:rsidRPr="00353E73">
        <w:rPr>
          <w:rFonts w:ascii="Calibri" w:hAnsi="Calibri" w:cs="Calibri"/>
          <w:color w:val="000000" w:themeColor="text1"/>
          <w:lang w:val="en-GB"/>
        </w:rPr>
        <w:t xml:space="preserve">95% UI for diet high in sodium by gender </w:t>
      </w:r>
      <w:r w:rsidR="003B6A9D" w:rsidRPr="00353E73">
        <w:rPr>
          <w:rFonts w:ascii="Calibri" w:hAnsi="Calibri" w:cs="Calibri"/>
          <w:color w:val="000000" w:themeColor="text1"/>
          <w:lang w:val="en-GB"/>
        </w:rPr>
        <w:t>in year 2019 from Global Burden of Disease Results Tools</w:t>
      </w:r>
    </w:p>
    <w:tbl>
      <w:tblPr>
        <w:tblW w:w="13041" w:type="dxa"/>
        <w:tblLayout w:type="fixed"/>
        <w:tblLook w:val="04A0" w:firstRow="1" w:lastRow="0" w:firstColumn="1" w:lastColumn="0" w:noHBand="0" w:noVBand="1"/>
      </w:tblPr>
      <w:tblGrid>
        <w:gridCol w:w="1843"/>
        <w:gridCol w:w="6095"/>
        <w:gridCol w:w="1701"/>
        <w:gridCol w:w="1701"/>
        <w:gridCol w:w="1701"/>
      </w:tblGrid>
      <w:tr w:rsidR="00353E73" w:rsidRPr="00353E73" w14:paraId="748A7666" w14:textId="77777777" w:rsidTr="00813786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587D" w14:textId="77777777" w:rsidR="00937634" w:rsidRPr="00353E73" w:rsidRDefault="00937634" w:rsidP="00813786">
            <w:pPr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Main causes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C6862" w14:textId="001B3341" w:rsidR="00937634" w:rsidRPr="00353E73" w:rsidRDefault="00784947" w:rsidP="00813786">
            <w:pPr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Diseases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618D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31EC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DA18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Female</w:t>
            </w:r>
          </w:p>
        </w:tc>
      </w:tr>
      <w:tr w:rsidR="00353E73" w:rsidRPr="00353E73" w14:paraId="6F7EAE8F" w14:textId="77777777" w:rsidTr="0081378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2AF" w14:textId="0D2DF532" w:rsidR="00937634" w:rsidRPr="00353E73" w:rsidRDefault="00487D8D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Stomach cancer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BA1C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Stomach cancer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ABA7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8.6 (0.2, 32.4)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D339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8.7 (0.2, 32.7)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1C54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8.4 (0.2, 32.2)</w:t>
            </w:r>
          </w:p>
        </w:tc>
      </w:tr>
      <w:tr w:rsidR="00353E73" w:rsidRPr="00353E73" w14:paraId="08D47A0A" w14:textId="77777777" w:rsidTr="00813786">
        <w:trPr>
          <w:trHeight w:val="32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BA14D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Chronic kidney disease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802D4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Chronic kidney disease due to diabetes mellitus type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16286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9.6 (1.3, 22.5)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6D6A8D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11.2 (1.8, 24.6)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9D5BB8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8.4 (0.8, 20.8)</w:t>
            </w:r>
          </w:p>
        </w:tc>
      </w:tr>
      <w:tr w:rsidR="00353E73" w:rsidRPr="00353E73" w14:paraId="4F33C8F0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A7D17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DC2AE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Chronic kidney disease due to hypertension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2798E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9.5 (1.3, 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1E2F73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11 (1.8, 23.7)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F3A13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8.4 (0.7, 20.8)</w:t>
            </w:r>
          </w:p>
        </w:tc>
      </w:tr>
      <w:tr w:rsidR="00353E73" w:rsidRPr="00353E73" w14:paraId="02FBA774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07775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375EE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Chronic kidney disease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00EAB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9.4 (1.3, 21.2)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AF7C7A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10.9 (1.8, 23.3)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4743AB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8.3 (0.8, 20)</w:t>
            </w:r>
          </w:p>
        </w:tc>
      </w:tr>
      <w:tr w:rsidR="00353E73" w:rsidRPr="00353E73" w14:paraId="5C33DE0F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3C6B1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A2B98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Chronic kidney disease due to glomerulonephritis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73A62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9.1 (1.3, 20.7)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792E6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10.3 (1.8, 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B5E77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7.7 (0.7, 19)</w:t>
            </w:r>
          </w:p>
        </w:tc>
      </w:tr>
      <w:tr w:rsidR="00353E73" w:rsidRPr="00353E73" w14:paraId="51EE44BE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AD5C4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47A4C3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Chronic kidney disease due to other and unspecified causes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88772D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9.1 (1.2, 21.3)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0C4E1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10.5 (1.7, 23.5)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9DB9D1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8.1 (0.7, 20.3)</w:t>
            </w:r>
          </w:p>
        </w:tc>
      </w:tr>
      <w:tr w:rsidR="00353E73" w:rsidRPr="00353E73" w14:paraId="003D01A0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0013E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CC87A9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Chronic kidney disease due to diabetes mellitus type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D1398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8.8 (1.3, 20.2)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6586B6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10.1 (1.7, 22.4)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EDBB74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7.6 (0.8, 18.2)</w:t>
            </w:r>
          </w:p>
        </w:tc>
      </w:tr>
      <w:tr w:rsidR="00353E73" w:rsidRPr="00353E73" w14:paraId="519CFC6D" w14:textId="77777777" w:rsidTr="00813786">
        <w:trPr>
          <w:trHeight w:val="320"/>
        </w:trPr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3F83E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Cardiovascular diseases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74D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Hypertensive heart disease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48F6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18.7 (2.6, 48.4)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E61A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21.4 (3.6, 51.2)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3A08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15.4 (1.2, 45.1)</w:t>
            </w:r>
          </w:p>
        </w:tc>
      </w:tr>
      <w:tr w:rsidR="00353E73" w:rsidRPr="00353E73" w14:paraId="47417228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8CD24B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1EA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 xml:space="preserve">Intracerebral </w:t>
            </w:r>
            <w:proofErr w:type="spellStart"/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hemorrhage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9077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12.5 (2, 27.4)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F2A2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14.3 (2.6, 30.2)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FCAE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10 (0.9, 23.6)</w:t>
            </w:r>
          </w:p>
        </w:tc>
      </w:tr>
      <w:tr w:rsidR="00353E73" w:rsidRPr="00353E73" w14:paraId="57DE5C4E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C5454B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325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 xml:space="preserve">Subarachnoid </w:t>
            </w:r>
            <w:proofErr w:type="spellStart"/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hemorrhage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EE34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12.2 (1.9, 26.8)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F75E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14.5 (2.7, 29.8)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86A5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10.4 (1, 24.1)</w:t>
            </w:r>
          </w:p>
        </w:tc>
      </w:tr>
      <w:tr w:rsidR="00353E73" w:rsidRPr="00353E73" w14:paraId="5DF9EE5C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87F9A0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812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Ischemic heart disease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162D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11.2 (1.7, 24.2)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9BCE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12.8 (2.2, 26.2)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176A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8.8 (0.8, 21.3)</w:t>
            </w:r>
          </w:p>
        </w:tc>
      </w:tr>
      <w:tr w:rsidR="00353E73" w:rsidRPr="00353E73" w14:paraId="1C1E0B74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3A29BE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548F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Cardiovascular diseases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D96C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11.2 (1.7, 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FE85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13.1 (2.4, 26.4)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F893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8.9 (0.8, 21.3)</w:t>
            </w:r>
          </w:p>
        </w:tc>
      </w:tr>
      <w:tr w:rsidR="00353E73" w:rsidRPr="00353E73" w14:paraId="7F2B24D4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AA11C5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87FC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Ischemic stroke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AB15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8.3 (1.1, 19.7)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2AFC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10.2 (1.6, 22.2)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BDAB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7 (0.6, 18)</w:t>
            </w:r>
          </w:p>
        </w:tc>
      </w:tr>
      <w:tr w:rsidR="00353E73" w:rsidRPr="00353E73" w14:paraId="60E6ED7F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30E5CF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55D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Endocarditis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CF59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6.8 (1, 15.1)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45A6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8.3 (1.5, 17.7)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D39D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5.3 (0.5, 12.8)</w:t>
            </w:r>
          </w:p>
        </w:tc>
      </w:tr>
      <w:tr w:rsidR="00353E73" w:rsidRPr="00353E73" w14:paraId="33A096E7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321B93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823D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Atrial fibrillation and flutter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1B9A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6.1 (0.9, 13.7)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BAAF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7.4 (1.2, 15.9)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C04F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5 (0.5, 12)</w:t>
            </w:r>
          </w:p>
        </w:tc>
      </w:tr>
      <w:tr w:rsidR="00353E73" w:rsidRPr="00353E73" w14:paraId="2B208BCF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C9ED97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340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Cardiomyopathy and myocarditis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A61E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5 (0.8, 10.9)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7249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5.5 (1, 11.6)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4CDD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4.1 (0.4, 9.9)</w:t>
            </w:r>
          </w:p>
        </w:tc>
      </w:tr>
      <w:tr w:rsidR="00353E73" w:rsidRPr="00353E73" w14:paraId="70FC2E39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A04FA8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9023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Rheumatic heart disease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59B8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4.8 (0.7, 11.6)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BADE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5.9 (1.1, 13.3)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9404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4.2 (0.5, 10.9)</w:t>
            </w:r>
          </w:p>
        </w:tc>
      </w:tr>
      <w:tr w:rsidR="00353E73" w:rsidRPr="00353E73" w14:paraId="792A633F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863992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910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Peripheral artery disease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DF67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4.4 (0.6, 10.5)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E2C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5.5 (0.9, 12.1)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E9F7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3.6 (0.4, 9.6)</w:t>
            </w:r>
          </w:p>
        </w:tc>
      </w:tr>
      <w:tr w:rsidR="00353E73" w:rsidRPr="00353E73" w14:paraId="410B87D0" w14:textId="77777777" w:rsidTr="00813786">
        <w:trPr>
          <w:trHeight w:val="320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2E62C4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F536" w14:textId="77777777" w:rsidR="00937634" w:rsidRPr="00353E73" w:rsidRDefault="00937634" w:rsidP="00813786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Non-rheumatic valvular heart disease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E3B1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4.2 (0.6, 9.7)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FDA8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4.8 (0.8, 10.5)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CF5A" w14:textId="77777777" w:rsidR="00937634" w:rsidRPr="00353E73" w:rsidRDefault="00937634" w:rsidP="00813786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53E73">
              <w:rPr>
                <w:rFonts w:ascii="Calibri" w:hAnsi="Calibri" w:cs="Calibri"/>
                <w:color w:val="000000" w:themeColor="text1"/>
                <w:lang w:val="en-GB"/>
              </w:rPr>
              <w:t>3.6 (0.4, 9.1)</w:t>
            </w:r>
          </w:p>
        </w:tc>
      </w:tr>
    </w:tbl>
    <w:p w14:paraId="0EA8C3E2" w14:textId="69EF580B" w:rsidR="001A711B" w:rsidRPr="00353E73" w:rsidRDefault="00A11F1E" w:rsidP="00E1134C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  <w:lang w:val="en-GB"/>
        </w:rPr>
      </w:pPr>
      <w:r w:rsidRPr="00353E73">
        <w:rPr>
          <w:rFonts w:ascii="Calibri" w:hAnsi="Calibri" w:cs="Calibri"/>
          <w:color w:val="000000" w:themeColor="text1"/>
          <w:sz w:val="18"/>
          <w:szCs w:val="18"/>
          <w:lang w:val="en-GB"/>
        </w:rPr>
        <w:t xml:space="preserve">Note: </w:t>
      </w:r>
      <w:r w:rsidR="00E1134C" w:rsidRPr="00353E73">
        <w:rPr>
          <w:rFonts w:ascii="Calibri" w:hAnsi="Calibri" w:cs="Calibri"/>
          <w:color w:val="000000" w:themeColor="text1"/>
          <w:sz w:val="18"/>
          <w:szCs w:val="18"/>
          <w:lang w:val="en-GB"/>
        </w:rPr>
        <w:t xml:space="preserve">population attributable fractions can be obtained from </w:t>
      </w:r>
      <w:hyperlink r:id="rId5" w:history="1">
        <w:r w:rsidR="00E1134C" w:rsidRPr="00353E73">
          <w:rPr>
            <w:rStyle w:val="Hyperlink"/>
            <w:rFonts w:ascii="Calibri" w:hAnsi="Calibri" w:cs="Calibri"/>
            <w:color w:val="000000" w:themeColor="text1"/>
            <w:sz w:val="18"/>
            <w:szCs w:val="18"/>
            <w:lang w:val="en-GB"/>
          </w:rPr>
          <w:t>http://ghdx.healthdata.org/gbd-results-tool</w:t>
        </w:r>
      </w:hyperlink>
      <w:r w:rsidR="00E1134C" w:rsidRPr="00353E73">
        <w:rPr>
          <w:rFonts w:ascii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1A711B" w:rsidRPr="00353E73">
        <w:rPr>
          <w:rFonts w:ascii="Calibri" w:hAnsi="Calibri" w:cs="Calibri"/>
          <w:color w:val="000000" w:themeColor="text1"/>
          <w:sz w:val="18"/>
          <w:szCs w:val="18"/>
          <w:lang w:val="en-GB"/>
        </w:rPr>
        <w:t>(with the following options Location: Singapore; Year: 2019; Risk: Diet high in sodium; Context: Risk; Age: select all; Metric: Percent; Measure: Deaths; Sex: select all; Cause: select all)</w:t>
      </w:r>
    </w:p>
    <w:p w14:paraId="53F1DB22" w14:textId="7624B176" w:rsidR="006F3116" w:rsidRPr="00353E73" w:rsidRDefault="006F3116" w:rsidP="006F3116">
      <w:pPr>
        <w:rPr>
          <w:rFonts w:ascii="Calibri" w:hAnsi="Calibri" w:cs="Calibri"/>
          <w:color w:val="000000" w:themeColor="text1"/>
          <w:sz w:val="18"/>
          <w:szCs w:val="18"/>
          <w:lang w:val="en-GB"/>
        </w:rPr>
      </w:pPr>
      <w:r w:rsidRPr="00353E73">
        <w:rPr>
          <w:rFonts w:ascii="Calibri" w:hAnsi="Calibri" w:cs="Calibri"/>
          <w:color w:val="000000" w:themeColor="text1"/>
          <w:sz w:val="18"/>
          <w:szCs w:val="18"/>
          <w:lang w:val="en-GB"/>
        </w:rPr>
        <w:t>UI: uncertainty interval</w:t>
      </w:r>
    </w:p>
    <w:p w14:paraId="0F094787" w14:textId="7209CAF9" w:rsidR="00B478A5" w:rsidRPr="00353E73" w:rsidRDefault="00B478A5">
      <w:pPr>
        <w:rPr>
          <w:color w:val="000000" w:themeColor="text1"/>
          <w:lang w:val="en-GB"/>
        </w:rPr>
      </w:pPr>
    </w:p>
    <w:p w14:paraId="173532D6" w14:textId="77777777" w:rsidR="008E3853" w:rsidRPr="00353E73" w:rsidRDefault="008E3853">
      <w:pPr>
        <w:rPr>
          <w:rFonts w:ascii="Calibri" w:hAnsi="Calibri" w:cs="Calibri"/>
          <w:b/>
          <w:bCs/>
          <w:color w:val="000000" w:themeColor="text1"/>
          <w:lang w:val="en-GB"/>
        </w:rPr>
        <w:sectPr w:rsidR="008E3853" w:rsidRPr="00353E73" w:rsidSect="00501087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E64A263" w14:textId="1259B9AF" w:rsidR="00B478A5" w:rsidRPr="00353E73" w:rsidRDefault="00136B95">
      <w:pPr>
        <w:rPr>
          <w:rFonts w:ascii="Calibri" w:hAnsi="Calibri" w:cs="Calibri"/>
          <w:color w:val="000000" w:themeColor="text1"/>
          <w:lang w:val="en-GB"/>
        </w:rPr>
      </w:pPr>
      <w:r w:rsidRPr="00353E73">
        <w:rPr>
          <w:rFonts w:ascii="Calibri" w:hAnsi="Calibri" w:cs="Calibri"/>
          <w:b/>
          <w:bCs/>
          <w:color w:val="000000" w:themeColor="text1"/>
          <w:lang w:val="en-GB"/>
        </w:rPr>
        <w:lastRenderedPageBreak/>
        <w:t>Table 2</w:t>
      </w:r>
      <w:r w:rsidR="00737181" w:rsidRPr="00353E73">
        <w:rPr>
          <w:rFonts w:ascii="Calibri" w:hAnsi="Calibri" w:cs="Calibri"/>
          <w:color w:val="000000" w:themeColor="text1"/>
          <w:lang w:val="en-GB"/>
        </w:rPr>
        <w:t xml:space="preserve"> Parameter details used in probabilistic sensitivity analysis for the model </w:t>
      </w:r>
    </w:p>
    <w:tbl>
      <w:tblPr>
        <w:tblStyle w:val="TableGridLight"/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2830"/>
        <w:gridCol w:w="1706"/>
      </w:tblGrid>
      <w:tr w:rsidR="00353E73" w:rsidRPr="00353E73" w14:paraId="73D638C5" w14:textId="77777777" w:rsidTr="00687372">
        <w:trPr>
          <w:trHeight w:val="340"/>
        </w:trPr>
        <w:tc>
          <w:tcPr>
            <w:tcW w:w="5103" w:type="dxa"/>
            <w:hideMark/>
          </w:tcPr>
          <w:p w14:paraId="64278BD1" w14:textId="77777777" w:rsidR="002979F1" w:rsidRPr="00353E73" w:rsidRDefault="002979F1" w:rsidP="002979F1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353E73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Causes/Age-groups</w:t>
            </w:r>
          </w:p>
        </w:tc>
        <w:tc>
          <w:tcPr>
            <w:tcW w:w="2830" w:type="dxa"/>
            <w:hideMark/>
          </w:tcPr>
          <w:p w14:paraId="5C2BBDF2" w14:textId="77777777" w:rsidR="002979F1" w:rsidRPr="00353E73" w:rsidRDefault="002979F1" w:rsidP="002979F1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353E73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Estimate (95% UI)</w:t>
            </w:r>
          </w:p>
        </w:tc>
        <w:tc>
          <w:tcPr>
            <w:tcW w:w="1706" w:type="dxa"/>
            <w:hideMark/>
          </w:tcPr>
          <w:p w14:paraId="1522D1C5" w14:textId="77777777" w:rsidR="002979F1" w:rsidRPr="00353E73" w:rsidRDefault="002979F1" w:rsidP="002979F1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 w:rsidRPr="00353E73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Distribution</w:t>
            </w:r>
          </w:p>
        </w:tc>
      </w:tr>
      <w:tr w:rsidR="00353E73" w:rsidRPr="00353E73" w14:paraId="2D06F32E" w14:textId="77777777" w:rsidTr="00996AD7">
        <w:trPr>
          <w:trHeight w:val="320"/>
        </w:trPr>
        <w:tc>
          <w:tcPr>
            <w:tcW w:w="9639" w:type="dxa"/>
            <w:gridSpan w:val="3"/>
            <w:noWrap/>
            <w:hideMark/>
          </w:tcPr>
          <w:p w14:paraId="7C4CE555" w14:textId="25085381" w:rsidR="002979F1" w:rsidRPr="00353E73" w:rsidRDefault="002979F1" w:rsidP="002979F1">
            <w:pPr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Population attributable fractions from </w:t>
            </w:r>
            <w:r w:rsidR="00176A5F" w:rsidRPr="00353E73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Global Burden of Disease</w:t>
            </w:r>
            <w:r w:rsidR="00766A56" w:rsidRPr="00353E73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*</w:t>
            </w:r>
          </w:p>
        </w:tc>
      </w:tr>
      <w:tr w:rsidR="00353E73" w:rsidRPr="00353E73" w14:paraId="37F265E1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EABE494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diabetes mellitus type 1</w:t>
            </w:r>
          </w:p>
        </w:tc>
        <w:tc>
          <w:tcPr>
            <w:tcW w:w="2830" w:type="dxa"/>
            <w:noWrap/>
            <w:hideMark/>
          </w:tcPr>
          <w:p w14:paraId="236CFCC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0.0882 (0.0133, 0.202)</w:t>
            </w:r>
          </w:p>
        </w:tc>
        <w:tc>
          <w:tcPr>
            <w:tcW w:w="1706" w:type="dxa"/>
            <w:noWrap/>
            <w:hideMark/>
          </w:tcPr>
          <w:p w14:paraId="272B01D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3D1E749F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693B3B3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Ischemic heart disease</w:t>
            </w:r>
          </w:p>
        </w:tc>
        <w:tc>
          <w:tcPr>
            <w:tcW w:w="2830" w:type="dxa"/>
            <w:noWrap/>
            <w:hideMark/>
          </w:tcPr>
          <w:p w14:paraId="205C461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0.112 (0.0172, 0.242)</w:t>
            </w:r>
          </w:p>
        </w:tc>
        <w:tc>
          <w:tcPr>
            <w:tcW w:w="1706" w:type="dxa"/>
            <w:noWrap/>
            <w:hideMark/>
          </w:tcPr>
          <w:p w14:paraId="0EFA8DC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07581D29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546CC35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 xml:space="preserve">Intracerebral </w:t>
            </w:r>
            <w:proofErr w:type="spellStart"/>
            <w:r w:rsidRPr="00353E73">
              <w:rPr>
                <w:rFonts w:ascii="Calibri" w:hAnsi="Calibri" w:cs="Calibri"/>
                <w:color w:val="000000" w:themeColor="text1"/>
              </w:rPr>
              <w:t>hemorrhage</w:t>
            </w:r>
            <w:proofErr w:type="spellEnd"/>
          </w:p>
        </w:tc>
        <w:tc>
          <w:tcPr>
            <w:tcW w:w="2830" w:type="dxa"/>
            <w:noWrap/>
            <w:hideMark/>
          </w:tcPr>
          <w:p w14:paraId="6B8FAB3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0.125 (0.0203, 0.274)</w:t>
            </w:r>
          </w:p>
        </w:tc>
        <w:tc>
          <w:tcPr>
            <w:tcW w:w="1706" w:type="dxa"/>
            <w:noWrap/>
            <w:hideMark/>
          </w:tcPr>
          <w:p w14:paraId="01A7399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42C4532C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5A636B3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Atrial fibrillation and flutter</w:t>
            </w:r>
          </w:p>
        </w:tc>
        <w:tc>
          <w:tcPr>
            <w:tcW w:w="2830" w:type="dxa"/>
            <w:noWrap/>
            <w:hideMark/>
          </w:tcPr>
          <w:p w14:paraId="3313E5BF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0.0609 (0.00877, 0.137)</w:t>
            </w:r>
          </w:p>
        </w:tc>
        <w:tc>
          <w:tcPr>
            <w:tcW w:w="1706" w:type="dxa"/>
            <w:noWrap/>
            <w:hideMark/>
          </w:tcPr>
          <w:p w14:paraId="1D618F54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2FCD5CCA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0B787A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Rheumatic heart disease</w:t>
            </w:r>
          </w:p>
        </w:tc>
        <w:tc>
          <w:tcPr>
            <w:tcW w:w="2830" w:type="dxa"/>
            <w:noWrap/>
            <w:hideMark/>
          </w:tcPr>
          <w:p w14:paraId="1BDC65F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0.0479 (0.00699, 0.116)</w:t>
            </w:r>
          </w:p>
        </w:tc>
        <w:tc>
          <w:tcPr>
            <w:tcW w:w="1706" w:type="dxa"/>
            <w:noWrap/>
            <w:hideMark/>
          </w:tcPr>
          <w:p w14:paraId="713F9894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5F0C7F82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46D8CB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Ischemic stroke</w:t>
            </w:r>
          </w:p>
        </w:tc>
        <w:tc>
          <w:tcPr>
            <w:tcW w:w="2830" w:type="dxa"/>
            <w:noWrap/>
            <w:hideMark/>
          </w:tcPr>
          <w:p w14:paraId="29BC58C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0.0827 (0.0106, 0.197)</w:t>
            </w:r>
          </w:p>
        </w:tc>
        <w:tc>
          <w:tcPr>
            <w:tcW w:w="1706" w:type="dxa"/>
            <w:noWrap/>
            <w:hideMark/>
          </w:tcPr>
          <w:p w14:paraId="39A7379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6069385B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D848E64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Hypertensive heart disease</w:t>
            </w:r>
          </w:p>
        </w:tc>
        <w:tc>
          <w:tcPr>
            <w:tcW w:w="2830" w:type="dxa"/>
            <w:noWrap/>
            <w:hideMark/>
          </w:tcPr>
          <w:p w14:paraId="61578F4F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0.187 (0.0265, 0.484)</w:t>
            </w:r>
          </w:p>
        </w:tc>
        <w:tc>
          <w:tcPr>
            <w:tcW w:w="1706" w:type="dxa"/>
            <w:noWrap/>
            <w:hideMark/>
          </w:tcPr>
          <w:p w14:paraId="7721A2A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2F33314B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3FA3DFB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Cardiomyopathy and myocarditis</w:t>
            </w:r>
          </w:p>
        </w:tc>
        <w:tc>
          <w:tcPr>
            <w:tcW w:w="2830" w:type="dxa"/>
            <w:noWrap/>
            <w:hideMark/>
          </w:tcPr>
          <w:p w14:paraId="0CC93A9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0.0496 (0.00845, 0.109)</w:t>
            </w:r>
          </w:p>
        </w:tc>
        <w:tc>
          <w:tcPr>
            <w:tcW w:w="1706" w:type="dxa"/>
            <w:noWrap/>
            <w:hideMark/>
          </w:tcPr>
          <w:p w14:paraId="1EDA13B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22E4E347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59F6CD9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</w:t>
            </w:r>
          </w:p>
        </w:tc>
        <w:tc>
          <w:tcPr>
            <w:tcW w:w="2830" w:type="dxa"/>
            <w:noWrap/>
            <w:hideMark/>
          </w:tcPr>
          <w:p w14:paraId="6C3A9876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0.0944 (0.0133, 0.212)</w:t>
            </w:r>
          </w:p>
        </w:tc>
        <w:tc>
          <w:tcPr>
            <w:tcW w:w="1706" w:type="dxa"/>
            <w:noWrap/>
            <w:hideMark/>
          </w:tcPr>
          <w:p w14:paraId="1EF7C8F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0CD5DFA7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41EFDBD5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 xml:space="preserve">Subarachnoid </w:t>
            </w:r>
            <w:proofErr w:type="spellStart"/>
            <w:r w:rsidRPr="00353E73">
              <w:rPr>
                <w:rFonts w:ascii="Calibri" w:hAnsi="Calibri" w:cs="Calibri"/>
                <w:color w:val="000000" w:themeColor="text1"/>
              </w:rPr>
              <w:t>hemorrhage</w:t>
            </w:r>
            <w:proofErr w:type="spellEnd"/>
          </w:p>
        </w:tc>
        <w:tc>
          <w:tcPr>
            <w:tcW w:w="2830" w:type="dxa"/>
            <w:noWrap/>
            <w:hideMark/>
          </w:tcPr>
          <w:p w14:paraId="29D14755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0.122 (0.0187, 0.268)</w:t>
            </w:r>
          </w:p>
        </w:tc>
        <w:tc>
          <w:tcPr>
            <w:tcW w:w="1706" w:type="dxa"/>
            <w:noWrap/>
            <w:hideMark/>
          </w:tcPr>
          <w:p w14:paraId="5CAA504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04D8A74D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3F1BDD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diabetes mellitus type 2</w:t>
            </w:r>
          </w:p>
        </w:tc>
        <w:tc>
          <w:tcPr>
            <w:tcW w:w="2830" w:type="dxa"/>
            <w:noWrap/>
            <w:hideMark/>
          </w:tcPr>
          <w:p w14:paraId="6C0BE4F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0.0958 (0.0130, 0.225)</w:t>
            </w:r>
          </w:p>
        </w:tc>
        <w:tc>
          <w:tcPr>
            <w:tcW w:w="1706" w:type="dxa"/>
            <w:noWrap/>
            <w:hideMark/>
          </w:tcPr>
          <w:p w14:paraId="1F5B18F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7671DF7C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696EEF9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Stomach cancer</w:t>
            </w:r>
          </w:p>
        </w:tc>
        <w:tc>
          <w:tcPr>
            <w:tcW w:w="2830" w:type="dxa"/>
            <w:noWrap/>
            <w:hideMark/>
          </w:tcPr>
          <w:p w14:paraId="675A6A3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0.0857 (0.00214, 0.324)</w:t>
            </w:r>
          </w:p>
        </w:tc>
        <w:tc>
          <w:tcPr>
            <w:tcW w:w="1706" w:type="dxa"/>
            <w:noWrap/>
            <w:hideMark/>
          </w:tcPr>
          <w:p w14:paraId="12A8F2A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796D53ED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9978AB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Endocarditis</w:t>
            </w:r>
          </w:p>
        </w:tc>
        <w:tc>
          <w:tcPr>
            <w:tcW w:w="2830" w:type="dxa"/>
            <w:noWrap/>
            <w:hideMark/>
          </w:tcPr>
          <w:p w14:paraId="15B0587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0.0679 (0.0104, 0.151)</w:t>
            </w:r>
          </w:p>
        </w:tc>
        <w:tc>
          <w:tcPr>
            <w:tcW w:w="1706" w:type="dxa"/>
            <w:noWrap/>
            <w:hideMark/>
          </w:tcPr>
          <w:p w14:paraId="293F38A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2F7287C1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239B59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Non-rheumatic valvular heart disease</w:t>
            </w:r>
          </w:p>
        </w:tc>
        <w:tc>
          <w:tcPr>
            <w:tcW w:w="2830" w:type="dxa"/>
            <w:noWrap/>
            <w:hideMark/>
          </w:tcPr>
          <w:p w14:paraId="2AF748EE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0.0420 (0.00634, 0.0971)</w:t>
            </w:r>
          </w:p>
        </w:tc>
        <w:tc>
          <w:tcPr>
            <w:tcW w:w="1706" w:type="dxa"/>
            <w:noWrap/>
            <w:hideMark/>
          </w:tcPr>
          <w:p w14:paraId="6BB5906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7A6A6B7F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57CECF2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glomerulonephritis</w:t>
            </w:r>
          </w:p>
        </w:tc>
        <w:tc>
          <w:tcPr>
            <w:tcW w:w="2830" w:type="dxa"/>
            <w:noWrap/>
            <w:hideMark/>
          </w:tcPr>
          <w:p w14:paraId="33EDF56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0.0907 (0.0133, 0.207)</w:t>
            </w:r>
          </w:p>
        </w:tc>
        <w:tc>
          <w:tcPr>
            <w:tcW w:w="1706" w:type="dxa"/>
            <w:noWrap/>
            <w:hideMark/>
          </w:tcPr>
          <w:p w14:paraId="4AECD31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5330D128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5FAAE10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other and unspecified causes</w:t>
            </w:r>
          </w:p>
        </w:tc>
        <w:tc>
          <w:tcPr>
            <w:tcW w:w="2830" w:type="dxa"/>
            <w:noWrap/>
            <w:hideMark/>
          </w:tcPr>
          <w:p w14:paraId="3988513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0.0912 (0.0122, 0.213)</w:t>
            </w:r>
          </w:p>
        </w:tc>
        <w:tc>
          <w:tcPr>
            <w:tcW w:w="1706" w:type="dxa"/>
            <w:noWrap/>
            <w:hideMark/>
          </w:tcPr>
          <w:p w14:paraId="3DA08C3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64C90328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12D4D2EF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Peripheral artery disease</w:t>
            </w:r>
          </w:p>
        </w:tc>
        <w:tc>
          <w:tcPr>
            <w:tcW w:w="2830" w:type="dxa"/>
            <w:noWrap/>
            <w:hideMark/>
          </w:tcPr>
          <w:p w14:paraId="09ACE7C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0.0439 (0.00625, 0.105)</w:t>
            </w:r>
          </w:p>
        </w:tc>
        <w:tc>
          <w:tcPr>
            <w:tcW w:w="1706" w:type="dxa"/>
            <w:noWrap/>
            <w:hideMark/>
          </w:tcPr>
          <w:p w14:paraId="494485A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06E1F249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E8AF00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hypertension</w:t>
            </w:r>
          </w:p>
        </w:tc>
        <w:tc>
          <w:tcPr>
            <w:tcW w:w="2830" w:type="dxa"/>
            <w:noWrap/>
            <w:hideMark/>
          </w:tcPr>
          <w:p w14:paraId="0327C006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0.0954 (0.0133, 0.220)</w:t>
            </w:r>
          </w:p>
        </w:tc>
        <w:tc>
          <w:tcPr>
            <w:tcW w:w="1706" w:type="dxa"/>
            <w:noWrap/>
            <w:hideMark/>
          </w:tcPr>
          <w:p w14:paraId="26FE5A7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Beta</w:t>
            </w:r>
          </w:p>
        </w:tc>
      </w:tr>
      <w:tr w:rsidR="00353E73" w:rsidRPr="00353E73" w14:paraId="3C622669" w14:textId="77777777" w:rsidTr="00996AD7">
        <w:trPr>
          <w:trHeight w:val="320"/>
        </w:trPr>
        <w:tc>
          <w:tcPr>
            <w:tcW w:w="9639" w:type="dxa"/>
            <w:gridSpan w:val="3"/>
            <w:noWrap/>
            <w:hideMark/>
          </w:tcPr>
          <w:p w14:paraId="25189D95" w14:textId="3293EFE7" w:rsidR="002979F1" w:rsidRPr="00353E73" w:rsidRDefault="00B77727" w:rsidP="002979F1">
            <w:pPr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</w:rPr>
              <w:t>Inpatient</w:t>
            </w:r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="006222CE" w:rsidRPr="00353E73">
              <w:rPr>
                <w:rFonts w:ascii="Calibri" w:hAnsi="Calibri" w:cs="Calibri"/>
                <w:b/>
                <w:bCs/>
                <w:color w:val="000000" w:themeColor="text1"/>
              </w:rPr>
              <w:t>bill</w:t>
            </w:r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from Ministry of Health Singapore (</w:t>
            </w:r>
            <w:proofErr w:type="spellStart"/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>Mediclaims</w:t>
            </w:r>
            <w:proofErr w:type="spellEnd"/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data)</w:t>
            </w:r>
            <w:r w:rsidR="00E00626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in US$</w:t>
            </w:r>
            <w:r w:rsidR="00766A56" w:rsidRPr="00353E73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*</w:t>
            </w:r>
          </w:p>
        </w:tc>
      </w:tr>
      <w:tr w:rsidR="00353E73" w:rsidRPr="00353E73" w14:paraId="52C70A9E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1C685659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Stomach cancer</w:t>
            </w:r>
          </w:p>
        </w:tc>
        <w:tc>
          <w:tcPr>
            <w:tcW w:w="2830" w:type="dxa"/>
            <w:noWrap/>
            <w:vAlign w:val="bottom"/>
            <w:hideMark/>
          </w:tcPr>
          <w:p w14:paraId="69C563C1" w14:textId="4E88367B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13000 (SD=28400)</w:t>
            </w:r>
          </w:p>
        </w:tc>
        <w:tc>
          <w:tcPr>
            <w:tcW w:w="1706" w:type="dxa"/>
            <w:noWrap/>
            <w:hideMark/>
          </w:tcPr>
          <w:p w14:paraId="5490D1A2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62363512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38EF3647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Rheumatic heart disease</w:t>
            </w:r>
          </w:p>
        </w:tc>
        <w:tc>
          <w:tcPr>
            <w:tcW w:w="2830" w:type="dxa"/>
            <w:noWrap/>
            <w:vAlign w:val="bottom"/>
            <w:hideMark/>
          </w:tcPr>
          <w:p w14:paraId="4C020454" w14:textId="3367E4FF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23300 (SD=30000)</w:t>
            </w:r>
          </w:p>
        </w:tc>
        <w:tc>
          <w:tcPr>
            <w:tcW w:w="1706" w:type="dxa"/>
            <w:noWrap/>
            <w:hideMark/>
          </w:tcPr>
          <w:p w14:paraId="046CEFBF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3B6FEB1B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549EE6B4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Ischemic heart disease</w:t>
            </w:r>
          </w:p>
        </w:tc>
        <w:tc>
          <w:tcPr>
            <w:tcW w:w="2830" w:type="dxa"/>
            <w:noWrap/>
            <w:vAlign w:val="bottom"/>
            <w:hideMark/>
          </w:tcPr>
          <w:p w14:paraId="6F056832" w14:textId="3A14EEF9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13500 (SD=15800)</w:t>
            </w:r>
          </w:p>
        </w:tc>
        <w:tc>
          <w:tcPr>
            <w:tcW w:w="1706" w:type="dxa"/>
            <w:noWrap/>
            <w:hideMark/>
          </w:tcPr>
          <w:p w14:paraId="3D7B3A14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272B1CBE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4F9B3C7B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 xml:space="preserve">Intracerebral </w:t>
            </w:r>
            <w:proofErr w:type="spellStart"/>
            <w:r w:rsidRPr="00353E73">
              <w:rPr>
                <w:rFonts w:ascii="Calibri" w:hAnsi="Calibri" w:cs="Calibri"/>
                <w:color w:val="000000" w:themeColor="text1"/>
              </w:rPr>
              <w:t>hemorrhage</w:t>
            </w:r>
            <w:proofErr w:type="spellEnd"/>
          </w:p>
        </w:tc>
        <w:tc>
          <w:tcPr>
            <w:tcW w:w="2830" w:type="dxa"/>
            <w:noWrap/>
            <w:vAlign w:val="bottom"/>
            <w:hideMark/>
          </w:tcPr>
          <w:p w14:paraId="116C1414" w14:textId="0B231E48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15700 (SD=20400)</w:t>
            </w:r>
          </w:p>
        </w:tc>
        <w:tc>
          <w:tcPr>
            <w:tcW w:w="1706" w:type="dxa"/>
            <w:noWrap/>
            <w:hideMark/>
          </w:tcPr>
          <w:p w14:paraId="7A4AEB20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427BB89C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3BFA7114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 xml:space="preserve">Subarachnoid </w:t>
            </w:r>
            <w:proofErr w:type="spellStart"/>
            <w:r w:rsidRPr="00353E73">
              <w:rPr>
                <w:rFonts w:ascii="Calibri" w:hAnsi="Calibri" w:cs="Calibri"/>
                <w:color w:val="000000" w:themeColor="text1"/>
              </w:rPr>
              <w:t>hemorrhage</w:t>
            </w:r>
            <w:proofErr w:type="spellEnd"/>
          </w:p>
        </w:tc>
        <w:tc>
          <w:tcPr>
            <w:tcW w:w="2830" w:type="dxa"/>
            <w:noWrap/>
            <w:vAlign w:val="bottom"/>
            <w:hideMark/>
          </w:tcPr>
          <w:p w14:paraId="11D0CDC2" w14:textId="7D306CCE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23700 (SD=31400)</w:t>
            </w:r>
          </w:p>
        </w:tc>
        <w:tc>
          <w:tcPr>
            <w:tcW w:w="1706" w:type="dxa"/>
            <w:noWrap/>
            <w:hideMark/>
          </w:tcPr>
          <w:p w14:paraId="12723584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72DE7EAE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1F66003B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Ischemic stroke</w:t>
            </w:r>
          </w:p>
        </w:tc>
        <w:tc>
          <w:tcPr>
            <w:tcW w:w="2830" w:type="dxa"/>
            <w:noWrap/>
            <w:vAlign w:val="bottom"/>
            <w:hideMark/>
          </w:tcPr>
          <w:p w14:paraId="27239CD2" w14:textId="1A4F522D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8010 (SD=10700)</w:t>
            </w:r>
          </w:p>
        </w:tc>
        <w:tc>
          <w:tcPr>
            <w:tcW w:w="1706" w:type="dxa"/>
            <w:noWrap/>
            <w:hideMark/>
          </w:tcPr>
          <w:p w14:paraId="1C43DF69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0CDBB7CF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5CAEDA9C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Hypertensive heart disease</w:t>
            </w:r>
          </w:p>
        </w:tc>
        <w:tc>
          <w:tcPr>
            <w:tcW w:w="2830" w:type="dxa"/>
            <w:noWrap/>
            <w:vAlign w:val="bottom"/>
            <w:hideMark/>
          </w:tcPr>
          <w:p w14:paraId="3B058730" w14:textId="3A387ACC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5630 (SD=6840)</w:t>
            </w:r>
          </w:p>
        </w:tc>
        <w:tc>
          <w:tcPr>
            <w:tcW w:w="1706" w:type="dxa"/>
            <w:noWrap/>
            <w:hideMark/>
          </w:tcPr>
          <w:p w14:paraId="5E200138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446F4806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64273A57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Non-rheumatic valvular heart disease</w:t>
            </w:r>
          </w:p>
        </w:tc>
        <w:tc>
          <w:tcPr>
            <w:tcW w:w="2830" w:type="dxa"/>
            <w:noWrap/>
            <w:vAlign w:val="bottom"/>
            <w:hideMark/>
          </w:tcPr>
          <w:p w14:paraId="4FF61A02" w14:textId="5B9615B0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23800 (SD=31300)</w:t>
            </w:r>
          </w:p>
        </w:tc>
        <w:tc>
          <w:tcPr>
            <w:tcW w:w="1706" w:type="dxa"/>
            <w:noWrap/>
            <w:hideMark/>
          </w:tcPr>
          <w:p w14:paraId="2F50A8FA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4E0FCBA0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7C2AF9C6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Cardiomyopathy and myocarditis</w:t>
            </w:r>
          </w:p>
        </w:tc>
        <w:tc>
          <w:tcPr>
            <w:tcW w:w="2830" w:type="dxa"/>
            <w:noWrap/>
            <w:vAlign w:val="bottom"/>
            <w:hideMark/>
          </w:tcPr>
          <w:p w14:paraId="17BD1AD7" w14:textId="2E03C146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12800 (SD=18800)</w:t>
            </w:r>
          </w:p>
        </w:tc>
        <w:tc>
          <w:tcPr>
            <w:tcW w:w="1706" w:type="dxa"/>
            <w:noWrap/>
            <w:hideMark/>
          </w:tcPr>
          <w:p w14:paraId="4CBB71F6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5C781A7F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4F038A1F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Atrial fibrillation and flutter</w:t>
            </w:r>
          </w:p>
        </w:tc>
        <w:tc>
          <w:tcPr>
            <w:tcW w:w="2830" w:type="dxa"/>
            <w:noWrap/>
            <w:vAlign w:val="bottom"/>
            <w:hideMark/>
          </w:tcPr>
          <w:p w14:paraId="55D6AEA9" w14:textId="4DC619EE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6820 (SD=9610)</w:t>
            </w:r>
          </w:p>
        </w:tc>
        <w:tc>
          <w:tcPr>
            <w:tcW w:w="1706" w:type="dxa"/>
            <w:noWrap/>
            <w:hideMark/>
          </w:tcPr>
          <w:p w14:paraId="27F77CB6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60DBBFBD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069D65D0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Peripheral artery disease</w:t>
            </w:r>
          </w:p>
        </w:tc>
        <w:tc>
          <w:tcPr>
            <w:tcW w:w="2830" w:type="dxa"/>
            <w:noWrap/>
            <w:vAlign w:val="bottom"/>
            <w:hideMark/>
          </w:tcPr>
          <w:p w14:paraId="5F5790B6" w14:textId="26FE7444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17700 (SD=24000)</w:t>
            </w:r>
          </w:p>
        </w:tc>
        <w:tc>
          <w:tcPr>
            <w:tcW w:w="1706" w:type="dxa"/>
            <w:noWrap/>
            <w:hideMark/>
          </w:tcPr>
          <w:p w14:paraId="3D578024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4154FA9D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6957AD9E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Endocarditis</w:t>
            </w:r>
          </w:p>
        </w:tc>
        <w:tc>
          <w:tcPr>
            <w:tcW w:w="2830" w:type="dxa"/>
            <w:noWrap/>
            <w:vAlign w:val="bottom"/>
            <w:hideMark/>
          </w:tcPr>
          <w:p w14:paraId="63AC7F2E" w14:textId="63639C6D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32500 (SD=46300)</w:t>
            </w:r>
          </w:p>
        </w:tc>
        <w:tc>
          <w:tcPr>
            <w:tcW w:w="1706" w:type="dxa"/>
            <w:noWrap/>
            <w:hideMark/>
          </w:tcPr>
          <w:p w14:paraId="6B98006B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28A35E24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741F28AE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diabetes mellitus type 1</w:t>
            </w:r>
          </w:p>
        </w:tc>
        <w:tc>
          <w:tcPr>
            <w:tcW w:w="2830" w:type="dxa"/>
            <w:noWrap/>
            <w:vAlign w:val="bottom"/>
            <w:hideMark/>
          </w:tcPr>
          <w:p w14:paraId="6A689EA2" w14:textId="423E1BE9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5260 (SD=4370)</w:t>
            </w:r>
          </w:p>
        </w:tc>
        <w:tc>
          <w:tcPr>
            <w:tcW w:w="1706" w:type="dxa"/>
            <w:noWrap/>
            <w:hideMark/>
          </w:tcPr>
          <w:p w14:paraId="4A9A9DC5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01AB220E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1E5F612C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diabetes mellitus type 2</w:t>
            </w:r>
          </w:p>
        </w:tc>
        <w:tc>
          <w:tcPr>
            <w:tcW w:w="2830" w:type="dxa"/>
            <w:noWrap/>
            <w:vAlign w:val="bottom"/>
            <w:hideMark/>
          </w:tcPr>
          <w:p w14:paraId="4C1FA382" w14:textId="133B599F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6530 (SD=8600)</w:t>
            </w:r>
          </w:p>
        </w:tc>
        <w:tc>
          <w:tcPr>
            <w:tcW w:w="1706" w:type="dxa"/>
            <w:noWrap/>
            <w:hideMark/>
          </w:tcPr>
          <w:p w14:paraId="74D099D9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41634C3B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1D462F41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</w:t>
            </w:r>
          </w:p>
        </w:tc>
        <w:tc>
          <w:tcPr>
            <w:tcW w:w="2830" w:type="dxa"/>
            <w:noWrap/>
            <w:vAlign w:val="bottom"/>
            <w:hideMark/>
          </w:tcPr>
          <w:p w14:paraId="288FA4FD" w14:textId="33F52A5E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7800 (SD=21800)</w:t>
            </w:r>
          </w:p>
        </w:tc>
        <w:tc>
          <w:tcPr>
            <w:tcW w:w="1706" w:type="dxa"/>
            <w:noWrap/>
            <w:hideMark/>
          </w:tcPr>
          <w:p w14:paraId="29B93642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14545E94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19704D80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hypertension</w:t>
            </w:r>
          </w:p>
        </w:tc>
        <w:tc>
          <w:tcPr>
            <w:tcW w:w="2830" w:type="dxa"/>
            <w:noWrap/>
            <w:vAlign w:val="bottom"/>
            <w:hideMark/>
          </w:tcPr>
          <w:p w14:paraId="0459E7B8" w14:textId="15688369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6950 (SD=10300)</w:t>
            </w:r>
          </w:p>
        </w:tc>
        <w:tc>
          <w:tcPr>
            <w:tcW w:w="1706" w:type="dxa"/>
            <w:noWrap/>
            <w:hideMark/>
          </w:tcPr>
          <w:p w14:paraId="081B2483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522E24EB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03BD14F5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lastRenderedPageBreak/>
              <w:t>Chronic kidney disease due to other and unspecified causes</w:t>
            </w:r>
          </w:p>
        </w:tc>
        <w:tc>
          <w:tcPr>
            <w:tcW w:w="2830" w:type="dxa"/>
            <w:noWrap/>
            <w:vAlign w:val="bottom"/>
            <w:hideMark/>
          </w:tcPr>
          <w:p w14:paraId="07D9AF88" w14:textId="65B265A6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4000 (SD=6200)</w:t>
            </w:r>
          </w:p>
        </w:tc>
        <w:tc>
          <w:tcPr>
            <w:tcW w:w="1706" w:type="dxa"/>
            <w:noWrap/>
            <w:hideMark/>
          </w:tcPr>
          <w:p w14:paraId="452FB48B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32E2846C" w14:textId="77777777" w:rsidTr="00FC3F1F">
        <w:trPr>
          <w:trHeight w:val="320"/>
        </w:trPr>
        <w:tc>
          <w:tcPr>
            <w:tcW w:w="5103" w:type="dxa"/>
            <w:noWrap/>
            <w:hideMark/>
          </w:tcPr>
          <w:p w14:paraId="4F4B1ED7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glomerulonephritis</w:t>
            </w:r>
          </w:p>
        </w:tc>
        <w:tc>
          <w:tcPr>
            <w:tcW w:w="2830" w:type="dxa"/>
            <w:noWrap/>
            <w:vAlign w:val="bottom"/>
            <w:hideMark/>
          </w:tcPr>
          <w:p w14:paraId="0FEB0549" w14:textId="7F8B7C7B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4950 (SD=5170)</w:t>
            </w:r>
          </w:p>
        </w:tc>
        <w:tc>
          <w:tcPr>
            <w:tcW w:w="1706" w:type="dxa"/>
            <w:noWrap/>
            <w:hideMark/>
          </w:tcPr>
          <w:p w14:paraId="46367991" w14:textId="77777777" w:rsidR="00E00626" w:rsidRPr="00353E73" w:rsidRDefault="00E00626" w:rsidP="00E00626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6C00D8F2" w14:textId="77777777" w:rsidTr="00996AD7">
        <w:trPr>
          <w:trHeight w:val="320"/>
        </w:trPr>
        <w:tc>
          <w:tcPr>
            <w:tcW w:w="9639" w:type="dxa"/>
            <w:gridSpan w:val="3"/>
            <w:noWrap/>
            <w:hideMark/>
          </w:tcPr>
          <w:p w14:paraId="36FEE76C" w14:textId="71C046C9" w:rsidR="002979F1" w:rsidRPr="00353E73" w:rsidRDefault="00342798" w:rsidP="002979F1">
            <w:pPr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</w:rPr>
              <w:t>Average l</w:t>
            </w:r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>ength of stay</w:t>
            </w:r>
            <w:r w:rsidR="00687372" w:rsidRPr="00353E73">
              <w:rPr>
                <w:rFonts w:ascii="Calibri" w:hAnsi="Calibri" w:cs="Calibri"/>
                <w:b/>
                <w:bCs/>
                <w:color w:val="000000" w:themeColor="text1"/>
              </w:rPr>
              <w:t>s</w:t>
            </w:r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in hospital</w:t>
            </w:r>
            <w:r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for each disease</w:t>
            </w:r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from </w:t>
            </w:r>
            <w:proofErr w:type="spellStart"/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>Mediclaims</w:t>
            </w:r>
            <w:proofErr w:type="spellEnd"/>
            <w:r w:rsidR="002979F1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data</w:t>
            </w:r>
            <w:r w:rsidR="00766A56" w:rsidRPr="00353E73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*</w:t>
            </w:r>
          </w:p>
        </w:tc>
      </w:tr>
      <w:tr w:rsidR="00353E73" w:rsidRPr="00353E73" w14:paraId="23C18B81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78FBD6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Stomach cancer</w:t>
            </w:r>
          </w:p>
        </w:tc>
        <w:tc>
          <w:tcPr>
            <w:tcW w:w="2830" w:type="dxa"/>
            <w:noWrap/>
            <w:hideMark/>
          </w:tcPr>
          <w:p w14:paraId="60617A5F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6.95 (SD=11.2)</w:t>
            </w:r>
          </w:p>
        </w:tc>
        <w:tc>
          <w:tcPr>
            <w:tcW w:w="1706" w:type="dxa"/>
            <w:noWrap/>
            <w:hideMark/>
          </w:tcPr>
          <w:p w14:paraId="16A06EA6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25389C78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5311AC5A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Rheumatic heart disease</w:t>
            </w:r>
          </w:p>
        </w:tc>
        <w:tc>
          <w:tcPr>
            <w:tcW w:w="2830" w:type="dxa"/>
            <w:noWrap/>
            <w:hideMark/>
          </w:tcPr>
          <w:p w14:paraId="680DE66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7.68 (SD=7.48)</w:t>
            </w:r>
          </w:p>
        </w:tc>
        <w:tc>
          <w:tcPr>
            <w:tcW w:w="1706" w:type="dxa"/>
            <w:noWrap/>
            <w:hideMark/>
          </w:tcPr>
          <w:p w14:paraId="784C612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0C7C710A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7D7662A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Ischemic heart disease</w:t>
            </w:r>
          </w:p>
        </w:tc>
        <w:tc>
          <w:tcPr>
            <w:tcW w:w="2830" w:type="dxa"/>
            <w:noWrap/>
            <w:hideMark/>
          </w:tcPr>
          <w:p w14:paraId="6D77001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3.96 (SD=6.52)</w:t>
            </w:r>
          </w:p>
        </w:tc>
        <w:tc>
          <w:tcPr>
            <w:tcW w:w="1706" w:type="dxa"/>
            <w:noWrap/>
            <w:hideMark/>
          </w:tcPr>
          <w:p w14:paraId="094A8FD4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4A6603DF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1D0948E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 xml:space="preserve">Intracerebral </w:t>
            </w:r>
            <w:proofErr w:type="spellStart"/>
            <w:r w:rsidRPr="00353E73">
              <w:rPr>
                <w:rFonts w:ascii="Calibri" w:hAnsi="Calibri" w:cs="Calibri"/>
                <w:color w:val="000000" w:themeColor="text1"/>
              </w:rPr>
              <w:t>hemorrhage</w:t>
            </w:r>
            <w:proofErr w:type="spellEnd"/>
          </w:p>
        </w:tc>
        <w:tc>
          <w:tcPr>
            <w:tcW w:w="2830" w:type="dxa"/>
            <w:noWrap/>
            <w:hideMark/>
          </w:tcPr>
          <w:p w14:paraId="083D94B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18.5 (SD=23.1)</w:t>
            </w:r>
          </w:p>
        </w:tc>
        <w:tc>
          <w:tcPr>
            <w:tcW w:w="1706" w:type="dxa"/>
            <w:noWrap/>
            <w:hideMark/>
          </w:tcPr>
          <w:p w14:paraId="3D7EF41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6EA51BB4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46AF57B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 xml:space="preserve">Subarachnoid </w:t>
            </w:r>
            <w:proofErr w:type="spellStart"/>
            <w:r w:rsidRPr="00353E73">
              <w:rPr>
                <w:rFonts w:ascii="Calibri" w:hAnsi="Calibri" w:cs="Calibri"/>
                <w:color w:val="000000" w:themeColor="text1"/>
              </w:rPr>
              <w:t>hemorrhage</w:t>
            </w:r>
            <w:proofErr w:type="spellEnd"/>
          </w:p>
        </w:tc>
        <w:tc>
          <w:tcPr>
            <w:tcW w:w="2830" w:type="dxa"/>
            <w:noWrap/>
            <w:hideMark/>
          </w:tcPr>
          <w:p w14:paraId="4FC572F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14.1 (SD=20.9)</w:t>
            </w:r>
          </w:p>
        </w:tc>
        <w:tc>
          <w:tcPr>
            <w:tcW w:w="1706" w:type="dxa"/>
            <w:noWrap/>
            <w:hideMark/>
          </w:tcPr>
          <w:p w14:paraId="64D8DD0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7A4CD584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4F24BC6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Ischemic stroke</w:t>
            </w:r>
          </w:p>
        </w:tc>
        <w:tc>
          <w:tcPr>
            <w:tcW w:w="2830" w:type="dxa"/>
            <w:noWrap/>
            <w:hideMark/>
          </w:tcPr>
          <w:p w14:paraId="4F5BB5F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9.37 (SD=12.4)</w:t>
            </w:r>
          </w:p>
        </w:tc>
        <w:tc>
          <w:tcPr>
            <w:tcW w:w="1706" w:type="dxa"/>
            <w:noWrap/>
            <w:hideMark/>
          </w:tcPr>
          <w:p w14:paraId="0C60D80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0AE34F5C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0A819A5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Hypertensive heart disease</w:t>
            </w:r>
          </w:p>
        </w:tc>
        <w:tc>
          <w:tcPr>
            <w:tcW w:w="2830" w:type="dxa"/>
            <w:noWrap/>
            <w:hideMark/>
          </w:tcPr>
          <w:p w14:paraId="7BECAFF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4.47 (SD=3.89)</w:t>
            </w:r>
          </w:p>
        </w:tc>
        <w:tc>
          <w:tcPr>
            <w:tcW w:w="1706" w:type="dxa"/>
            <w:noWrap/>
            <w:hideMark/>
          </w:tcPr>
          <w:p w14:paraId="4227C5F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15C92CE2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4D6824B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Non-rheumatic valvular heart disease</w:t>
            </w:r>
          </w:p>
        </w:tc>
        <w:tc>
          <w:tcPr>
            <w:tcW w:w="2830" w:type="dxa"/>
            <w:noWrap/>
            <w:hideMark/>
          </w:tcPr>
          <w:p w14:paraId="2F560F7F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6.80 (SD=8.40)</w:t>
            </w:r>
          </w:p>
        </w:tc>
        <w:tc>
          <w:tcPr>
            <w:tcW w:w="1706" w:type="dxa"/>
            <w:noWrap/>
            <w:hideMark/>
          </w:tcPr>
          <w:p w14:paraId="139D54C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73246FBA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61CB997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Cardiomyopathy and myocarditis</w:t>
            </w:r>
          </w:p>
        </w:tc>
        <w:tc>
          <w:tcPr>
            <w:tcW w:w="2830" w:type="dxa"/>
            <w:noWrap/>
            <w:hideMark/>
          </w:tcPr>
          <w:p w14:paraId="5ACC43E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5.29 (SD=6.95)</w:t>
            </w:r>
          </w:p>
        </w:tc>
        <w:tc>
          <w:tcPr>
            <w:tcW w:w="1706" w:type="dxa"/>
            <w:noWrap/>
            <w:hideMark/>
          </w:tcPr>
          <w:p w14:paraId="6954BEB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299CB11A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57DF343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Atrial fibrillation and flutter</w:t>
            </w:r>
          </w:p>
        </w:tc>
        <w:tc>
          <w:tcPr>
            <w:tcW w:w="2830" w:type="dxa"/>
            <w:noWrap/>
            <w:hideMark/>
          </w:tcPr>
          <w:p w14:paraId="28E2454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3.43 (SD=5.01)</w:t>
            </w:r>
          </w:p>
        </w:tc>
        <w:tc>
          <w:tcPr>
            <w:tcW w:w="1706" w:type="dxa"/>
            <w:noWrap/>
            <w:hideMark/>
          </w:tcPr>
          <w:p w14:paraId="0B89340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1140A75F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B4308C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Peripheral artery disease</w:t>
            </w:r>
          </w:p>
        </w:tc>
        <w:tc>
          <w:tcPr>
            <w:tcW w:w="2830" w:type="dxa"/>
            <w:noWrap/>
            <w:hideMark/>
          </w:tcPr>
          <w:p w14:paraId="55B40445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8.79 (SD=14.8)</w:t>
            </w:r>
          </w:p>
        </w:tc>
        <w:tc>
          <w:tcPr>
            <w:tcW w:w="1706" w:type="dxa"/>
            <w:noWrap/>
            <w:hideMark/>
          </w:tcPr>
          <w:p w14:paraId="7614A66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03DE9A11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86194F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Endocarditis</w:t>
            </w:r>
          </w:p>
        </w:tc>
        <w:tc>
          <w:tcPr>
            <w:tcW w:w="2830" w:type="dxa"/>
            <w:noWrap/>
            <w:hideMark/>
          </w:tcPr>
          <w:p w14:paraId="529DB7E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23.5 (SD=20.2)</w:t>
            </w:r>
          </w:p>
        </w:tc>
        <w:tc>
          <w:tcPr>
            <w:tcW w:w="1706" w:type="dxa"/>
            <w:noWrap/>
            <w:hideMark/>
          </w:tcPr>
          <w:p w14:paraId="07A5EF6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782C7332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DC9288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diabetes mellitus type 1</w:t>
            </w:r>
          </w:p>
        </w:tc>
        <w:tc>
          <w:tcPr>
            <w:tcW w:w="2830" w:type="dxa"/>
            <w:noWrap/>
            <w:hideMark/>
          </w:tcPr>
          <w:p w14:paraId="7923F51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5.37 (SD=6.57)</w:t>
            </w:r>
          </w:p>
        </w:tc>
        <w:tc>
          <w:tcPr>
            <w:tcW w:w="1706" w:type="dxa"/>
            <w:noWrap/>
            <w:hideMark/>
          </w:tcPr>
          <w:p w14:paraId="737F5D55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56FEF219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5C4C45F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diabetes mellitus type 2</w:t>
            </w:r>
          </w:p>
        </w:tc>
        <w:tc>
          <w:tcPr>
            <w:tcW w:w="2830" w:type="dxa"/>
            <w:noWrap/>
            <w:hideMark/>
          </w:tcPr>
          <w:p w14:paraId="7524F7D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7.74 (SD=10.5)</w:t>
            </w:r>
          </w:p>
        </w:tc>
        <w:tc>
          <w:tcPr>
            <w:tcW w:w="1706" w:type="dxa"/>
            <w:noWrap/>
            <w:hideMark/>
          </w:tcPr>
          <w:p w14:paraId="264598A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136DB666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D9A8D5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</w:t>
            </w:r>
          </w:p>
        </w:tc>
        <w:tc>
          <w:tcPr>
            <w:tcW w:w="2830" w:type="dxa"/>
            <w:noWrap/>
            <w:hideMark/>
          </w:tcPr>
          <w:p w14:paraId="7D2CF76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5.80 (SD=9.84)</w:t>
            </w:r>
          </w:p>
        </w:tc>
        <w:tc>
          <w:tcPr>
            <w:tcW w:w="1706" w:type="dxa"/>
            <w:noWrap/>
            <w:hideMark/>
          </w:tcPr>
          <w:p w14:paraId="411D12F9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298982F3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2FB15A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hypertension</w:t>
            </w:r>
          </w:p>
        </w:tc>
        <w:tc>
          <w:tcPr>
            <w:tcW w:w="2830" w:type="dxa"/>
            <w:noWrap/>
            <w:hideMark/>
          </w:tcPr>
          <w:p w14:paraId="257ACD7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7.46 (SD=10.2)</w:t>
            </w:r>
          </w:p>
        </w:tc>
        <w:tc>
          <w:tcPr>
            <w:tcW w:w="1706" w:type="dxa"/>
            <w:noWrap/>
            <w:hideMark/>
          </w:tcPr>
          <w:p w14:paraId="7329E6D6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0B24AD78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1B716AA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other and unspecified causes</w:t>
            </w:r>
          </w:p>
        </w:tc>
        <w:tc>
          <w:tcPr>
            <w:tcW w:w="2830" w:type="dxa"/>
            <w:noWrap/>
            <w:hideMark/>
          </w:tcPr>
          <w:p w14:paraId="6914B83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1.79 (SD=3.65)</w:t>
            </w:r>
          </w:p>
        </w:tc>
        <w:tc>
          <w:tcPr>
            <w:tcW w:w="1706" w:type="dxa"/>
            <w:noWrap/>
            <w:hideMark/>
          </w:tcPr>
          <w:p w14:paraId="5AEB2CD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413F27EF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191F9B4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Chronic kidney disease due to glomerulonephritis</w:t>
            </w:r>
          </w:p>
        </w:tc>
        <w:tc>
          <w:tcPr>
            <w:tcW w:w="2830" w:type="dxa"/>
            <w:noWrap/>
            <w:hideMark/>
          </w:tcPr>
          <w:p w14:paraId="6C93CB1A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4.10 (SD=4.90)</w:t>
            </w:r>
          </w:p>
        </w:tc>
        <w:tc>
          <w:tcPr>
            <w:tcW w:w="1706" w:type="dxa"/>
            <w:noWrap/>
            <w:hideMark/>
          </w:tcPr>
          <w:p w14:paraId="7CE3910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2A42577B" w14:textId="77777777" w:rsidTr="00996AD7">
        <w:trPr>
          <w:trHeight w:val="320"/>
        </w:trPr>
        <w:tc>
          <w:tcPr>
            <w:tcW w:w="9639" w:type="dxa"/>
            <w:gridSpan w:val="3"/>
            <w:noWrap/>
            <w:hideMark/>
          </w:tcPr>
          <w:p w14:paraId="2EEBE1CE" w14:textId="1DBF6040" w:rsidR="002979F1" w:rsidRPr="00353E73" w:rsidRDefault="002979F1" w:rsidP="002979F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</w:rPr>
              <w:t>Number of deaths</w:t>
            </w:r>
            <w:r w:rsidR="00342798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in 2019</w:t>
            </w:r>
            <w:r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from </w:t>
            </w:r>
            <w:r w:rsidR="00176A5F" w:rsidRPr="00353E73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Global Burden of Disease</w:t>
            </w:r>
          </w:p>
        </w:tc>
      </w:tr>
      <w:tr w:rsidR="00353E73" w:rsidRPr="00353E73" w14:paraId="32DBF23B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4E22D3A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20 to 24</w:t>
            </w:r>
          </w:p>
        </w:tc>
        <w:tc>
          <w:tcPr>
            <w:tcW w:w="2830" w:type="dxa"/>
            <w:noWrap/>
            <w:hideMark/>
          </w:tcPr>
          <w:p w14:paraId="291DF8C5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69.1 (67.5, 70.8)</w:t>
            </w:r>
          </w:p>
        </w:tc>
        <w:tc>
          <w:tcPr>
            <w:tcW w:w="1706" w:type="dxa"/>
            <w:noWrap/>
            <w:hideMark/>
          </w:tcPr>
          <w:p w14:paraId="7DDD6E43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1707FDB4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3AE89EDF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25 to 29</w:t>
            </w:r>
          </w:p>
        </w:tc>
        <w:tc>
          <w:tcPr>
            <w:tcW w:w="2830" w:type="dxa"/>
            <w:noWrap/>
            <w:hideMark/>
          </w:tcPr>
          <w:p w14:paraId="092397E6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123 (121, 126)</w:t>
            </w:r>
          </w:p>
        </w:tc>
        <w:tc>
          <w:tcPr>
            <w:tcW w:w="1706" w:type="dxa"/>
            <w:noWrap/>
            <w:hideMark/>
          </w:tcPr>
          <w:p w14:paraId="3586FF96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62DFF075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289C9E8F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30 to 34</w:t>
            </w:r>
          </w:p>
        </w:tc>
        <w:tc>
          <w:tcPr>
            <w:tcW w:w="2830" w:type="dxa"/>
            <w:noWrap/>
            <w:hideMark/>
          </w:tcPr>
          <w:p w14:paraId="1B7BA85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137 (134, 140)</w:t>
            </w:r>
          </w:p>
        </w:tc>
        <w:tc>
          <w:tcPr>
            <w:tcW w:w="1706" w:type="dxa"/>
            <w:noWrap/>
            <w:hideMark/>
          </w:tcPr>
          <w:p w14:paraId="71F5197E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012255C7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441891BE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35 to 39</w:t>
            </w:r>
          </w:p>
        </w:tc>
        <w:tc>
          <w:tcPr>
            <w:tcW w:w="2830" w:type="dxa"/>
            <w:noWrap/>
            <w:hideMark/>
          </w:tcPr>
          <w:p w14:paraId="7D9C0CA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244 (238, 250)</w:t>
            </w:r>
          </w:p>
        </w:tc>
        <w:tc>
          <w:tcPr>
            <w:tcW w:w="1706" w:type="dxa"/>
            <w:noWrap/>
            <w:hideMark/>
          </w:tcPr>
          <w:p w14:paraId="669F1CD7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78FA02CB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1D415576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40 to 44</w:t>
            </w:r>
          </w:p>
        </w:tc>
        <w:tc>
          <w:tcPr>
            <w:tcW w:w="2830" w:type="dxa"/>
            <w:noWrap/>
            <w:hideMark/>
          </w:tcPr>
          <w:p w14:paraId="6E78631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337 (328, 346)</w:t>
            </w:r>
          </w:p>
        </w:tc>
        <w:tc>
          <w:tcPr>
            <w:tcW w:w="1706" w:type="dxa"/>
            <w:noWrap/>
            <w:hideMark/>
          </w:tcPr>
          <w:p w14:paraId="1B7F2D4F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1000E74E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2A4A107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45 to 49</w:t>
            </w:r>
          </w:p>
        </w:tc>
        <w:tc>
          <w:tcPr>
            <w:tcW w:w="2830" w:type="dxa"/>
            <w:noWrap/>
            <w:hideMark/>
          </w:tcPr>
          <w:p w14:paraId="7665B21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521 (506, 537)</w:t>
            </w:r>
          </w:p>
        </w:tc>
        <w:tc>
          <w:tcPr>
            <w:tcW w:w="1706" w:type="dxa"/>
            <w:noWrap/>
            <w:hideMark/>
          </w:tcPr>
          <w:p w14:paraId="366D090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7EEA1925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0DB65BE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50 to 54</w:t>
            </w:r>
          </w:p>
        </w:tc>
        <w:tc>
          <w:tcPr>
            <w:tcW w:w="2830" w:type="dxa"/>
            <w:noWrap/>
            <w:hideMark/>
          </w:tcPr>
          <w:p w14:paraId="27F15C9B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840 (816, 865)</w:t>
            </w:r>
          </w:p>
        </w:tc>
        <w:tc>
          <w:tcPr>
            <w:tcW w:w="1706" w:type="dxa"/>
            <w:noWrap/>
            <w:hideMark/>
          </w:tcPr>
          <w:p w14:paraId="717A610D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3583A3FA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75D3902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55 to 59</w:t>
            </w:r>
          </w:p>
        </w:tc>
        <w:tc>
          <w:tcPr>
            <w:tcW w:w="2830" w:type="dxa"/>
            <w:noWrap/>
            <w:hideMark/>
          </w:tcPr>
          <w:p w14:paraId="504E4824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1310 (1270, 1350)</w:t>
            </w:r>
          </w:p>
        </w:tc>
        <w:tc>
          <w:tcPr>
            <w:tcW w:w="1706" w:type="dxa"/>
            <w:noWrap/>
            <w:hideMark/>
          </w:tcPr>
          <w:p w14:paraId="66325F6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5461ADEB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16367D5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60 to 64</w:t>
            </w:r>
          </w:p>
        </w:tc>
        <w:tc>
          <w:tcPr>
            <w:tcW w:w="2830" w:type="dxa"/>
            <w:noWrap/>
            <w:hideMark/>
          </w:tcPr>
          <w:p w14:paraId="437281EA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1820 (1770, 1870)</w:t>
            </w:r>
          </w:p>
        </w:tc>
        <w:tc>
          <w:tcPr>
            <w:tcW w:w="1706" w:type="dxa"/>
            <w:noWrap/>
            <w:hideMark/>
          </w:tcPr>
          <w:p w14:paraId="1AEEC0A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6F533DE1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4259F5C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65 to 69</w:t>
            </w:r>
          </w:p>
        </w:tc>
        <w:tc>
          <w:tcPr>
            <w:tcW w:w="2830" w:type="dxa"/>
            <w:noWrap/>
            <w:hideMark/>
          </w:tcPr>
          <w:p w14:paraId="1035976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2330 (2270, 2390)</w:t>
            </w:r>
          </w:p>
        </w:tc>
        <w:tc>
          <w:tcPr>
            <w:tcW w:w="1706" w:type="dxa"/>
            <w:noWrap/>
            <w:hideMark/>
          </w:tcPr>
          <w:p w14:paraId="72FD026E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67E41E4A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6779CDC2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70 to 74</w:t>
            </w:r>
          </w:p>
        </w:tc>
        <w:tc>
          <w:tcPr>
            <w:tcW w:w="2830" w:type="dxa"/>
            <w:noWrap/>
            <w:hideMark/>
          </w:tcPr>
          <w:p w14:paraId="46D77068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2710 (2650, 2780)</w:t>
            </w:r>
          </w:p>
        </w:tc>
        <w:tc>
          <w:tcPr>
            <w:tcW w:w="1706" w:type="dxa"/>
            <w:noWrap/>
            <w:hideMark/>
          </w:tcPr>
          <w:p w14:paraId="520012F5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7041D403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356ADC3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75 to 79</w:t>
            </w:r>
          </w:p>
        </w:tc>
        <w:tc>
          <w:tcPr>
            <w:tcW w:w="2830" w:type="dxa"/>
            <w:noWrap/>
            <w:hideMark/>
          </w:tcPr>
          <w:p w14:paraId="5F8E1F70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2960 (2900, 3030)</w:t>
            </w:r>
          </w:p>
        </w:tc>
        <w:tc>
          <w:tcPr>
            <w:tcW w:w="1706" w:type="dxa"/>
            <w:noWrap/>
            <w:hideMark/>
          </w:tcPr>
          <w:p w14:paraId="6A58EB25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18EF30F9" w14:textId="77777777" w:rsidTr="00687372">
        <w:trPr>
          <w:trHeight w:val="320"/>
        </w:trPr>
        <w:tc>
          <w:tcPr>
            <w:tcW w:w="5103" w:type="dxa"/>
            <w:noWrap/>
            <w:hideMark/>
          </w:tcPr>
          <w:p w14:paraId="286F74AC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80 plus</w:t>
            </w:r>
          </w:p>
        </w:tc>
        <w:tc>
          <w:tcPr>
            <w:tcW w:w="2830" w:type="dxa"/>
            <w:noWrap/>
            <w:hideMark/>
          </w:tcPr>
          <w:p w14:paraId="56DBAE71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9630 (9470, 9810)</w:t>
            </w:r>
          </w:p>
        </w:tc>
        <w:tc>
          <w:tcPr>
            <w:tcW w:w="1706" w:type="dxa"/>
            <w:noWrap/>
            <w:hideMark/>
          </w:tcPr>
          <w:p w14:paraId="44C01B96" w14:textId="77777777" w:rsidR="002979F1" w:rsidRPr="00353E73" w:rsidRDefault="002979F1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Log-normal</w:t>
            </w:r>
          </w:p>
        </w:tc>
      </w:tr>
      <w:tr w:rsidR="00353E73" w:rsidRPr="00353E73" w14:paraId="5D1C4C0D" w14:textId="77777777" w:rsidTr="00687372">
        <w:trPr>
          <w:trHeight w:val="320"/>
        </w:trPr>
        <w:tc>
          <w:tcPr>
            <w:tcW w:w="5103" w:type="dxa"/>
            <w:noWrap/>
          </w:tcPr>
          <w:p w14:paraId="76E4E0B6" w14:textId="0B0BE801" w:rsidR="007B0664" w:rsidRPr="00353E73" w:rsidRDefault="007B0664" w:rsidP="002979F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53E73">
              <w:rPr>
                <w:rFonts w:ascii="Calibri" w:hAnsi="Calibri" w:cs="Calibri"/>
                <w:b/>
                <w:bCs/>
                <w:color w:val="000000" w:themeColor="text1"/>
              </w:rPr>
              <w:t>Income growth rate</w:t>
            </w:r>
            <w:r w:rsidR="0056530A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(%)</w:t>
            </w:r>
            <w:r w:rsidR="00FE5B2D" w:rsidRPr="00353E7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from Ministry of Manpower Singapore</w:t>
            </w:r>
          </w:p>
        </w:tc>
        <w:tc>
          <w:tcPr>
            <w:tcW w:w="2830" w:type="dxa"/>
            <w:noWrap/>
          </w:tcPr>
          <w:p w14:paraId="458D8BA5" w14:textId="67B63330" w:rsidR="007B0664" w:rsidRPr="00353E73" w:rsidRDefault="0056530A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3.3 (2.65, 3.96)</w:t>
            </w:r>
          </w:p>
        </w:tc>
        <w:tc>
          <w:tcPr>
            <w:tcW w:w="1706" w:type="dxa"/>
            <w:noWrap/>
          </w:tcPr>
          <w:p w14:paraId="62331793" w14:textId="22A4FECB" w:rsidR="007B0664" w:rsidRPr="00353E73" w:rsidRDefault="0056530A" w:rsidP="002979F1">
            <w:pPr>
              <w:rPr>
                <w:rFonts w:ascii="Calibri" w:hAnsi="Calibri" w:cs="Calibri"/>
                <w:color w:val="000000" w:themeColor="text1"/>
              </w:rPr>
            </w:pPr>
            <w:r w:rsidRPr="00353E73">
              <w:rPr>
                <w:rFonts w:ascii="Calibri" w:hAnsi="Calibri" w:cs="Calibri"/>
                <w:color w:val="000000" w:themeColor="text1"/>
              </w:rPr>
              <w:t>Uniform</w:t>
            </w:r>
          </w:p>
        </w:tc>
      </w:tr>
    </w:tbl>
    <w:p w14:paraId="59F4DE78" w14:textId="1756740B" w:rsidR="00141095" w:rsidRPr="00353E73" w:rsidRDefault="00EA5F7B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*Because parameters used in the model accounted for age and sex, there were multiple parameters input </w:t>
      </w:r>
      <w:r w:rsidR="00FD1F25"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into</w:t>
      </w:r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the model. Due to the large number of parameters, we only present summary parameters</w:t>
      </w:r>
      <w:r w:rsidR="00766A56"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from all ages and combine sex</w:t>
      </w:r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</w:t>
      </w:r>
      <w:r w:rsidR="00A26E01"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in this </w:t>
      </w:r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table. This table aims to give a summary the </w:t>
      </w:r>
      <w:r w:rsidR="00254CEA"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distribution</w:t>
      </w:r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used for probabilistic </w:t>
      </w:r>
      <w:proofErr w:type="spellStart"/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senstivitiy</w:t>
      </w:r>
      <w:proofErr w:type="spellEnd"/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analysis </w:t>
      </w:r>
      <w:r w:rsidR="00254CEA"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in the model</w:t>
      </w:r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. </w:t>
      </w:r>
    </w:p>
    <w:p w14:paraId="6AAE82B7" w14:textId="16C858C8" w:rsidR="00362CC2" w:rsidRPr="00353E73" w:rsidRDefault="00362CC2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lastRenderedPageBreak/>
        <w:t>UI: uncertainty interval</w:t>
      </w:r>
    </w:p>
    <w:p w14:paraId="1F029F57" w14:textId="62E29109" w:rsidR="008717FE" w:rsidRPr="00353E73" w:rsidRDefault="008717FE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353E73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Exchange rate was where US$1=SG$1.36</w:t>
      </w:r>
    </w:p>
    <w:p w14:paraId="1AEB574D" w14:textId="7C6B38B0" w:rsidR="008717FE" w:rsidRPr="00353E73" w:rsidRDefault="008717FE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</w:p>
    <w:p w14:paraId="5607E413" w14:textId="77777777" w:rsidR="00E96159" w:rsidRPr="00353E73" w:rsidRDefault="00E96159" w:rsidP="00792B33">
      <w:pPr>
        <w:rPr>
          <w:b/>
          <w:bCs/>
          <w:color w:val="000000" w:themeColor="text1"/>
          <w:lang w:eastAsia="en-GB"/>
        </w:rPr>
      </w:pPr>
    </w:p>
    <w:p w14:paraId="13822F34" w14:textId="7C474AA7" w:rsidR="00E96159" w:rsidRPr="00353E73" w:rsidRDefault="00E96159" w:rsidP="00792B33">
      <w:pPr>
        <w:pStyle w:val="ListParagraph"/>
        <w:ind w:left="0"/>
        <w:rPr>
          <w:rFonts w:eastAsia="Times New Roman" w:cstheme="minorHAnsi"/>
          <w:color w:val="000000" w:themeColor="text1"/>
          <w:lang w:eastAsia="en-GB"/>
        </w:rPr>
      </w:pPr>
      <w:r w:rsidRPr="00353E73">
        <w:rPr>
          <w:rFonts w:eastAsia="Times New Roman" w:cstheme="minorHAnsi"/>
          <w:b/>
          <w:bCs/>
          <w:color w:val="000000" w:themeColor="text1"/>
          <w:lang w:eastAsia="en-GB"/>
        </w:rPr>
        <w:t>Table 3</w:t>
      </w:r>
      <w:r w:rsidRPr="00353E73">
        <w:rPr>
          <w:rFonts w:eastAsia="Times New Roman" w:cstheme="minorHAnsi"/>
          <w:color w:val="000000" w:themeColor="text1"/>
          <w:lang w:eastAsia="en-GB"/>
        </w:rPr>
        <w:t xml:space="preserve"> Key Singapore statistics and other appropriate statistics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1"/>
        <w:gridCol w:w="4323"/>
        <w:gridCol w:w="1188"/>
        <w:gridCol w:w="1917"/>
      </w:tblGrid>
      <w:tr w:rsidR="00353E73" w:rsidRPr="00353E73" w14:paraId="129A615D" w14:textId="77777777" w:rsidTr="00792B33">
        <w:tc>
          <w:tcPr>
            <w:tcW w:w="590" w:type="dxa"/>
          </w:tcPr>
          <w:p w14:paraId="045994D1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  <w:t>S/N</w:t>
            </w:r>
          </w:p>
        </w:tc>
        <w:tc>
          <w:tcPr>
            <w:tcW w:w="4323" w:type="dxa"/>
          </w:tcPr>
          <w:p w14:paraId="7BAECEDE" w14:textId="37243E68" w:rsidR="00E96159" w:rsidRPr="00353E73" w:rsidRDefault="00E96159" w:rsidP="00BB3CC0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  <w:t>Singapore statistics</w:t>
            </w:r>
            <w:r w:rsidR="001D6D6D" w:rsidRPr="00353E73"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  <w:t>, 2019</w:t>
            </w:r>
          </w:p>
        </w:tc>
        <w:tc>
          <w:tcPr>
            <w:tcW w:w="1176" w:type="dxa"/>
          </w:tcPr>
          <w:p w14:paraId="7C431CA5" w14:textId="77777777" w:rsidR="00E96159" w:rsidRPr="00353E73" w:rsidRDefault="00E96159" w:rsidP="00BB3CC0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  <w:t>Value</w:t>
            </w:r>
          </w:p>
        </w:tc>
        <w:tc>
          <w:tcPr>
            <w:tcW w:w="1917" w:type="dxa"/>
          </w:tcPr>
          <w:p w14:paraId="35AEEBD7" w14:textId="4EA98FCE" w:rsidR="00E96159" w:rsidRPr="00353E73" w:rsidRDefault="00EA618C" w:rsidP="00BB3CC0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  <w:t>Reference</w:t>
            </w:r>
          </w:p>
        </w:tc>
      </w:tr>
      <w:tr w:rsidR="00353E73" w:rsidRPr="00353E73" w14:paraId="64ADE081" w14:textId="77777777" w:rsidTr="00792B33">
        <w:tc>
          <w:tcPr>
            <w:tcW w:w="590" w:type="dxa"/>
          </w:tcPr>
          <w:p w14:paraId="4795E07C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323" w:type="dxa"/>
          </w:tcPr>
          <w:p w14:paraId="5BD1DB9F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</w:rPr>
              <w:t xml:space="preserve">Total Population </w:t>
            </w:r>
          </w:p>
        </w:tc>
        <w:tc>
          <w:tcPr>
            <w:tcW w:w="1176" w:type="dxa"/>
          </w:tcPr>
          <w:p w14:paraId="1CE35627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</w:rPr>
              <w:t>5,703,569</w:t>
            </w:r>
          </w:p>
        </w:tc>
        <w:tc>
          <w:tcPr>
            <w:tcW w:w="1917" w:type="dxa"/>
          </w:tcPr>
          <w:p w14:paraId="586CE584" w14:textId="3FCF3D59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="00641511"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&lt;EndNote&gt;&lt;Cite&gt;&lt;Author&gt;Department of Statistics&lt;/Author&gt;&lt;Year&gt;2022&lt;/Year&gt;&lt;RecNum&gt;22&lt;/RecNum&gt;&lt;DisplayText&gt;&lt;style face="superscript"&gt;(1)&lt;/style&gt;&lt;/DisplayText&gt;&lt;record&gt;&lt;rec-number&gt;22&lt;/rec-number&gt;&lt;foreign-keys&gt;&lt;key app="EN" db-id="5fd9dtewpf9fd3exz5qxrwvj2vztt9a9s0ts" timestamp="1649680150"&gt;22&lt;/key&gt;&lt;/foreign-keys&gt;&lt;ref-type name="Web Page"&gt;12&lt;/ref-type&gt;&lt;contributors&gt;&lt;authors&gt;&lt;author&gt;Department of Statistics,&lt;/author&gt;&lt;/authors&gt;&lt;/contributors&gt;&lt;titles&gt;&lt;title&gt;Population and Population Structure&lt;/title&gt;&lt;/titles&gt;&lt;volume&gt;2022&lt;/volume&gt;&lt;number&gt;11 April 2022&lt;/number&gt;&lt;dates&gt;&lt;year&gt;2022&lt;/year&gt;&lt;/dates&gt;&lt;urls&gt;&lt;related-urls&gt;&lt;url&gt;https://www.singstat.gov.sg/find-data/search-by-theme/population/population-and-population-structure/latest-data&lt;/url&gt;&lt;/related-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(1)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  <w:tr w:rsidR="00353E73" w:rsidRPr="00353E73" w14:paraId="4B2902D1" w14:textId="77777777" w:rsidTr="00792B33">
        <w:tc>
          <w:tcPr>
            <w:tcW w:w="590" w:type="dxa"/>
          </w:tcPr>
          <w:p w14:paraId="7D8A8FBF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2</w:t>
            </w:r>
          </w:p>
        </w:tc>
        <w:tc>
          <w:tcPr>
            <w:tcW w:w="4323" w:type="dxa"/>
          </w:tcPr>
          <w:p w14:paraId="47B99F40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Resident Population </w:t>
            </w:r>
          </w:p>
        </w:tc>
        <w:tc>
          <w:tcPr>
            <w:tcW w:w="1176" w:type="dxa"/>
          </w:tcPr>
          <w:p w14:paraId="371F46AC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</w:rPr>
              <w:t>4,026,209</w:t>
            </w:r>
          </w:p>
        </w:tc>
        <w:tc>
          <w:tcPr>
            <w:tcW w:w="1917" w:type="dxa"/>
          </w:tcPr>
          <w:p w14:paraId="45E707F4" w14:textId="3B52DBA8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="00641511"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&lt;EndNote&gt;&lt;Cite&gt;&lt;Author&gt;Department of Statistics&lt;/Author&gt;&lt;Year&gt;2022&lt;/Year&gt;&lt;RecNum&gt;22&lt;/RecNum&gt;&lt;DisplayText&gt;&lt;style face="superscript"&gt;(1)&lt;/style&gt;&lt;/DisplayText&gt;&lt;record&gt;&lt;rec-number&gt;22&lt;/rec-number&gt;&lt;foreign-keys&gt;&lt;key app="EN" db-id="5fd9dtewpf9fd3exz5qxrwvj2vztt9a9s0ts" timestamp="1649680150"&gt;22&lt;/key&gt;&lt;/foreign-keys&gt;&lt;ref-type name="Web Page"&gt;12&lt;/ref-type&gt;&lt;contributors&gt;&lt;authors&gt;&lt;author&gt;Department of Statistics,&lt;/author&gt;&lt;/authors&gt;&lt;/contributors&gt;&lt;titles&gt;&lt;title&gt;Population and Population Structure&lt;/title&gt;&lt;/titles&gt;&lt;volume&gt;2022&lt;/volume&gt;&lt;number&gt;11 April 2022&lt;/number&gt;&lt;dates&gt;&lt;year&gt;2022&lt;/year&gt;&lt;/dates&gt;&lt;urls&gt;&lt;related-urls&gt;&lt;url&gt;https://www.singstat.gov.sg/find-data/search-by-theme/population/population-and-population-structure/latest-data&lt;/url&gt;&lt;/related-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(1)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  <w:tr w:rsidR="00353E73" w:rsidRPr="00353E73" w14:paraId="60887B1C" w14:textId="77777777" w:rsidTr="00792B33">
        <w:tc>
          <w:tcPr>
            <w:tcW w:w="590" w:type="dxa"/>
          </w:tcPr>
          <w:p w14:paraId="7F5DEA55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323" w:type="dxa"/>
          </w:tcPr>
          <w:p w14:paraId="50F3B9FC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</w:rPr>
              <w:t xml:space="preserve">Total Labour Force </w:t>
            </w:r>
          </w:p>
        </w:tc>
        <w:tc>
          <w:tcPr>
            <w:tcW w:w="1176" w:type="dxa"/>
          </w:tcPr>
          <w:p w14:paraId="3132E32C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3,742,500</w:t>
            </w:r>
          </w:p>
        </w:tc>
        <w:tc>
          <w:tcPr>
            <w:tcW w:w="1917" w:type="dxa"/>
          </w:tcPr>
          <w:p w14:paraId="0841D4AC" w14:textId="25A36EE1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="00641511"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&lt;EndNote&gt;&lt;Cite&gt;&lt;Author&gt;Department of Statistics&lt;/Author&gt;&lt;Year&gt;2022&lt;/Year&gt;&lt;RecNum&gt;14&lt;/RecNum&gt;&lt;DisplayText&gt;&lt;style face="superscript"&gt;(2)&lt;/style&gt;&lt;/DisplayText&gt;&lt;record&gt;&lt;rec-number&gt;14&lt;/rec-number&gt;&lt;foreign-keys&gt;&lt;key app="EN" db-id="5fd9dtewpf9fd3exz5qxrwvj2vztt9a9s0ts" timestamp="1645174091"&gt;14&lt;/key&gt;&lt;/foreign-keys&gt;&lt;ref-type name="Web Page"&gt;12&lt;/ref-type&gt;&lt;contributors&gt;&lt;authors&gt;&lt;author&gt;Department of Statistics,&lt;/author&gt;&lt;/authors&gt;&lt;/contributors&gt;&lt;titles&gt;&lt;title&gt;Labour, Employment, Wages and Productivity&lt;/title&gt;&lt;/titles&gt;&lt;number&gt;18 Feb 2022&lt;/number&gt;&lt;dates&gt;&lt;year&gt;2022&lt;/year&gt;&lt;/dates&gt;&lt;urls&gt;&lt;related-urls&gt;&lt;url&gt;https://www.singstat.gov.sg/find-data/search-by-theme/economy/labour-employment-wages-and-productivity/latest-data&lt;/url&gt;&lt;/related-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(2)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  <w:tr w:rsidR="00353E73" w:rsidRPr="00353E73" w14:paraId="3A85B532" w14:textId="77777777" w:rsidTr="00792B33">
        <w:tc>
          <w:tcPr>
            <w:tcW w:w="590" w:type="dxa"/>
          </w:tcPr>
          <w:p w14:paraId="6EE7DCF3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4</w:t>
            </w:r>
          </w:p>
        </w:tc>
        <w:tc>
          <w:tcPr>
            <w:tcW w:w="4323" w:type="dxa"/>
          </w:tcPr>
          <w:p w14:paraId="5014592D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Total Residents In The Labour Force</w:t>
            </w:r>
          </w:p>
        </w:tc>
        <w:tc>
          <w:tcPr>
            <w:tcW w:w="1176" w:type="dxa"/>
          </w:tcPr>
          <w:p w14:paraId="37ADF9C7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</w:rPr>
              <w:t>2,328,500</w:t>
            </w:r>
          </w:p>
        </w:tc>
        <w:tc>
          <w:tcPr>
            <w:tcW w:w="1917" w:type="dxa"/>
          </w:tcPr>
          <w:p w14:paraId="28540662" w14:textId="1A6171DB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="00641511"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&lt;EndNote&gt;&lt;Cite&gt;&lt;Author&gt;Department of Statistics&lt;/Author&gt;&lt;Year&gt;2022&lt;/Year&gt;&lt;RecNum&gt;14&lt;/RecNum&gt;&lt;DisplayText&gt;&lt;style face="superscript"&gt;(2)&lt;/style&gt;&lt;/DisplayText&gt;&lt;record&gt;&lt;rec-number&gt;14&lt;/rec-number&gt;&lt;foreign-keys&gt;&lt;key app="EN" db-id="5fd9dtewpf9fd3exz5qxrwvj2vztt9a9s0ts" timestamp="1645174091"&gt;14&lt;/key&gt;&lt;/foreign-keys&gt;&lt;ref-type name="Web Page"&gt;12&lt;/ref-type&gt;&lt;contributors&gt;&lt;authors&gt;&lt;author&gt;Department of Statistics,&lt;/author&gt;&lt;/authors&gt;&lt;/contributors&gt;&lt;titles&gt;&lt;title&gt;Labour, Employment, Wages and Productivity&lt;/title&gt;&lt;/titles&gt;&lt;number&gt;18 Feb 2022&lt;/number&gt;&lt;dates&gt;&lt;year&gt;2022&lt;/year&gt;&lt;/dates&gt;&lt;urls&gt;&lt;related-urls&gt;&lt;url&gt;https://www.singstat.gov.sg/find-data/search-by-theme/economy/labour-employment-wages-and-productivity/latest-data&lt;/url&gt;&lt;/related-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(2)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  <w:tr w:rsidR="00353E73" w:rsidRPr="00353E73" w14:paraId="21AFED6D" w14:textId="77777777" w:rsidTr="00792B33">
        <w:tc>
          <w:tcPr>
            <w:tcW w:w="590" w:type="dxa"/>
          </w:tcPr>
          <w:p w14:paraId="3684FF9A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5</w:t>
            </w:r>
          </w:p>
        </w:tc>
        <w:tc>
          <w:tcPr>
            <w:tcW w:w="4323" w:type="dxa"/>
          </w:tcPr>
          <w:p w14:paraId="274E98E1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Total Deaths</w:t>
            </w:r>
          </w:p>
        </w:tc>
        <w:tc>
          <w:tcPr>
            <w:tcW w:w="1176" w:type="dxa"/>
          </w:tcPr>
          <w:p w14:paraId="0D4BB2BA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21,446</w:t>
            </w:r>
          </w:p>
        </w:tc>
        <w:tc>
          <w:tcPr>
            <w:tcW w:w="1917" w:type="dxa"/>
          </w:tcPr>
          <w:p w14:paraId="2C144BE2" w14:textId="5EB48049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="00641511"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&lt;EndNote&gt;&lt;Cite&gt;&lt;Author&gt;Department of Statistics&lt;/Author&gt;&lt;Year&gt;2022&lt;/Year&gt;&lt;RecNum&gt;23&lt;/RecNum&gt;&lt;DisplayText&gt;&lt;style face="superscript"&gt;(3)&lt;/style&gt;&lt;/DisplayText&gt;&lt;record&gt;&lt;rec-number&gt;23&lt;/rec-number&gt;&lt;foreign-keys&gt;&lt;key app="EN" db-id="5fd9dtewpf9fd3exz5qxrwvj2vztt9a9s0ts" timestamp="1649682692"&gt;23&lt;/key&gt;&lt;/foreign-keys&gt;&lt;ref-type name="Web Page"&gt;12&lt;/ref-type&gt;&lt;contributors&gt;&lt;authors&gt;&lt;author&gt;Department of Statistics,&lt;/author&gt;&lt;/authors&gt;&lt;/contributors&gt;&lt;titles&gt;&lt;title&gt;Death and Life Expectancy&lt;/title&gt;&lt;/titles&gt;&lt;volume&gt;2022&lt;/volume&gt;&lt;number&gt;11 April 2022&lt;/number&gt;&lt;dates&gt;&lt;year&gt;2022&lt;/year&gt;&lt;/dates&gt;&lt;urls&gt;&lt;related-urls&gt;&lt;url&gt;https://www.singstat.gov.sg/find-data/search-by-theme/population/death-and-life-expectancy/latest-data&lt;/url&gt;&lt;/related-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(3)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  <w:tr w:rsidR="00353E73" w:rsidRPr="00353E73" w14:paraId="413F10A7" w14:textId="77777777" w:rsidTr="00792B33">
        <w:tc>
          <w:tcPr>
            <w:tcW w:w="590" w:type="dxa"/>
          </w:tcPr>
          <w:p w14:paraId="75343DA5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6</w:t>
            </w:r>
          </w:p>
        </w:tc>
        <w:tc>
          <w:tcPr>
            <w:tcW w:w="4323" w:type="dxa"/>
          </w:tcPr>
          <w:p w14:paraId="702DD4FB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Resident Deaths</w:t>
            </w:r>
          </w:p>
        </w:tc>
        <w:tc>
          <w:tcPr>
            <w:tcW w:w="1176" w:type="dxa"/>
          </w:tcPr>
          <w:p w14:paraId="29508CB5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20,288</w:t>
            </w:r>
          </w:p>
        </w:tc>
        <w:tc>
          <w:tcPr>
            <w:tcW w:w="1917" w:type="dxa"/>
          </w:tcPr>
          <w:p w14:paraId="1232C869" w14:textId="475B0821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="00641511"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&lt;EndNote&gt;&lt;Cite&gt;&lt;Author&gt;Department of Statistics&lt;/Author&gt;&lt;Year&gt;2022&lt;/Year&gt;&lt;RecNum&gt;23&lt;/RecNum&gt;&lt;DisplayText&gt;&lt;style face="superscript"&gt;(3)&lt;/style&gt;&lt;/DisplayText&gt;&lt;record&gt;&lt;rec-number&gt;23&lt;/rec-number&gt;&lt;foreign-keys&gt;&lt;key app="EN" db-id="5fd9dtewpf9fd3exz5qxrwvj2vztt9a9s0ts" timestamp="1649682692"&gt;23&lt;/key&gt;&lt;/foreign-keys&gt;&lt;ref-type name="Web Page"&gt;12&lt;/ref-type&gt;&lt;contributors&gt;&lt;authors&gt;&lt;author&gt;Department of Statistics,&lt;/author&gt;&lt;/authors&gt;&lt;/contributors&gt;&lt;titles&gt;&lt;title&gt;Death and Life Expectancy&lt;/title&gt;&lt;/titles&gt;&lt;volume&gt;2022&lt;/volume&gt;&lt;number&gt;11 April 2022&lt;/number&gt;&lt;dates&gt;&lt;year&gt;2022&lt;/year&gt;&lt;/dates&gt;&lt;urls&gt;&lt;related-urls&gt;&lt;url&gt;https://www.singstat.gov.sg/find-data/search-by-theme/population/death-and-life-expectancy/latest-data&lt;/url&gt;&lt;/related-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(3)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  <w:tr w:rsidR="00353E73" w:rsidRPr="00353E73" w14:paraId="3A0948E8" w14:textId="77777777" w:rsidTr="00792B33">
        <w:tc>
          <w:tcPr>
            <w:tcW w:w="590" w:type="dxa"/>
          </w:tcPr>
          <w:p w14:paraId="2B6EAC76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</w:tc>
        <w:tc>
          <w:tcPr>
            <w:tcW w:w="4323" w:type="dxa"/>
          </w:tcPr>
          <w:p w14:paraId="4FDB03E2" w14:textId="047ADAF3" w:rsidR="00E96159" w:rsidRPr="00353E73" w:rsidRDefault="00E96159" w:rsidP="00BB3CC0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  <w:t>Other statistics</w:t>
            </w:r>
          </w:p>
        </w:tc>
        <w:tc>
          <w:tcPr>
            <w:tcW w:w="1176" w:type="dxa"/>
          </w:tcPr>
          <w:p w14:paraId="2030C6DA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</w:tc>
        <w:tc>
          <w:tcPr>
            <w:tcW w:w="1917" w:type="dxa"/>
          </w:tcPr>
          <w:p w14:paraId="0A495332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</w:tc>
      </w:tr>
      <w:tr w:rsidR="00353E73" w:rsidRPr="00353E73" w14:paraId="74B0927A" w14:textId="77777777" w:rsidTr="00792B33">
        <w:tc>
          <w:tcPr>
            <w:tcW w:w="590" w:type="dxa"/>
          </w:tcPr>
          <w:p w14:paraId="113EB869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7</w:t>
            </w:r>
          </w:p>
        </w:tc>
        <w:tc>
          <w:tcPr>
            <w:tcW w:w="4323" w:type="dxa"/>
          </w:tcPr>
          <w:p w14:paraId="2E355C9A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PAF for all causes due to high sodium diet</w:t>
            </w:r>
          </w:p>
        </w:tc>
        <w:tc>
          <w:tcPr>
            <w:tcW w:w="1176" w:type="dxa"/>
          </w:tcPr>
          <w:p w14:paraId="502E4C39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0.0375</w:t>
            </w:r>
          </w:p>
        </w:tc>
        <w:tc>
          <w:tcPr>
            <w:tcW w:w="1917" w:type="dxa"/>
          </w:tcPr>
          <w:p w14:paraId="1B2EFD1A" w14:textId="37C720C4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&lt;EndNote&gt;&lt;Cite&gt;&lt;Author&gt;Gakidou&lt;/Author&gt;&lt;Year&gt;2017&lt;/Year&gt;&lt;RecNum&gt;12&lt;/RecNum&gt;&lt;DisplayText&gt;&lt;style face="superscript"&gt;(4)&lt;/style&gt;&lt;/DisplayText&gt;&lt;record&gt;&lt;rec-number&gt;12&lt;/rec-number&gt;&lt;foreign-keys&gt;&lt;key app="EN" db-id="a5p29a55ns9pefeaz2q5a02xd5w9xtwz90rf" timestamp="1649667064"&gt;12&lt;/key&gt;&lt;/foreign-keys&gt;&lt;ref-type name="Journal Article"&gt;17&lt;/ref-type&gt;&lt;contributors&gt;&lt;authors&gt;&lt;author&gt;Gakidou, Emmanuela&lt;/author&gt;&lt;author&gt;Afshin, Ashkan&lt;/author&gt;&lt;author&gt;Abajobir, Amanuel Alemu&lt;/author&gt;&lt;author&gt;Abate, Kalkidan Hassen&lt;/author&gt;&lt;author&gt;Abbafati, Cristiana&lt;/author&gt;&lt;author&gt;Abbas, Kaja M&lt;/author&gt;&lt;author&gt;Abd-Allah, Foad&lt;/author&gt;&lt;author&gt;Abdulle, Abdishakur M&lt;/author&gt;&lt;author&gt;Abera, Semaw Ferede&lt;/author&gt;&lt;author&gt;Aboyans, Victor&lt;/author&gt;&lt;/authors&gt;&lt;/contributors&gt;&lt;titles&gt;&lt;title&gt;Global, regional, and national comparative risk assessment of 84 behavioural, environmental and occupational, and metabolic risks or clusters of risks, 1990–2016: a systematic analysis for the Global Burden of Disease Study 2016&lt;/title&gt;&lt;secondary-title&gt;The Lancet&lt;/secondary-title&gt;&lt;/titles&gt;&lt;periodical&gt;&lt;full-title&gt;The Lancet&lt;/full-title&gt;&lt;/periodical&gt;&lt;pages&gt;1345-1422&lt;/pages&gt;&lt;volume&gt;390&lt;/volume&gt;&lt;number&gt;10100&lt;/number&gt;&lt;dates&gt;&lt;year&gt;2017&lt;/year&gt;&lt;/dates&gt;&lt;isbn&gt;0140-6736&lt;/isbn&gt;&lt;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(4)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  <w:tr w:rsidR="00353E73" w:rsidRPr="00353E73" w14:paraId="4229B603" w14:textId="77777777" w:rsidTr="00792B33">
        <w:tc>
          <w:tcPr>
            <w:tcW w:w="590" w:type="dxa"/>
          </w:tcPr>
          <w:p w14:paraId="34F04FD4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8</w:t>
            </w:r>
          </w:p>
        </w:tc>
        <w:tc>
          <w:tcPr>
            <w:tcW w:w="4323" w:type="dxa"/>
          </w:tcPr>
          <w:p w14:paraId="02333516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Average daily wage (USD)</w:t>
            </w:r>
          </w:p>
        </w:tc>
        <w:tc>
          <w:tcPr>
            <w:tcW w:w="1176" w:type="dxa"/>
          </w:tcPr>
          <w:p w14:paraId="018841E5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337</w:t>
            </w:r>
          </w:p>
        </w:tc>
        <w:tc>
          <w:tcPr>
            <w:tcW w:w="1917" w:type="dxa"/>
          </w:tcPr>
          <w:p w14:paraId="6354AACF" w14:textId="398AD64D" w:rsidR="00E96159" w:rsidRPr="00353E73" w:rsidRDefault="00641511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color w:val="000000" w:themeColor="text1"/>
              </w:rPr>
              <w:fldChar w:fldCharType="begin"/>
            </w:r>
            <w:r w:rsidRPr="00353E73">
              <w:rPr>
                <w:color w:val="000000" w:themeColor="text1"/>
              </w:rPr>
              <w:instrText xml:space="preserve"> ADDIN EN.CITE &lt;EndNote&gt;&lt;Cite&gt;&lt;Author&gt;Ministry of Manpower Singapore&lt;/Author&gt;&lt;Year&gt;2019&lt;/Year&gt;&lt;RecNum&gt;9&lt;/RecNum&gt;&lt;DisplayText&gt;&lt;style face="superscript"&gt;(5)&lt;/style&gt;&lt;/DisplayText&gt;&lt;record&gt;&lt;rec-number&gt;9&lt;/rec-number&gt;&lt;foreign-keys&gt;&lt;key app="EN" db-id="t9rwdz004rr2zjetz2jxatt1vta999taz55p" timestamp="1649669046"&gt;9&lt;/key&gt;&lt;/foreign-keys&gt;&lt;ref-type name="Government Document"&gt;46&lt;/ref-type&gt;&lt;contributors&gt;&lt;authors&gt;&lt;author&gt;Ministry of Manpower Singapore,&lt;/author&gt;&lt;/authors&gt;&lt;secondary-authors&gt;&lt;author&gt;Manpower Research and Statistics Department&lt;/author&gt;&lt;/secondary-authors&gt;&lt;/contributors&gt;&lt;titles&gt;&lt;title&gt;LABOUR FORCE IN SINGAPORE 2019&lt;/title&gt;&lt;/titles&gt;&lt;dates&gt;&lt;year&gt;2019&lt;/year&gt;&lt;/dates&gt;&lt;pub-location&gt;Singapore&lt;/pub-location&gt;&lt;urls&gt;&lt;/urls&gt;&lt;access-date&gt;2021-06-01&lt;/access-date&gt;&lt;/record&gt;&lt;/Cite&gt;&lt;/EndNote&gt;</w:instrText>
            </w:r>
            <w:r w:rsidRPr="00353E73">
              <w:rPr>
                <w:color w:val="000000" w:themeColor="text1"/>
              </w:rPr>
              <w:fldChar w:fldCharType="separate"/>
            </w:r>
            <w:r w:rsidRPr="00353E73">
              <w:rPr>
                <w:noProof/>
                <w:color w:val="000000" w:themeColor="text1"/>
                <w:vertAlign w:val="superscript"/>
              </w:rPr>
              <w:t>(5)</w:t>
            </w:r>
            <w:r w:rsidRPr="00353E73">
              <w:rPr>
                <w:color w:val="000000" w:themeColor="text1"/>
              </w:rPr>
              <w:fldChar w:fldCharType="end"/>
            </w:r>
          </w:p>
        </w:tc>
      </w:tr>
      <w:tr w:rsidR="00353E73" w:rsidRPr="00353E73" w14:paraId="02EC2CEC" w14:textId="77777777" w:rsidTr="00792B33">
        <w:tc>
          <w:tcPr>
            <w:tcW w:w="590" w:type="dxa"/>
          </w:tcPr>
          <w:p w14:paraId="5538709F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</w:tc>
        <w:tc>
          <w:tcPr>
            <w:tcW w:w="4323" w:type="dxa"/>
          </w:tcPr>
          <w:p w14:paraId="7145744D" w14:textId="782E5478" w:rsidR="00E96159" w:rsidRPr="00353E73" w:rsidRDefault="001D6D6D" w:rsidP="00BB3CC0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b/>
                <w:bCs/>
                <w:color w:val="000000" w:themeColor="text1"/>
                <w:lang w:eastAsia="en-GB"/>
              </w:rPr>
              <w:t>Results</w:t>
            </w:r>
          </w:p>
        </w:tc>
        <w:tc>
          <w:tcPr>
            <w:tcW w:w="1176" w:type="dxa"/>
          </w:tcPr>
          <w:p w14:paraId="108BA76F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</w:tc>
        <w:tc>
          <w:tcPr>
            <w:tcW w:w="1917" w:type="dxa"/>
          </w:tcPr>
          <w:p w14:paraId="58A311BC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</w:p>
        </w:tc>
      </w:tr>
      <w:tr w:rsidR="00353E73" w:rsidRPr="00353E73" w14:paraId="71A84B9A" w14:textId="77777777" w:rsidTr="00792B33">
        <w:tc>
          <w:tcPr>
            <w:tcW w:w="590" w:type="dxa"/>
          </w:tcPr>
          <w:p w14:paraId="3984021F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9</w:t>
            </w:r>
          </w:p>
        </w:tc>
        <w:tc>
          <w:tcPr>
            <w:tcW w:w="4323" w:type="dxa"/>
          </w:tcPr>
          <w:p w14:paraId="1852356F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Total deaths attributable to sodium</w:t>
            </w:r>
          </w:p>
        </w:tc>
        <w:tc>
          <w:tcPr>
            <w:tcW w:w="1176" w:type="dxa"/>
          </w:tcPr>
          <w:p w14:paraId="24D8A976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804</w:t>
            </w:r>
          </w:p>
        </w:tc>
        <w:tc>
          <w:tcPr>
            <w:tcW w:w="1917" w:type="dxa"/>
          </w:tcPr>
          <w:p w14:paraId="26E9C7F2" w14:textId="5065336F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="00641511"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&lt;EndNote&gt;&lt;Cite&gt;&lt;Author&gt;Gakidou&lt;/Author&gt;&lt;Year&gt;2017&lt;/Year&gt;&lt;RecNum&gt;12&lt;/RecNum&gt;&lt;DisplayText&gt;&lt;style face="superscript"&gt;(3; 4)&lt;/style&gt;&lt;/DisplayText&gt;&lt;record&gt;&lt;rec-number&gt;12&lt;/rec-number&gt;&lt;foreign-keys&gt;&lt;key app="EN" db-id="a5p29a55ns9pefeaz2q5a02xd5w9xtwz90rf" timestamp="1649667064"&gt;12&lt;/key&gt;&lt;/foreign-keys&gt;&lt;ref-type name="Journal Article"&gt;17&lt;/ref-type&gt;&lt;contributors&gt;&lt;authors&gt;&lt;author&gt;Gakidou, Emmanuela&lt;/author&gt;&lt;author&gt;Afshin, Ashkan&lt;/author&gt;&lt;author&gt;Abajobir, Amanuel Alemu&lt;/author&gt;&lt;author&gt;Abate, Kalkidan Hassen&lt;/author&gt;&lt;author&gt;Abbafati, Cristiana&lt;/author&gt;&lt;author&gt;Abbas, Kaja M&lt;/author&gt;&lt;author&gt;Abd-Allah, Foad&lt;/author&gt;&lt;author&gt;Abdulle, Abdishakur M&lt;/author&gt;&lt;author&gt;Abera, Semaw Ferede&lt;/author&gt;&lt;author&gt;Aboyans, Victor&lt;/author&gt;&lt;/authors&gt;&lt;/contributors&gt;&lt;titles&gt;&lt;title&gt;Global, regional, and national comparative risk assessment of 84 behavioural, environmental and occupational, and metabolic risks or clusters of risks, 1990–2016: a systematic analysis for the Global Burden of Disease Study 2016&lt;/title&gt;&lt;secondary-title&gt;The Lancet&lt;/secondary-title&gt;&lt;/titles&gt;&lt;periodical&gt;&lt;full-title&gt;The Lancet&lt;/full-title&gt;&lt;/periodical&gt;&lt;pages&gt;1345-1422&lt;/pages&gt;&lt;volume&gt;390&lt;/volume&gt;&lt;number&gt;10100&lt;/number&gt;&lt;dates&gt;&lt;year&gt;2017&lt;/year&gt;&lt;/dates&gt;&lt;isbn&gt;0140-6736&lt;/isbn&gt;&lt;urls&gt;&lt;/urls&gt;&lt;/record&gt;&lt;/Cite&gt;&lt;Cite&gt;&lt;Author&gt;Department of Statistics&lt;/Author&gt;&lt;Year&gt;2022&lt;/Year&gt;&lt;RecNum&gt;23&lt;/RecNum&gt;&lt;record&gt;&lt;rec-number&gt;23&lt;/rec-number&gt;&lt;foreign-keys&gt;&lt;key app="EN" db-id="5fd9dtewpf9fd3exz5qxrwvj2vztt9a9s0ts" timestamp="1649682692"&gt;23&lt;/key&gt;&lt;/foreign-keys&gt;&lt;ref-type name="Web Page"&gt;12&lt;/ref-type&gt;&lt;contributors&gt;&lt;authors&gt;&lt;author&gt;Department of Statistics,&lt;/author&gt;&lt;/authors&gt;&lt;/contributors&gt;&lt;titles&gt;&lt;title&gt;Death and Life Expectancy&lt;/title&gt;&lt;/titles&gt;&lt;volume&gt;2022&lt;/volume&gt;&lt;number&gt;11 April 2022&lt;/number&gt;&lt;dates&gt;&lt;year&gt;2022&lt;/year&gt;&lt;/dates&gt;&lt;urls&gt;&lt;related-urls&gt;&lt;url&gt;https://www.singstat.gov.sg/find-data/search-by-theme/population/death-and-life-expectancy/latest-data&lt;/url&gt;&lt;/related-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(3; 4)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  <w:tr w:rsidR="00353E73" w:rsidRPr="00353E73" w14:paraId="77495147" w14:textId="77777777" w:rsidTr="00792B33">
        <w:tc>
          <w:tcPr>
            <w:tcW w:w="590" w:type="dxa"/>
          </w:tcPr>
          <w:p w14:paraId="60695817" w14:textId="77777777" w:rsidR="00E96159" w:rsidRPr="00353E73" w:rsidRDefault="00E96159" w:rsidP="00BB3CC0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10</w:t>
            </w:r>
          </w:p>
        </w:tc>
        <w:tc>
          <w:tcPr>
            <w:tcW w:w="4323" w:type="dxa"/>
          </w:tcPr>
          <w:p w14:paraId="44656204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Resident Deaths attributable to sodium</w:t>
            </w:r>
          </w:p>
        </w:tc>
        <w:tc>
          <w:tcPr>
            <w:tcW w:w="1176" w:type="dxa"/>
          </w:tcPr>
          <w:p w14:paraId="006E105E" w14:textId="77777777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t>760</w:t>
            </w:r>
          </w:p>
        </w:tc>
        <w:tc>
          <w:tcPr>
            <w:tcW w:w="1917" w:type="dxa"/>
          </w:tcPr>
          <w:p w14:paraId="1976A29E" w14:textId="543ADC22" w:rsidR="00E96159" w:rsidRPr="00353E73" w:rsidRDefault="00E96159" w:rsidP="00BB3CC0">
            <w:pPr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begin"/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instrText xml:space="preserve"> ADDIN EN.CITE &lt;EndNote&gt;&lt;Cite&gt;&lt;Author&gt;Gakidou&lt;/Author&gt;&lt;Year&gt;2017&lt;/Year&gt;&lt;RecNum&gt;12&lt;/RecNum&gt;&lt;DisplayText&gt;&lt;style face="superscript"&gt;(4)&lt;/style&gt;&lt;/DisplayText&gt;&lt;record&gt;&lt;rec-number&gt;12&lt;/rec-number&gt;&lt;foreign-keys&gt;&lt;key app="EN" db-id="a5p29a55ns9pefeaz2q5a02xd5w9xtwz90rf" timestamp="1649667064"&gt;12&lt;/key&gt;&lt;/foreign-keys&gt;&lt;ref-type name="Journal Article"&gt;17&lt;/ref-type&gt;&lt;contributors&gt;&lt;authors&gt;&lt;author&gt;Gakidou, Emmanuela&lt;/author&gt;&lt;author&gt;Afshin, Ashkan&lt;/author&gt;&lt;author&gt;Abajobir, Amanuel Alemu&lt;/author&gt;&lt;author&gt;Abate, Kalkidan Hassen&lt;/author&gt;&lt;author&gt;Abbafati, Cristiana&lt;/author&gt;&lt;author&gt;Abbas, Kaja M&lt;/author&gt;&lt;author&gt;Abd-Allah, Foad&lt;/author&gt;&lt;author&gt;Abdulle, Abdishakur M&lt;/author&gt;&lt;author&gt;Abera, Semaw Ferede&lt;/author&gt;&lt;author&gt;Aboyans, Victor&lt;/author&gt;&lt;/authors&gt;&lt;/contributors&gt;&lt;titles&gt;&lt;title&gt;Global, regional, and national comparative risk assessment of 84 behavioural, environmental and occupational, and metabolic risks or clusters of risks, 1990–2016: a systematic analysis for the Global Burden of Disease Study 2016&lt;/title&gt;&lt;secondary-title&gt;The Lancet&lt;/secondary-title&gt;&lt;/titles&gt;&lt;periodical&gt;&lt;full-title&gt;The Lancet&lt;/full-title&gt;&lt;/periodical&gt;&lt;pages&gt;1345-1422&lt;/pages&gt;&lt;volume&gt;390&lt;/volume&gt;&lt;number&gt;10100&lt;/number&gt;&lt;dates&gt;&lt;year&gt;2017&lt;/year&gt;&lt;/dates&gt;&lt;isbn&gt;0140-6736&lt;/isbn&gt;&lt;urls&gt;&lt;/urls&gt;&lt;/record&gt;&lt;/Cite&gt;&lt;/EndNote&gt;</w:instrTex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separate"/>
            </w:r>
            <w:r w:rsidRPr="00353E73">
              <w:rPr>
                <w:rFonts w:asciiTheme="minorHAnsi" w:hAnsiTheme="minorHAnsi" w:cstheme="minorHAnsi"/>
                <w:noProof/>
                <w:color w:val="000000" w:themeColor="text1"/>
                <w:vertAlign w:val="superscript"/>
                <w:lang w:eastAsia="en-GB"/>
              </w:rPr>
              <w:t>(4)</w:t>
            </w:r>
            <w:r w:rsidRPr="00353E73">
              <w:rPr>
                <w:rFonts w:asciiTheme="minorHAnsi" w:hAnsiTheme="minorHAnsi" w:cstheme="minorHAnsi"/>
                <w:color w:val="000000" w:themeColor="text1"/>
                <w:lang w:eastAsia="en-GB"/>
              </w:rPr>
              <w:fldChar w:fldCharType="end"/>
            </w:r>
          </w:p>
        </w:tc>
      </w:tr>
    </w:tbl>
    <w:p w14:paraId="00CD9FF9" w14:textId="77777777" w:rsidR="00E96159" w:rsidRPr="00353E73" w:rsidRDefault="00E96159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75129663" w14:textId="77777777" w:rsidR="00E96159" w:rsidRPr="00353E73" w:rsidRDefault="00E96159">
      <w:pPr>
        <w:rPr>
          <w:rFonts w:asciiTheme="minorHAnsi" w:hAnsiTheme="minorHAnsi" w:cstheme="minorHAnsi"/>
          <w:color w:val="000000" w:themeColor="text1"/>
          <w:lang w:val="en-GB"/>
        </w:rPr>
      </w:pPr>
      <w:r w:rsidRPr="00353E73">
        <w:rPr>
          <w:rFonts w:asciiTheme="minorHAnsi" w:hAnsiTheme="minorHAnsi" w:cstheme="minorHAnsi"/>
          <w:color w:val="000000" w:themeColor="text1"/>
          <w:lang w:val="en-GB"/>
        </w:rPr>
        <w:br w:type="page"/>
      </w:r>
    </w:p>
    <w:p w14:paraId="7912D6F6" w14:textId="41264ADB" w:rsidR="00E96159" w:rsidRPr="00353E73" w:rsidRDefault="00E96159">
      <w:pPr>
        <w:rPr>
          <w:rFonts w:asciiTheme="minorHAnsi" w:hAnsiTheme="minorHAnsi" w:cstheme="minorHAnsi"/>
          <w:b/>
          <w:bCs/>
          <w:color w:val="000000" w:themeColor="text1"/>
          <w:u w:val="single"/>
          <w:lang w:val="en-GB"/>
        </w:rPr>
      </w:pPr>
      <w:r w:rsidRPr="00353E73">
        <w:rPr>
          <w:rFonts w:asciiTheme="minorHAnsi" w:hAnsiTheme="minorHAnsi" w:cstheme="minorHAnsi"/>
          <w:b/>
          <w:bCs/>
          <w:color w:val="000000" w:themeColor="text1"/>
          <w:u w:val="single"/>
          <w:lang w:val="en-GB"/>
        </w:rPr>
        <w:lastRenderedPageBreak/>
        <w:t>Reference</w:t>
      </w:r>
    </w:p>
    <w:p w14:paraId="01DFDDDB" w14:textId="788A930B" w:rsidR="00641511" w:rsidRPr="00353E73" w:rsidRDefault="00E96159" w:rsidP="00641511">
      <w:pPr>
        <w:pStyle w:val="EndNoteBibliography"/>
        <w:rPr>
          <w:rFonts w:ascii="Calibri" w:hAnsi="Calibri" w:cs="Calibri"/>
          <w:noProof/>
          <w:color w:val="000000" w:themeColor="text1"/>
        </w:rPr>
      </w:pPr>
      <w:r w:rsidRPr="00353E73">
        <w:rPr>
          <w:rFonts w:ascii="Calibri" w:hAnsi="Calibri" w:cs="Calibri"/>
          <w:color w:val="000000" w:themeColor="text1"/>
          <w:lang w:val="en-GB"/>
        </w:rPr>
        <w:fldChar w:fldCharType="begin"/>
      </w:r>
      <w:r w:rsidRPr="00353E73">
        <w:rPr>
          <w:rFonts w:ascii="Calibri" w:hAnsi="Calibri" w:cs="Calibri"/>
          <w:color w:val="000000" w:themeColor="text1"/>
          <w:lang w:val="en-GB"/>
        </w:rPr>
        <w:instrText xml:space="preserve"> ADDIN EN.REFLIST </w:instrText>
      </w:r>
      <w:r w:rsidRPr="00353E73">
        <w:rPr>
          <w:rFonts w:ascii="Calibri" w:hAnsi="Calibri" w:cs="Calibri"/>
          <w:color w:val="000000" w:themeColor="text1"/>
          <w:lang w:val="en-GB"/>
        </w:rPr>
        <w:fldChar w:fldCharType="separate"/>
      </w:r>
      <w:r w:rsidR="00641511" w:rsidRPr="00353E73">
        <w:rPr>
          <w:rFonts w:ascii="Calibri" w:hAnsi="Calibri" w:cs="Calibri"/>
          <w:noProof/>
          <w:color w:val="000000" w:themeColor="text1"/>
        </w:rPr>
        <w:t xml:space="preserve">1. Department of Statistics (2022) Population and Population Structure. </w:t>
      </w:r>
      <w:hyperlink r:id="rId6" w:history="1">
        <w:r w:rsidR="00641511" w:rsidRPr="00353E73">
          <w:rPr>
            <w:rStyle w:val="Hyperlink"/>
            <w:rFonts w:ascii="Calibri" w:hAnsi="Calibri" w:cs="Calibri"/>
            <w:noProof/>
            <w:color w:val="000000" w:themeColor="text1"/>
          </w:rPr>
          <w:t>https://www.singstat.gov.sg/find-data/search-by-theme/population/population-and-population-structure/latest-data</w:t>
        </w:r>
      </w:hyperlink>
      <w:r w:rsidR="00641511" w:rsidRPr="00353E73">
        <w:rPr>
          <w:rFonts w:ascii="Calibri" w:hAnsi="Calibri" w:cs="Calibri"/>
          <w:noProof/>
          <w:color w:val="000000" w:themeColor="text1"/>
        </w:rPr>
        <w:t xml:space="preserve"> (accessed 11 April 2022 2022)</w:t>
      </w:r>
    </w:p>
    <w:p w14:paraId="12110F0E" w14:textId="57917735" w:rsidR="00641511" w:rsidRPr="00353E73" w:rsidRDefault="00641511" w:rsidP="00641511">
      <w:pPr>
        <w:pStyle w:val="EndNoteBibliography"/>
        <w:rPr>
          <w:rFonts w:ascii="Calibri" w:hAnsi="Calibri" w:cs="Calibri"/>
          <w:noProof/>
          <w:color w:val="000000" w:themeColor="text1"/>
        </w:rPr>
      </w:pPr>
      <w:r w:rsidRPr="00353E73">
        <w:rPr>
          <w:rFonts w:ascii="Calibri" w:hAnsi="Calibri" w:cs="Calibri"/>
          <w:noProof/>
          <w:color w:val="000000" w:themeColor="text1"/>
        </w:rPr>
        <w:t xml:space="preserve">2. Department of Statistics (2022) Labour, Employment, Wages and Productivity. </w:t>
      </w:r>
      <w:hyperlink r:id="rId7" w:history="1">
        <w:r w:rsidRPr="00353E73">
          <w:rPr>
            <w:rStyle w:val="Hyperlink"/>
            <w:rFonts w:ascii="Calibri" w:hAnsi="Calibri" w:cs="Calibri"/>
            <w:noProof/>
            <w:color w:val="000000" w:themeColor="text1"/>
          </w:rPr>
          <w:t>https://www.singstat.gov.sg/find-data/search-by-theme/economy/labour-employment-wages-and-productivity/latest-data</w:t>
        </w:r>
      </w:hyperlink>
      <w:r w:rsidRPr="00353E73">
        <w:rPr>
          <w:rFonts w:ascii="Calibri" w:hAnsi="Calibri" w:cs="Calibri"/>
          <w:noProof/>
          <w:color w:val="000000" w:themeColor="text1"/>
        </w:rPr>
        <w:t xml:space="preserve"> (accessed 18 Feb 2022 </w:t>
      </w:r>
    </w:p>
    <w:p w14:paraId="0BC976FC" w14:textId="4EEC6734" w:rsidR="00641511" w:rsidRPr="00353E73" w:rsidRDefault="00641511" w:rsidP="00641511">
      <w:pPr>
        <w:pStyle w:val="EndNoteBibliography"/>
        <w:rPr>
          <w:rFonts w:ascii="Calibri" w:hAnsi="Calibri" w:cs="Calibri"/>
          <w:noProof/>
          <w:color w:val="000000" w:themeColor="text1"/>
        </w:rPr>
      </w:pPr>
      <w:r w:rsidRPr="00353E73">
        <w:rPr>
          <w:rFonts w:ascii="Calibri" w:hAnsi="Calibri" w:cs="Calibri"/>
          <w:noProof/>
          <w:color w:val="000000" w:themeColor="text1"/>
        </w:rPr>
        <w:t xml:space="preserve">3. Department of Statistics (2022) Death and Life Expectancy. </w:t>
      </w:r>
      <w:hyperlink r:id="rId8" w:history="1">
        <w:r w:rsidRPr="00353E73">
          <w:rPr>
            <w:rStyle w:val="Hyperlink"/>
            <w:rFonts w:ascii="Calibri" w:hAnsi="Calibri" w:cs="Calibri"/>
            <w:noProof/>
            <w:color w:val="000000" w:themeColor="text1"/>
          </w:rPr>
          <w:t>https://www.singstat.gov.sg/find-data/search-by-theme/population/death-and-life-expectancy/latest-data</w:t>
        </w:r>
      </w:hyperlink>
      <w:r w:rsidRPr="00353E73">
        <w:rPr>
          <w:rFonts w:ascii="Calibri" w:hAnsi="Calibri" w:cs="Calibri"/>
          <w:noProof/>
          <w:color w:val="000000" w:themeColor="text1"/>
        </w:rPr>
        <w:t xml:space="preserve"> (accessed 11 April 2022 2022)</w:t>
      </w:r>
    </w:p>
    <w:p w14:paraId="563BE1C7" w14:textId="77777777" w:rsidR="00641511" w:rsidRPr="00353E73" w:rsidRDefault="00641511" w:rsidP="00641511">
      <w:pPr>
        <w:pStyle w:val="EndNoteBibliography"/>
        <w:rPr>
          <w:rFonts w:ascii="Calibri" w:hAnsi="Calibri" w:cs="Calibri"/>
          <w:noProof/>
          <w:color w:val="000000" w:themeColor="text1"/>
        </w:rPr>
      </w:pPr>
      <w:r w:rsidRPr="00353E73">
        <w:rPr>
          <w:rFonts w:ascii="Calibri" w:hAnsi="Calibri" w:cs="Calibri"/>
          <w:noProof/>
          <w:color w:val="000000" w:themeColor="text1"/>
        </w:rPr>
        <w:t>4. Gakidou E, Afshin A, Abajobir AA</w:t>
      </w:r>
      <w:r w:rsidRPr="00353E73">
        <w:rPr>
          <w:rFonts w:ascii="Calibri" w:hAnsi="Calibri" w:cs="Calibri"/>
          <w:i/>
          <w:noProof/>
          <w:color w:val="000000" w:themeColor="text1"/>
        </w:rPr>
        <w:t xml:space="preserve"> et al.</w:t>
      </w:r>
      <w:r w:rsidRPr="00353E73">
        <w:rPr>
          <w:rFonts w:ascii="Calibri" w:hAnsi="Calibri" w:cs="Calibri"/>
          <w:noProof/>
          <w:color w:val="000000" w:themeColor="text1"/>
        </w:rPr>
        <w:t xml:space="preserve"> (2017) Global, regional, and national comparative risk assessment of 84 behavioural, environmental and occupational, and metabolic risks or clusters of risks, 1990–2016: a systematic analysis for the Global Burden of Disease Study 2016. </w:t>
      </w:r>
      <w:r w:rsidRPr="00353E73">
        <w:rPr>
          <w:rFonts w:ascii="Calibri" w:hAnsi="Calibri" w:cs="Calibri"/>
          <w:i/>
          <w:noProof/>
          <w:color w:val="000000" w:themeColor="text1"/>
        </w:rPr>
        <w:t>The Lancet</w:t>
      </w:r>
      <w:r w:rsidRPr="00353E73">
        <w:rPr>
          <w:rFonts w:ascii="Calibri" w:hAnsi="Calibri" w:cs="Calibri"/>
          <w:noProof/>
          <w:color w:val="000000" w:themeColor="text1"/>
        </w:rPr>
        <w:t xml:space="preserve"> </w:t>
      </w:r>
      <w:r w:rsidRPr="00353E73">
        <w:rPr>
          <w:rFonts w:ascii="Calibri" w:hAnsi="Calibri" w:cs="Calibri"/>
          <w:b/>
          <w:noProof/>
          <w:color w:val="000000" w:themeColor="text1"/>
        </w:rPr>
        <w:t>390</w:t>
      </w:r>
      <w:r w:rsidRPr="00353E73">
        <w:rPr>
          <w:rFonts w:ascii="Calibri" w:hAnsi="Calibri" w:cs="Calibri"/>
          <w:noProof/>
          <w:color w:val="000000" w:themeColor="text1"/>
        </w:rPr>
        <w:t>, 1345-1422.</w:t>
      </w:r>
    </w:p>
    <w:p w14:paraId="53447FC3" w14:textId="77777777" w:rsidR="00641511" w:rsidRPr="00353E73" w:rsidRDefault="00641511" w:rsidP="00641511">
      <w:pPr>
        <w:pStyle w:val="EndNoteBibliography"/>
        <w:rPr>
          <w:rFonts w:ascii="Calibri" w:hAnsi="Calibri" w:cs="Calibri"/>
          <w:noProof/>
          <w:color w:val="000000" w:themeColor="text1"/>
        </w:rPr>
      </w:pPr>
      <w:r w:rsidRPr="00353E73">
        <w:rPr>
          <w:rFonts w:ascii="Calibri" w:hAnsi="Calibri" w:cs="Calibri"/>
          <w:noProof/>
          <w:color w:val="000000" w:themeColor="text1"/>
        </w:rPr>
        <w:t>5. Ministry of Manpower Singapore (2019) LABOUR FORCE IN SINGAPORE 2019 [MRaS Department, editor]. Singapore.</w:t>
      </w:r>
    </w:p>
    <w:p w14:paraId="386AA9FB" w14:textId="1A65ED12" w:rsidR="00E96159" w:rsidRPr="00353E73" w:rsidRDefault="00E96159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353E73">
        <w:rPr>
          <w:rFonts w:ascii="Calibri" w:hAnsi="Calibri" w:cs="Calibri"/>
          <w:color w:val="000000" w:themeColor="text1"/>
          <w:lang w:val="en-GB"/>
        </w:rPr>
        <w:fldChar w:fldCharType="end"/>
      </w:r>
    </w:p>
    <w:sectPr w:rsidR="00E96159" w:rsidRPr="00353E73" w:rsidSect="00996A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4A7"/>
    <w:multiLevelType w:val="hybridMultilevel"/>
    <w:tmpl w:val="8F542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B8"/>
    <w:multiLevelType w:val="hybridMultilevel"/>
    <w:tmpl w:val="10E43B6C"/>
    <w:lvl w:ilvl="0" w:tplc="A39C1D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7C9"/>
    <w:multiLevelType w:val="hybridMultilevel"/>
    <w:tmpl w:val="19706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08E0"/>
    <w:multiLevelType w:val="hybridMultilevel"/>
    <w:tmpl w:val="CDFE492C"/>
    <w:lvl w:ilvl="0" w:tplc="821A7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sTA0MDA2tTAztzRV0lEKTi0uzszPAykwrgUAZ98md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d9dtewpf9fd3exz5qxrwvj2vztt9a9s0ts&quot;&gt;My EndNote Library&lt;record-ids&gt;&lt;item&gt;14&lt;/item&gt;&lt;item&gt;22&lt;/item&gt;&lt;item&gt;23&lt;/item&gt;&lt;/record-ids&gt;&lt;/item&gt;&lt;/Libraries&gt;"/>
  </w:docVars>
  <w:rsids>
    <w:rsidRoot w:val="006F7A5E"/>
    <w:rsid w:val="00000128"/>
    <w:rsid w:val="00005387"/>
    <w:rsid w:val="0001040B"/>
    <w:rsid w:val="00011797"/>
    <w:rsid w:val="00015F52"/>
    <w:rsid w:val="00016A39"/>
    <w:rsid w:val="00021546"/>
    <w:rsid w:val="00022AB0"/>
    <w:rsid w:val="000368DB"/>
    <w:rsid w:val="00037371"/>
    <w:rsid w:val="00043517"/>
    <w:rsid w:val="00050F8C"/>
    <w:rsid w:val="00051F06"/>
    <w:rsid w:val="00052ED1"/>
    <w:rsid w:val="000541D4"/>
    <w:rsid w:val="00067211"/>
    <w:rsid w:val="00067225"/>
    <w:rsid w:val="00070950"/>
    <w:rsid w:val="00071EE8"/>
    <w:rsid w:val="00072508"/>
    <w:rsid w:val="00075642"/>
    <w:rsid w:val="0007648C"/>
    <w:rsid w:val="000853EC"/>
    <w:rsid w:val="00086697"/>
    <w:rsid w:val="00091310"/>
    <w:rsid w:val="00093E3A"/>
    <w:rsid w:val="000A29CB"/>
    <w:rsid w:val="000A392D"/>
    <w:rsid w:val="000A5D62"/>
    <w:rsid w:val="000B0936"/>
    <w:rsid w:val="000B0A0C"/>
    <w:rsid w:val="000B59A7"/>
    <w:rsid w:val="000C3823"/>
    <w:rsid w:val="000C5FED"/>
    <w:rsid w:val="000C6B4E"/>
    <w:rsid w:val="000C7657"/>
    <w:rsid w:val="000D2972"/>
    <w:rsid w:val="000F10F7"/>
    <w:rsid w:val="000F2666"/>
    <w:rsid w:val="000F5245"/>
    <w:rsid w:val="000F5D89"/>
    <w:rsid w:val="000F759A"/>
    <w:rsid w:val="001017DB"/>
    <w:rsid w:val="00105D6C"/>
    <w:rsid w:val="001119EE"/>
    <w:rsid w:val="001157BC"/>
    <w:rsid w:val="00122190"/>
    <w:rsid w:val="001251C3"/>
    <w:rsid w:val="00126582"/>
    <w:rsid w:val="0013154D"/>
    <w:rsid w:val="0013161A"/>
    <w:rsid w:val="00135B56"/>
    <w:rsid w:val="00136B95"/>
    <w:rsid w:val="00141095"/>
    <w:rsid w:val="00147ED4"/>
    <w:rsid w:val="0016375E"/>
    <w:rsid w:val="00166C06"/>
    <w:rsid w:val="0017464F"/>
    <w:rsid w:val="00176A5F"/>
    <w:rsid w:val="00180F4E"/>
    <w:rsid w:val="00181F11"/>
    <w:rsid w:val="00182FCF"/>
    <w:rsid w:val="0018594D"/>
    <w:rsid w:val="001863D8"/>
    <w:rsid w:val="00191511"/>
    <w:rsid w:val="0019626C"/>
    <w:rsid w:val="001967D0"/>
    <w:rsid w:val="001A701A"/>
    <w:rsid w:val="001A711B"/>
    <w:rsid w:val="001B0555"/>
    <w:rsid w:val="001B419A"/>
    <w:rsid w:val="001D1A68"/>
    <w:rsid w:val="001D3605"/>
    <w:rsid w:val="001D48B8"/>
    <w:rsid w:val="001D60F5"/>
    <w:rsid w:val="001D6D6D"/>
    <w:rsid w:val="001E046A"/>
    <w:rsid w:val="001E2695"/>
    <w:rsid w:val="001E432F"/>
    <w:rsid w:val="001E567B"/>
    <w:rsid w:val="001E6E08"/>
    <w:rsid w:val="001F4E5B"/>
    <w:rsid w:val="00203CA2"/>
    <w:rsid w:val="00206C61"/>
    <w:rsid w:val="00223AA2"/>
    <w:rsid w:val="00225401"/>
    <w:rsid w:val="00226780"/>
    <w:rsid w:val="00226AD8"/>
    <w:rsid w:val="002301E2"/>
    <w:rsid w:val="002317B2"/>
    <w:rsid w:val="0024295B"/>
    <w:rsid w:val="00245B2C"/>
    <w:rsid w:val="0025071D"/>
    <w:rsid w:val="0025157C"/>
    <w:rsid w:val="00254CEA"/>
    <w:rsid w:val="00255919"/>
    <w:rsid w:val="002601EC"/>
    <w:rsid w:val="00263048"/>
    <w:rsid w:val="002643C7"/>
    <w:rsid w:val="00272975"/>
    <w:rsid w:val="00280F23"/>
    <w:rsid w:val="00290B37"/>
    <w:rsid w:val="002912C0"/>
    <w:rsid w:val="00292951"/>
    <w:rsid w:val="00292D8B"/>
    <w:rsid w:val="0029514D"/>
    <w:rsid w:val="00295E27"/>
    <w:rsid w:val="002979F1"/>
    <w:rsid w:val="002A2541"/>
    <w:rsid w:val="002A35D3"/>
    <w:rsid w:val="002B05D6"/>
    <w:rsid w:val="002B6D16"/>
    <w:rsid w:val="002C05E3"/>
    <w:rsid w:val="002C1070"/>
    <w:rsid w:val="002C2B51"/>
    <w:rsid w:val="002C56AF"/>
    <w:rsid w:val="002C7BE5"/>
    <w:rsid w:val="002D47AB"/>
    <w:rsid w:val="002D7B6D"/>
    <w:rsid w:val="002E3AFE"/>
    <w:rsid w:val="002F5053"/>
    <w:rsid w:val="002F624C"/>
    <w:rsid w:val="002F6A00"/>
    <w:rsid w:val="002F7C13"/>
    <w:rsid w:val="00304A8C"/>
    <w:rsid w:val="00305CB3"/>
    <w:rsid w:val="00305E56"/>
    <w:rsid w:val="00306882"/>
    <w:rsid w:val="00307149"/>
    <w:rsid w:val="003133EE"/>
    <w:rsid w:val="0031559E"/>
    <w:rsid w:val="00316982"/>
    <w:rsid w:val="00321353"/>
    <w:rsid w:val="0032190B"/>
    <w:rsid w:val="003303B4"/>
    <w:rsid w:val="003312CA"/>
    <w:rsid w:val="00334797"/>
    <w:rsid w:val="003363AB"/>
    <w:rsid w:val="003406E6"/>
    <w:rsid w:val="00342798"/>
    <w:rsid w:val="00353E73"/>
    <w:rsid w:val="00362CC2"/>
    <w:rsid w:val="00363EA8"/>
    <w:rsid w:val="003765C5"/>
    <w:rsid w:val="00386123"/>
    <w:rsid w:val="00387271"/>
    <w:rsid w:val="0039460A"/>
    <w:rsid w:val="003A30C7"/>
    <w:rsid w:val="003B6A9D"/>
    <w:rsid w:val="003B7218"/>
    <w:rsid w:val="003C3733"/>
    <w:rsid w:val="003C6040"/>
    <w:rsid w:val="003C7F97"/>
    <w:rsid w:val="003D17EF"/>
    <w:rsid w:val="003E29AF"/>
    <w:rsid w:val="003E398C"/>
    <w:rsid w:val="003E412B"/>
    <w:rsid w:val="003F16BC"/>
    <w:rsid w:val="003F3100"/>
    <w:rsid w:val="003F6CD4"/>
    <w:rsid w:val="00410D5A"/>
    <w:rsid w:val="00427462"/>
    <w:rsid w:val="00434902"/>
    <w:rsid w:val="004405B2"/>
    <w:rsid w:val="00444030"/>
    <w:rsid w:val="004473F5"/>
    <w:rsid w:val="0045261B"/>
    <w:rsid w:val="00462691"/>
    <w:rsid w:val="00464B4B"/>
    <w:rsid w:val="00464DBD"/>
    <w:rsid w:val="00467505"/>
    <w:rsid w:val="004707E7"/>
    <w:rsid w:val="0048445F"/>
    <w:rsid w:val="0048799D"/>
    <w:rsid w:val="00487D8D"/>
    <w:rsid w:val="004913B9"/>
    <w:rsid w:val="004942ED"/>
    <w:rsid w:val="004948D7"/>
    <w:rsid w:val="004961CA"/>
    <w:rsid w:val="0049669E"/>
    <w:rsid w:val="004A566A"/>
    <w:rsid w:val="004A636C"/>
    <w:rsid w:val="004B1473"/>
    <w:rsid w:val="004B1CD8"/>
    <w:rsid w:val="004B1F17"/>
    <w:rsid w:val="004B3B5F"/>
    <w:rsid w:val="004B6044"/>
    <w:rsid w:val="004B71B2"/>
    <w:rsid w:val="004D0515"/>
    <w:rsid w:val="004D07C5"/>
    <w:rsid w:val="004D2080"/>
    <w:rsid w:val="004F51AF"/>
    <w:rsid w:val="00500948"/>
    <w:rsid w:val="00501087"/>
    <w:rsid w:val="00506601"/>
    <w:rsid w:val="00506ED5"/>
    <w:rsid w:val="00512B97"/>
    <w:rsid w:val="0051427A"/>
    <w:rsid w:val="00515687"/>
    <w:rsid w:val="0051581D"/>
    <w:rsid w:val="00516C35"/>
    <w:rsid w:val="00534039"/>
    <w:rsid w:val="00540D37"/>
    <w:rsid w:val="00541CDB"/>
    <w:rsid w:val="0054317F"/>
    <w:rsid w:val="005454CD"/>
    <w:rsid w:val="005458D9"/>
    <w:rsid w:val="00546973"/>
    <w:rsid w:val="005471A1"/>
    <w:rsid w:val="00550346"/>
    <w:rsid w:val="00550E09"/>
    <w:rsid w:val="00551399"/>
    <w:rsid w:val="005513F4"/>
    <w:rsid w:val="00552656"/>
    <w:rsid w:val="00553680"/>
    <w:rsid w:val="00560FC2"/>
    <w:rsid w:val="005647EC"/>
    <w:rsid w:val="0056530A"/>
    <w:rsid w:val="00566989"/>
    <w:rsid w:val="00567C75"/>
    <w:rsid w:val="0057042F"/>
    <w:rsid w:val="005735A8"/>
    <w:rsid w:val="00583051"/>
    <w:rsid w:val="005839AD"/>
    <w:rsid w:val="00584467"/>
    <w:rsid w:val="00586F52"/>
    <w:rsid w:val="005900B7"/>
    <w:rsid w:val="00590543"/>
    <w:rsid w:val="005B06EC"/>
    <w:rsid w:val="005B116B"/>
    <w:rsid w:val="005B3B97"/>
    <w:rsid w:val="005B69D5"/>
    <w:rsid w:val="005C4973"/>
    <w:rsid w:val="005E72C9"/>
    <w:rsid w:val="005F0022"/>
    <w:rsid w:val="005F36F6"/>
    <w:rsid w:val="005F486B"/>
    <w:rsid w:val="006055E4"/>
    <w:rsid w:val="006057FD"/>
    <w:rsid w:val="00617246"/>
    <w:rsid w:val="006215B2"/>
    <w:rsid w:val="006222CE"/>
    <w:rsid w:val="006222F2"/>
    <w:rsid w:val="00625626"/>
    <w:rsid w:val="0063320F"/>
    <w:rsid w:val="00633EE3"/>
    <w:rsid w:val="0063460A"/>
    <w:rsid w:val="006372F6"/>
    <w:rsid w:val="00641511"/>
    <w:rsid w:val="00643073"/>
    <w:rsid w:val="00645110"/>
    <w:rsid w:val="0066024E"/>
    <w:rsid w:val="0066162E"/>
    <w:rsid w:val="00677007"/>
    <w:rsid w:val="00687372"/>
    <w:rsid w:val="00697897"/>
    <w:rsid w:val="006A0577"/>
    <w:rsid w:val="006A6533"/>
    <w:rsid w:val="006B0E2F"/>
    <w:rsid w:val="006B39C7"/>
    <w:rsid w:val="006C0F0D"/>
    <w:rsid w:val="006C1879"/>
    <w:rsid w:val="006C5232"/>
    <w:rsid w:val="006C5635"/>
    <w:rsid w:val="006D29CB"/>
    <w:rsid w:val="006D696E"/>
    <w:rsid w:val="006E3773"/>
    <w:rsid w:val="006E52A1"/>
    <w:rsid w:val="006E6EAA"/>
    <w:rsid w:val="006F01F0"/>
    <w:rsid w:val="006F2AF1"/>
    <w:rsid w:val="006F3116"/>
    <w:rsid w:val="006F60B3"/>
    <w:rsid w:val="006F6414"/>
    <w:rsid w:val="006F7A5E"/>
    <w:rsid w:val="006F7FE4"/>
    <w:rsid w:val="00702F30"/>
    <w:rsid w:val="0071005C"/>
    <w:rsid w:val="00721746"/>
    <w:rsid w:val="00722EF4"/>
    <w:rsid w:val="00732292"/>
    <w:rsid w:val="00732E26"/>
    <w:rsid w:val="007350DA"/>
    <w:rsid w:val="00737181"/>
    <w:rsid w:val="00742586"/>
    <w:rsid w:val="0074348D"/>
    <w:rsid w:val="00746EC0"/>
    <w:rsid w:val="00756048"/>
    <w:rsid w:val="00761D11"/>
    <w:rsid w:val="00762219"/>
    <w:rsid w:val="00766A56"/>
    <w:rsid w:val="007759E6"/>
    <w:rsid w:val="007779A4"/>
    <w:rsid w:val="00784947"/>
    <w:rsid w:val="00791A16"/>
    <w:rsid w:val="00792B33"/>
    <w:rsid w:val="007950E8"/>
    <w:rsid w:val="00796297"/>
    <w:rsid w:val="007A089E"/>
    <w:rsid w:val="007A3BCF"/>
    <w:rsid w:val="007A5E8D"/>
    <w:rsid w:val="007B0664"/>
    <w:rsid w:val="007B2258"/>
    <w:rsid w:val="007B2742"/>
    <w:rsid w:val="007B2EB0"/>
    <w:rsid w:val="007B3829"/>
    <w:rsid w:val="007B5484"/>
    <w:rsid w:val="007B5FCD"/>
    <w:rsid w:val="007B729D"/>
    <w:rsid w:val="007B7C68"/>
    <w:rsid w:val="007C0371"/>
    <w:rsid w:val="007C5B8E"/>
    <w:rsid w:val="007D2F5D"/>
    <w:rsid w:val="007D363F"/>
    <w:rsid w:val="007D7ABC"/>
    <w:rsid w:val="007E098D"/>
    <w:rsid w:val="007F417A"/>
    <w:rsid w:val="00804515"/>
    <w:rsid w:val="00806E53"/>
    <w:rsid w:val="008075F1"/>
    <w:rsid w:val="0081199F"/>
    <w:rsid w:val="00815AE8"/>
    <w:rsid w:val="00824DE4"/>
    <w:rsid w:val="008269A5"/>
    <w:rsid w:val="008325AD"/>
    <w:rsid w:val="008361EC"/>
    <w:rsid w:val="00837D86"/>
    <w:rsid w:val="0084026B"/>
    <w:rsid w:val="00847E27"/>
    <w:rsid w:val="008513DC"/>
    <w:rsid w:val="00853CD2"/>
    <w:rsid w:val="00862BEA"/>
    <w:rsid w:val="00866C60"/>
    <w:rsid w:val="00867735"/>
    <w:rsid w:val="00871686"/>
    <w:rsid w:val="008717FE"/>
    <w:rsid w:val="00872275"/>
    <w:rsid w:val="00872E32"/>
    <w:rsid w:val="008741AC"/>
    <w:rsid w:val="00875ED4"/>
    <w:rsid w:val="008764B5"/>
    <w:rsid w:val="008813E8"/>
    <w:rsid w:val="00886690"/>
    <w:rsid w:val="00887D3C"/>
    <w:rsid w:val="0089139F"/>
    <w:rsid w:val="0089173E"/>
    <w:rsid w:val="008920BA"/>
    <w:rsid w:val="0089295E"/>
    <w:rsid w:val="008A5578"/>
    <w:rsid w:val="008B23BD"/>
    <w:rsid w:val="008B5674"/>
    <w:rsid w:val="008C28C5"/>
    <w:rsid w:val="008D542A"/>
    <w:rsid w:val="008E0D07"/>
    <w:rsid w:val="008E0D4A"/>
    <w:rsid w:val="008E1284"/>
    <w:rsid w:val="008E2BCB"/>
    <w:rsid w:val="008E3853"/>
    <w:rsid w:val="008E4343"/>
    <w:rsid w:val="008E4AA3"/>
    <w:rsid w:val="00902076"/>
    <w:rsid w:val="009106A2"/>
    <w:rsid w:val="00910943"/>
    <w:rsid w:val="00913BD9"/>
    <w:rsid w:val="0091585B"/>
    <w:rsid w:val="00916088"/>
    <w:rsid w:val="00920A4B"/>
    <w:rsid w:val="00920C17"/>
    <w:rsid w:val="00930C91"/>
    <w:rsid w:val="00933CA2"/>
    <w:rsid w:val="00934FFB"/>
    <w:rsid w:val="00937634"/>
    <w:rsid w:val="0094189A"/>
    <w:rsid w:val="00950CF1"/>
    <w:rsid w:val="00952A97"/>
    <w:rsid w:val="009648DC"/>
    <w:rsid w:val="00972333"/>
    <w:rsid w:val="00984DD5"/>
    <w:rsid w:val="00996AD7"/>
    <w:rsid w:val="009A661F"/>
    <w:rsid w:val="009C000E"/>
    <w:rsid w:val="009D07C7"/>
    <w:rsid w:val="009D3F93"/>
    <w:rsid w:val="009D5317"/>
    <w:rsid w:val="009E53E3"/>
    <w:rsid w:val="009F0DD0"/>
    <w:rsid w:val="009F4A2B"/>
    <w:rsid w:val="009F6871"/>
    <w:rsid w:val="00A02337"/>
    <w:rsid w:val="00A059AC"/>
    <w:rsid w:val="00A05B46"/>
    <w:rsid w:val="00A06016"/>
    <w:rsid w:val="00A06241"/>
    <w:rsid w:val="00A11F1E"/>
    <w:rsid w:val="00A15318"/>
    <w:rsid w:val="00A15C30"/>
    <w:rsid w:val="00A20B8E"/>
    <w:rsid w:val="00A21F98"/>
    <w:rsid w:val="00A241E1"/>
    <w:rsid w:val="00A26E01"/>
    <w:rsid w:val="00A27974"/>
    <w:rsid w:val="00A311B4"/>
    <w:rsid w:val="00A41F50"/>
    <w:rsid w:val="00A428C6"/>
    <w:rsid w:val="00A441DD"/>
    <w:rsid w:val="00A45133"/>
    <w:rsid w:val="00A472AA"/>
    <w:rsid w:val="00A50B46"/>
    <w:rsid w:val="00A53E50"/>
    <w:rsid w:val="00A54250"/>
    <w:rsid w:val="00A55450"/>
    <w:rsid w:val="00A560CC"/>
    <w:rsid w:val="00A60C38"/>
    <w:rsid w:val="00A63E43"/>
    <w:rsid w:val="00A6449F"/>
    <w:rsid w:val="00A66617"/>
    <w:rsid w:val="00A722E6"/>
    <w:rsid w:val="00A74DEB"/>
    <w:rsid w:val="00A84249"/>
    <w:rsid w:val="00A851E2"/>
    <w:rsid w:val="00A86852"/>
    <w:rsid w:val="00A97338"/>
    <w:rsid w:val="00AA1D46"/>
    <w:rsid w:val="00AA78F3"/>
    <w:rsid w:val="00AB32E8"/>
    <w:rsid w:val="00AC1CC4"/>
    <w:rsid w:val="00AC4836"/>
    <w:rsid w:val="00AD726D"/>
    <w:rsid w:val="00AE0667"/>
    <w:rsid w:val="00AE07A4"/>
    <w:rsid w:val="00AE1B34"/>
    <w:rsid w:val="00AE4A70"/>
    <w:rsid w:val="00AE568D"/>
    <w:rsid w:val="00AE5E69"/>
    <w:rsid w:val="00AE7153"/>
    <w:rsid w:val="00AF054D"/>
    <w:rsid w:val="00AF40D8"/>
    <w:rsid w:val="00AF42B8"/>
    <w:rsid w:val="00AF6E98"/>
    <w:rsid w:val="00B10BED"/>
    <w:rsid w:val="00B166A0"/>
    <w:rsid w:val="00B16C80"/>
    <w:rsid w:val="00B17951"/>
    <w:rsid w:val="00B214F4"/>
    <w:rsid w:val="00B22499"/>
    <w:rsid w:val="00B22DB7"/>
    <w:rsid w:val="00B22F04"/>
    <w:rsid w:val="00B23AC6"/>
    <w:rsid w:val="00B2428C"/>
    <w:rsid w:val="00B27D3F"/>
    <w:rsid w:val="00B3133E"/>
    <w:rsid w:val="00B40CE8"/>
    <w:rsid w:val="00B42AA4"/>
    <w:rsid w:val="00B478A5"/>
    <w:rsid w:val="00B47B61"/>
    <w:rsid w:val="00B57A91"/>
    <w:rsid w:val="00B60C6F"/>
    <w:rsid w:val="00B6721B"/>
    <w:rsid w:val="00B71793"/>
    <w:rsid w:val="00B77727"/>
    <w:rsid w:val="00B80CEE"/>
    <w:rsid w:val="00B868D0"/>
    <w:rsid w:val="00B92122"/>
    <w:rsid w:val="00B9324D"/>
    <w:rsid w:val="00B962A9"/>
    <w:rsid w:val="00B96802"/>
    <w:rsid w:val="00BA0FD4"/>
    <w:rsid w:val="00BA15C9"/>
    <w:rsid w:val="00BA66E5"/>
    <w:rsid w:val="00BB1B19"/>
    <w:rsid w:val="00BB1DE2"/>
    <w:rsid w:val="00BB23EE"/>
    <w:rsid w:val="00BB2986"/>
    <w:rsid w:val="00BB3808"/>
    <w:rsid w:val="00BB5467"/>
    <w:rsid w:val="00BB6C4B"/>
    <w:rsid w:val="00BB76CB"/>
    <w:rsid w:val="00BC03E1"/>
    <w:rsid w:val="00BC0B87"/>
    <w:rsid w:val="00BC6DA0"/>
    <w:rsid w:val="00BC709A"/>
    <w:rsid w:val="00BD13B8"/>
    <w:rsid w:val="00BD3A0D"/>
    <w:rsid w:val="00BD4371"/>
    <w:rsid w:val="00BE49E3"/>
    <w:rsid w:val="00BF1C4C"/>
    <w:rsid w:val="00BF3C7C"/>
    <w:rsid w:val="00BF5F4D"/>
    <w:rsid w:val="00C005A1"/>
    <w:rsid w:val="00C01F04"/>
    <w:rsid w:val="00C11EBD"/>
    <w:rsid w:val="00C127FA"/>
    <w:rsid w:val="00C16717"/>
    <w:rsid w:val="00C16BDC"/>
    <w:rsid w:val="00C17384"/>
    <w:rsid w:val="00C2641C"/>
    <w:rsid w:val="00C36160"/>
    <w:rsid w:val="00C37AC9"/>
    <w:rsid w:val="00C4073D"/>
    <w:rsid w:val="00C47C7F"/>
    <w:rsid w:val="00C500C1"/>
    <w:rsid w:val="00C543DA"/>
    <w:rsid w:val="00C56CF6"/>
    <w:rsid w:val="00C619BD"/>
    <w:rsid w:val="00C65ED6"/>
    <w:rsid w:val="00C66BD8"/>
    <w:rsid w:val="00C6730C"/>
    <w:rsid w:val="00C705C6"/>
    <w:rsid w:val="00C7195A"/>
    <w:rsid w:val="00C74C64"/>
    <w:rsid w:val="00C810E6"/>
    <w:rsid w:val="00C81549"/>
    <w:rsid w:val="00C9342F"/>
    <w:rsid w:val="00C9350E"/>
    <w:rsid w:val="00C96267"/>
    <w:rsid w:val="00CA01DD"/>
    <w:rsid w:val="00CA0933"/>
    <w:rsid w:val="00CA4483"/>
    <w:rsid w:val="00CA7891"/>
    <w:rsid w:val="00CB5619"/>
    <w:rsid w:val="00CC2EFE"/>
    <w:rsid w:val="00CD28AA"/>
    <w:rsid w:val="00CD695F"/>
    <w:rsid w:val="00CD7914"/>
    <w:rsid w:val="00CE3C17"/>
    <w:rsid w:val="00CF6AAC"/>
    <w:rsid w:val="00D02733"/>
    <w:rsid w:val="00D030C8"/>
    <w:rsid w:val="00D1010E"/>
    <w:rsid w:val="00D10D7B"/>
    <w:rsid w:val="00D114BB"/>
    <w:rsid w:val="00D14439"/>
    <w:rsid w:val="00D21345"/>
    <w:rsid w:val="00D22640"/>
    <w:rsid w:val="00D25D42"/>
    <w:rsid w:val="00D270B1"/>
    <w:rsid w:val="00D27FC4"/>
    <w:rsid w:val="00D326B8"/>
    <w:rsid w:val="00D32765"/>
    <w:rsid w:val="00D32C6A"/>
    <w:rsid w:val="00D33ECC"/>
    <w:rsid w:val="00D34160"/>
    <w:rsid w:val="00D424D8"/>
    <w:rsid w:val="00D45444"/>
    <w:rsid w:val="00D4786A"/>
    <w:rsid w:val="00D52575"/>
    <w:rsid w:val="00D54298"/>
    <w:rsid w:val="00D554A5"/>
    <w:rsid w:val="00D56464"/>
    <w:rsid w:val="00D57DC1"/>
    <w:rsid w:val="00D6239B"/>
    <w:rsid w:val="00D628CC"/>
    <w:rsid w:val="00D730DB"/>
    <w:rsid w:val="00D83305"/>
    <w:rsid w:val="00D8538B"/>
    <w:rsid w:val="00D9160F"/>
    <w:rsid w:val="00DA31DE"/>
    <w:rsid w:val="00DC2F9E"/>
    <w:rsid w:val="00DC3EBB"/>
    <w:rsid w:val="00DC4F7F"/>
    <w:rsid w:val="00DC5689"/>
    <w:rsid w:val="00DC71FA"/>
    <w:rsid w:val="00DD3E98"/>
    <w:rsid w:val="00DD5061"/>
    <w:rsid w:val="00DE12AA"/>
    <w:rsid w:val="00DE609A"/>
    <w:rsid w:val="00DF0C93"/>
    <w:rsid w:val="00DF6A49"/>
    <w:rsid w:val="00DF7AB9"/>
    <w:rsid w:val="00E00626"/>
    <w:rsid w:val="00E00B41"/>
    <w:rsid w:val="00E02023"/>
    <w:rsid w:val="00E024D0"/>
    <w:rsid w:val="00E03EFB"/>
    <w:rsid w:val="00E05AB4"/>
    <w:rsid w:val="00E07778"/>
    <w:rsid w:val="00E10970"/>
    <w:rsid w:val="00E1134C"/>
    <w:rsid w:val="00E31541"/>
    <w:rsid w:val="00E434A6"/>
    <w:rsid w:val="00E46E4C"/>
    <w:rsid w:val="00E50484"/>
    <w:rsid w:val="00E51B87"/>
    <w:rsid w:val="00E656FC"/>
    <w:rsid w:val="00E66810"/>
    <w:rsid w:val="00E66ED4"/>
    <w:rsid w:val="00E73F9B"/>
    <w:rsid w:val="00E74661"/>
    <w:rsid w:val="00E767E9"/>
    <w:rsid w:val="00E810A9"/>
    <w:rsid w:val="00E84927"/>
    <w:rsid w:val="00E90999"/>
    <w:rsid w:val="00E94A00"/>
    <w:rsid w:val="00E94DAB"/>
    <w:rsid w:val="00E96159"/>
    <w:rsid w:val="00EA5F7B"/>
    <w:rsid w:val="00EA618C"/>
    <w:rsid w:val="00EB530F"/>
    <w:rsid w:val="00EB7778"/>
    <w:rsid w:val="00EB793A"/>
    <w:rsid w:val="00EC3724"/>
    <w:rsid w:val="00EE018E"/>
    <w:rsid w:val="00EE1254"/>
    <w:rsid w:val="00EE349F"/>
    <w:rsid w:val="00EF603E"/>
    <w:rsid w:val="00EF76A3"/>
    <w:rsid w:val="00F021B2"/>
    <w:rsid w:val="00F03C53"/>
    <w:rsid w:val="00F1171E"/>
    <w:rsid w:val="00F11F19"/>
    <w:rsid w:val="00F12214"/>
    <w:rsid w:val="00F15496"/>
    <w:rsid w:val="00F2373C"/>
    <w:rsid w:val="00F2429E"/>
    <w:rsid w:val="00F3435F"/>
    <w:rsid w:val="00F3459F"/>
    <w:rsid w:val="00F37C89"/>
    <w:rsid w:val="00F44A1B"/>
    <w:rsid w:val="00F46429"/>
    <w:rsid w:val="00F50B98"/>
    <w:rsid w:val="00F52D21"/>
    <w:rsid w:val="00F541E0"/>
    <w:rsid w:val="00F54664"/>
    <w:rsid w:val="00F621E6"/>
    <w:rsid w:val="00F63222"/>
    <w:rsid w:val="00F66DBB"/>
    <w:rsid w:val="00F7055C"/>
    <w:rsid w:val="00F7262F"/>
    <w:rsid w:val="00F73406"/>
    <w:rsid w:val="00F73E1A"/>
    <w:rsid w:val="00F77433"/>
    <w:rsid w:val="00F779F0"/>
    <w:rsid w:val="00F8199F"/>
    <w:rsid w:val="00F84561"/>
    <w:rsid w:val="00F87D7B"/>
    <w:rsid w:val="00F96342"/>
    <w:rsid w:val="00FA380D"/>
    <w:rsid w:val="00FA48A8"/>
    <w:rsid w:val="00FB42C7"/>
    <w:rsid w:val="00FB7BC7"/>
    <w:rsid w:val="00FC0416"/>
    <w:rsid w:val="00FC23C3"/>
    <w:rsid w:val="00FC3B25"/>
    <w:rsid w:val="00FC3DAD"/>
    <w:rsid w:val="00FC7066"/>
    <w:rsid w:val="00FD1363"/>
    <w:rsid w:val="00FD1F25"/>
    <w:rsid w:val="00FD27E2"/>
    <w:rsid w:val="00FD7347"/>
    <w:rsid w:val="00FE008D"/>
    <w:rsid w:val="00FE5B2D"/>
    <w:rsid w:val="00FF0BA6"/>
    <w:rsid w:val="00FF4F5A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C90D"/>
  <w14:defaultImageDpi w14:val="32767"/>
  <w15:chartTrackingRefBased/>
  <w15:docId w15:val="{BC4DDDA1-29C0-B94F-99C9-06DE21D7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7D3C"/>
    <w:rPr>
      <w:rFonts w:ascii="Times New Roman" w:eastAsia="Times New Roman" w:hAnsi="Times New Roman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5E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5E"/>
    <w:rPr>
      <w:rFonts w:eastAsiaTheme="minorHAnsi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6F7A5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CA"/>
    <w:rPr>
      <w:rFonts w:eastAsiaTheme="minorHAnsi"/>
      <w:b/>
      <w:bCs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15318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Revision">
    <w:name w:val="Revision"/>
    <w:hidden/>
    <w:uiPriority w:val="99"/>
    <w:semiHidden/>
    <w:rsid w:val="007779A4"/>
    <w:rPr>
      <w:rFonts w:ascii="Times New Roman" w:eastAsia="Times New Roman" w:hAnsi="Times New Roman" w:cs="Times New Roman"/>
      <w:lang w:val="en-SG"/>
    </w:rPr>
  </w:style>
  <w:style w:type="table" w:styleId="TableGridLight">
    <w:name w:val="Grid Table Light"/>
    <w:basedOn w:val="TableNormal"/>
    <w:uiPriority w:val="40"/>
    <w:rsid w:val="00054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11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134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E96159"/>
    <w:pPr>
      <w:jc w:val="center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96159"/>
    <w:rPr>
      <w:rFonts w:eastAsiaTheme="minorHAnsi"/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96159"/>
    <w:rPr>
      <w:rFonts w:ascii="Times New Roman" w:eastAsia="Times New Roman" w:hAnsi="Times New Roman" w:cs="Times New Roman"/>
      <w:lang w:val="en-SG" w:eastAsia="en-US"/>
    </w:rPr>
  </w:style>
  <w:style w:type="paragraph" w:customStyle="1" w:styleId="EndNoteBibliography">
    <w:name w:val="EndNote Bibliography"/>
    <w:basedOn w:val="Normal"/>
    <w:link w:val="EndNoteBibliographyChar"/>
    <w:rsid w:val="00E96159"/>
  </w:style>
  <w:style w:type="character" w:customStyle="1" w:styleId="EndNoteBibliographyChar">
    <w:name w:val="EndNote Bibliography Char"/>
    <w:basedOn w:val="ListParagraphChar"/>
    <w:link w:val="EndNoteBibliography"/>
    <w:rsid w:val="00E96159"/>
    <w:rPr>
      <w:rFonts w:ascii="Times New Roman" w:eastAsia="Times New Roman" w:hAnsi="Times New Roman" w:cs="Times New Roman"/>
      <w:lang w:val="en-SG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3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gstat.gov.sg/find-data/search-by-theme/population/death-and-life-expectancy/latest-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ngstat.gov.sg/find-data/search-by-theme/economy/labour-employment-wages-and-productivity/latest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gstat.gov.sg/find-data/search-by-theme/population/population-and-population-structure/latest-data" TargetMode="External"/><Relationship Id="rId5" Type="http://schemas.openxmlformats.org/officeDocument/2006/relationships/hyperlink" Target="http://ghdx.healthdata.org/gbd-results-to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Koh Jia En</dc:creator>
  <cp:keywords/>
  <dc:description/>
  <cp:lastModifiedBy>Matthew Woodcock</cp:lastModifiedBy>
  <cp:revision>2</cp:revision>
  <dcterms:created xsi:type="dcterms:W3CDTF">2022-05-12T11:04:00Z</dcterms:created>
  <dcterms:modified xsi:type="dcterms:W3CDTF">2022-05-12T11:04:00Z</dcterms:modified>
</cp:coreProperties>
</file>