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C8E3" w14:textId="187A6009" w:rsidR="009F431D" w:rsidRPr="00DC76AC" w:rsidRDefault="009F431D" w:rsidP="009F431D">
      <w:pPr>
        <w:keepNext/>
        <w:spacing w:line="360" w:lineRule="auto"/>
        <w:rPr>
          <w:rFonts w:ascii="Times New Roman" w:hAnsi="Times New Roman" w:cs="Times New Roman"/>
          <w:b/>
        </w:rPr>
      </w:pPr>
      <w:r w:rsidRPr="00DC76AC">
        <w:rPr>
          <w:rFonts w:ascii="Times New Roman" w:hAnsi="Times New Roman" w:cs="Times New Roman"/>
          <w:b/>
        </w:rPr>
        <w:t>Supplementary Material</w:t>
      </w:r>
    </w:p>
    <w:p w14:paraId="24C29BF6" w14:textId="77777777" w:rsidR="009F431D" w:rsidRPr="00DC76AC" w:rsidRDefault="009F431D" w:rsidP="009F431D">
      <w:pPr>
        <w:keepNext/>
        <w:spacing w:line="360" w:lineRule="auto"/>
        <w:jc w:val="center"/>
        <w:rPr>
          <w:rFonts w:ascii="Times New Roman" w:hAnsi="Times New Roman" w:cs="Times New Roman"/>
        </w:rPr>
      </w:pPr>
      <w:r w:rsidRPr="00DC76AC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4A7AEC05" wp14:editId="68BD4BD6">
            <wp:extent cx="509016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4" t="9180"/>
                    <a:stretch/>
                  </pic:blipFill>
                  <pic:spPr bwMode="auto">
                    <a:xfrm>
                      <a:off x="0" y="0"/>
                      <a:ext cx="5090160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58E5EAA2" w14:textId="77777777" w:rsidR="009F431D" w:rsidRPr="00DC76AC" w:rsidRDefault="009F431D" w:rsidP="009F431D">
      <w:pPr>
        <w:keepNext/>
        <w:spacing w:line="360" w:lineRule="auto"/>
        <w:rPr>
          <w:rFonts w:ascii="Times New Roman" w:hAnsi="Times New Roman" w:cs="Times New Roman"/>
        </w:rPr>
        <w:sectPr w:rsidR="009F431D" w:rsidRPr="00DC76AC" w:rsidSect="00F736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C76AC">
        <w:rPr>
          <w:rFonts w:ascii="Times New Roman" w:hAnsi="Times New Roman" w:cs="Times New Roman"/>
        </w:rPr>
        <w:t>Figure S1: Flow chart of recruitment</w:t>
      </w:r>
    </w:p>
    <w:p w14:paraId="07672085" w14:textId="77777777" w:rsidR="009F431D" w:rsidRPr="00DC76AC" w:rsidRDefault="009F431D" w:rsidP="009F431D">
      <w:pPr>
        <w:keepNext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729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226"/>
        <w:gridCol w:w="2549"/>
      </w:tblGrid>
      <w:tr w:rsidR="009F431D" w:rsidRPr="00DC76AC" w14:paraId="23807805" w14:textId="77777777" w:rsidTr="005A1A0C"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A5755BA" w14:textId="77777777" w:rsidR="009F431D" w:rsidRPr="00DC76AC" w:rsidRDefault="009F431D" w:rsidP="005A1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6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Table S1:</w:t>
            </w:r>
            <w:r w:rsidRPr="00DC76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Changes in microvascular forearm blood flow measured by laser Doppler following post-occlusive reactive hyperaemia (PORH) after imputation of missing data points (see methods for details). 23 young and old participants were included in the analysis. </w:t>
            </w:r>
          </w:p>
        </w:tc>
      </w:tr>
      <w:tr w:rsidR="00E93B58" w:rsidRPr="00DC76AC" w14:paraId="61E36182" w14:textId="77777777" w:rsidTr="005A1A0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891B2E" w14:textId="77777777" w:rsidR="009F431D" w:rsidRPr="00DC76AC" w:rsidRDefault="009F431D" w:rsidP="005A1A0C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E47281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 100g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097A95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b/>
                <w:sz w:val="16"/>
                <w:szCs w:val="16"/>
              </w:rPr>
              <w:t>BR 200g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B0770D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 300g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D40E27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1000mg </w:t>
            </w: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DC76A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14:paraId="572FE59A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3883376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B2B32FF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Time (T), p=0.70</w:t>
            </w:r>
          </w:p>
          <w:p w14:paraId="43504783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Intervention (I), p=0.14</w:t>
            </w:r>
          </w:p>
          <w:p w14:paraId="79D45590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T*I, p=0.38</w:t>
            </w:r>
          </w:p>
        </w:tc>
      </w:tr>
      <w:tr w:rsidR="00E93B58" w:rsidRPr="00DC76AC" w14:paraId="7B0A8C55" w14:textId="77777777" w:rsidTr="005A1A0C">
        <w:tc>
          <w:tcPr>
            <w:tcW w:w="0" w:type="auto"/>
            <w:tcBorders>
              <w:top w:val="single" w:sz="4" w:space="0" w:color="auto"/>
            </w:tcBorders>
          </w:tcPr>
          <w:p w14:paraId="6B209D27" w14:textId="77777777" w:rsidR="009F431D" w:rsidRPr="00DC76AC" w:rsidRDefault="009F431D" w:rsidP="005A1A0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39D4B5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A20131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147BAE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D9BBF8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0CF960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C7C160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52501F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b/>
                <w:sz w:val="16"/>
                <w:szCs w:val="16"/>
              </w:rPr>
              <w:t>Minutes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D8A3B5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0D268D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8CDA39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9C7EDF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FBBF365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51" w:type="dxa"/>
            <w:vMerge/>
          </w:tcPr>
          <w:p w14:paraId="68756758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3B58" w:rsidRPr="00DC76AC" w14:paraId="11BD74BF" w14:textId="77777777" w:rsidTr="005A1A0C">
        <w:tc>
          <w:tcPr>
            <w:tcW w:w="0" w:type="auto"/>
            <w:tcBorders>
              <w:top w:val="single" w:sz="4" w:space="0" w:color="auto"/>
            </w:tcBorders>
          </w:tcPr>
          <w:p w14:paraId="5EB69243" w14:textId="77777777" w:rsidR="009F431D" w:rsidRPr="00DC76AC" w:rsidRDefault="009F431D" w:rsidP="005A1A0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15F812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DA9B4F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851E8F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F22D57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C230D5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D82722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620F54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F2EA66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171F92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23200B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913783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00B7D9F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iCs/>
                <w:sz w:val="16"/>
                <w:szCs w:val="16"/>
              </w:rPr>
              <w:t>300</w:t>
            </w:r>
          </w:p>
        </w:tc>
        <w:tc>
          <w:tcPr>
            <w:tcW w:w="2051" w:type="dxa"/>
            <w:vMerge/>
          </w:tcPr>
          <w:p w14:paraId="33DF1F38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3B58" w:rsidRPr="00DC76AC" w14:paraId="2C71A03B" w14:textId="77777777" w:rsidTr="005A1A0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348F37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b/>
                <w:sz w:val="16"/>
                <w:szCs w:val="16"/>
              </w:rPr>
              <w:t>PORH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6703EC" w14:textId="1DDE56C0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3.62±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0E77DC" w14:textId="04E8144D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3.14±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1907F7" w14:textId="7777777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3.32±1.07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536ECA" w14:textId="7275CBF0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3.38±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CE0FF9" w14:textId="1D1764A6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3.40±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47C66F" w14:textId="6D5D1667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3.54±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945748" w14:textId="20999C14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2.88±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E53F86" w14:textId="091698B0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2.79±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C2AD67" w14:textId="4727DC9C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3.18±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832B53" w14:textId="3A652FD9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3.24±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21E000" w14:textId="1990A066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3.46±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5.27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09B3978" w14:textId="14E814FC" w:rsidR="009F431D" w:rsidRPr="00DC76AC" w:rsidRDefault="009F431D" w:rsidP="005A1A0C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6AC">
              <w:rPr>
                <w:rFonts w:ascii="Times New Roman" w:hAnsi="Times New Roman" w:cs="Times New Roman"/>
                <w:sz w:val="16"/>
                <w:szCs w:val="16"/>
              </w:rPr>
              <w:t>3.18±</w:t>
            </w:r>
            <w:r w:rsidR="00E93B58" w:rsidRPr="00DC76AC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14:paraId="2DF85F6D" w14:textId="77777777" w:rsidR="009F431D" w:rsidRPr="00DC76AC" w:rsidRDefault="009F431D" w:rsidP="005A1A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E1CC3CA" w14:textId="77777777" w:rsidR="009F431D" w:rsidRPr="00DC76AC" w:rsidRDefault="009F431D" w:rsidP="009F431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8FD361" w14:textId="78A68D42" w:rsidR="009F431D" w:rsidRPr="00DC76AC" w:rsidRDefault="00E93B58" w:rsidP="009F431D">
      <w:pPr>
        <w:pStyle w:val="Caption"/>
      </w:pPr>
      <w:r w:rsidRPr="00DC76AC">
        <w:t xml:space="preserve">Data presented as mean ± SD. </w:t>
      </w:r>
      <w:r w:rsidR="009F431D" w:rsidRPr="00DC76AC">
        <w:t>BR = whole beetroot, KNO</w:t>
      </w:r>
      <w:r w:rsidR="009F431D" w:rsidRPr="00DC76AC">
        <w:rPr>
          <w:vertAlign w:val="superscript"/>
        </w:rPr>
        <w:t>3</w:t>
      </w:r>
      <w:r w:rsidR="009F431D" w:rsidRPr="00DC76AC">
        <w:t xml:space="preserve"> = potassium nitrate (positive control). Repeated measure-Anova was used to test the effects of Time, </w:t>
      </w:r>
      <w:proofErr w:type="gramStart"/>
      <w:r w:rsidR="009F431D" w:rsidRPr="00DC76AC">
        <w:t>Intervention</w:t>
      </w:r>
      <w:proofErr w:type="gramEnd"/>
      <w:r w:rsidR="009F431D" w:rsidRPr="00DC76AC">
        <w:t xml:space="preserve"> and their interaction (independent factors) on PROH (dependent variable). One participant had all PROH value missing.</w:t>
      </w:r>
    </w:p>
    <w:p w14:paraId="748C0EA8" w14:textId="77777777" w:rsidR="009C7D82" w:rsidRPr="00DC76AC" w:rsidRDefault="009C7D82" w:rsidP="009F431D">
      <w:pPr>
        <w:keepNext/>
        <w:spacing w:line="360" w:lineRule="auto"/>
        <w:rPr>
          <w:rFonts w:ascii="Times New Roman" w:hAnsi="Times New Roman" w:cs="Times New Roman"/>
        </w:rPr>
        <w:sectPr w:rsidR="009C7D82" w:rsidRPr="00DC76AC" w:rsidSect="00F736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3754"/>
      </w:tblGrid>
      <w:tr w:rsidR="009C7D82" w:rsidRPr="00DC76AC" w14:paraId="120A72FD" w14:textId="77777777" w:rsidTr="0012707B">
        <w:tc>
          <w:tcPr>
            <w:tcW w:w="7508" w:type="dxa"/>
            <w:gridSpan w:val="2"/>
          </w:tcPr>
          <w:p w14:paraId="690C2593" w14:textId="0017388B" w:rsidR="009C7D82" w:rsidRPr="00DC76AC" w:rsidRDefault="009C7D82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  <w:b/>
                <w:bCs/>
              </w:rPr>
              <w:lastRenderedPageBreak/>
              <w:t>Table S2:</w:t>
            </w:r>
            <w:r w:rsidRPr="00DC76AC">
              <w:rPr>
                <w:rFonts w:ascii="Times New Roman" w:hAnsi="Times New Roman" w:cs="Times New Roman"/>
              </w:rPr>
              <w:t xml:space="preserve"> </w:t>
            </w:r>
            <w:r w:rsidR="00CE51C3" w:rsidRPr="00DC76AC">
              <w:rPr>
                <w:rFonts w:ascii="Times New Roman" w:hAnsi="Times New Roman" w:cs="Times New Roman"/>
              </w:rPr>
              <w:t>P values for m</w:t>
            </w:r>
            <w:r w:rsidRPr="00DC76AC">
              <w:rPr>
                <w:rFonts w:ascii="Times New Roman" w:hAnsi="Times New Roman" w:cs="Times New Roman"/>
              </w:rPr>
              <w:t xml:space="preserve">odel parameters for the repeated measure </w:t>
            </w:r>
            <w:r w:rsidR="0012707B" w:rsidRPr="00DC76AC">
              <w:rPr>
                <w:rFonts w:ascii="Times New Roman" w:hAnsi="Times New Roman" w:cs="Times New Roman"/>
              </w:rPr>
              <w:t>A</w:t>
            </w:r>
            <w:r w:rsidRPr="00DC76AC">
              <w:rPr>
                <w:rFonts w:ascii="Times New Roman" w:hAnsi="Times New Roman" w:cs="Times New Roman"/>
              </w:rPr>
              <w:t xml:space="preserve">nova testing whether randomisation sequence had a </w:t>
            </w:r>
            <w:proofErr w:type="gramStart"/>
            <w:r w:rsidRPr="00DC76AC">
              <w:rPr>
                <w:rFonts w:ascii="Times New Roman" w:hAnsi="Times New Roman" w:cs="Times New Roman"/>
              </w:rPr>
              <w:t>confounding effects</w:t>
            </w:r>
            <w:proofErr w:type="gramEnd"/>
            <w:r w:rsidRPr="00DC76AC">
              <w:rPr>
                <w:rFonts w:ascii="Times New Roman" w:hAnsi="Times New Roman" w:cs="Times New Roman"/>
              </w:rPr>
              <w:t xml:space="preserve"> on changes in systolic and diastolic blood pressure (BP)</w:t>
            </w:r>
          </w:p>
        </w:tc>
      </w:tr>
      <w:tr w:rsidR="0012707B" w:rsidRPr="00DC76AC" w14:paraId="092809A5" w14:textId="77777777" w:rsidTr="00D54F14">
        <w:tc>
          <w:tcPr>
            <w:tcW w:w="3754" w:type="dxa"/>
          </w:tcPr>
          <w:p w14:paraId="2B23EA18" w14:textId="77777777" w:rsidR="0012707B" w:rsidRPr="00DC76AC" w:rsidRDefault="0012707B" w:rsidP="009F431D">
            <w:pPr>
              <w:keepNext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C76AC">
              <w:rPr>
                <w:rFonts w:ascii="Times New Roman" w:hAnsi="Times New Roman" w:cs="Times New Roman"/>
                <w:b/>
                <w:bCs/>
              </w:rPr>
              <w:t>Systolic BP</w:t>
            </w:r>
          </w:p>
        </w:tc>
        <w:tc>
          <w:tcPr>
            <w:tcW w:w="3754" w:type="dxa"/>
          </w:tcPr>
          <w:p w14:paraId="13002F6C" w14:textId="1BD85265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6AC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12707B" w:rsidRPr="00DC76AC" w14:paraId="32AFEA96" w14:textId="77777777" w:rsidTr="00976E63">
        <w:tc>
          <w:tcPr>
            <w:tcW w:w="3754" w:type="dxa"/>
          </w:tcPr>
          <w:p w14:paraId="53E2F890" w14:textId="77777777" w:rsidR="0012707B" w:rsidRPr="00DC76AC" w:rsidRDefault="0012707B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Time</w:t>
            </w:r>
          </w:p>
          <w:p w14:paraId="3CD81433" w14:textId="77777777" w:rsidR="0012707B" w:rsidRPr="00DC76AC" w:rsidRDefault="0012707B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Intervention</w:t>
            </w:r>
          </w:p>
          <w:p w14:paraId="27B3E4EC" w14:textId="77777777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 xml:space="preserve">Sequence </w:t>
            </w:r>
          </w:p>
          <w:p w14:paraId="3C6814EF" w14:textId="0CE426DF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Time*Sequence</w:t>
            </w:r>
          </w:p>
          <w:p w14:paraId="21CCD753" w14:textId="7FF7D70F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Sequence*Intervention</w:t>
            </w:r>
          </w:p>
        </w:tc>
        <w:tc>
          <w:tcPr>
            <w:tcW w:w="3754" w:type="dxa"/>
          </w:tcPr>
          <w:p w14:paraId="0A15A5DA" w14:textId="77777777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&lt;0.001</w:t>
            </w:r>
          </w:p>
          <w:p w14:paraId="3EB8A55A" w14:textId="77777777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0.81</w:t>
            </w:r>
          </w:p>
          <w:p w14:paraId="14779A30" w14:textId="77777777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0.84</w:t>
            </w:r>
          </w:p>
          <w:p w14:paraId="518D704D" w14:textId="77777777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0.19</w:t>
            </w:r>
          </w:p>
          <w:p w14:paraId="36388E17" w14:textId="5CBCC58E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0.29</w:t>
            </w:r>
          </w:p>
        </w:tc>
      </w:tr>
      <w:tr w:rsidR="0012707B" w:rsidRPr="00DC76AC" w14:paraId="3B8C50D9" w14:textId="77777777" w:rsidTr="006B469D">
        <w:tc>
          <w:tcPr>
            <w:tcW w:w="3754" w:type="dxa"/>
          </w:tcPr>
          <w:p w14:paraId="4F1004B2" w14:textId="77777777" w:rsidR="0012707B" w:rsidRPr="00DC76AC" w:rsidRDefault="0012707B" w:rsidP="009F431D">
            <w:pPr>
              <w:keepNext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C76AC">
              <w:rPr>
                <w:rFonts w:ascii="Times New Roman" w:hAnsi="Times New Roman" w:cs="Times New Roman"/>
                <w:b/>
                <w:bCs/>
              </w:rPr>
              <w:t>Diastolic BP</w:t>
            </w:r>
          </w:p>
        </w:tc>
        <w:tc>
          <w:tcPr>
            <w:tcW w:w="3754" w:type="dxa"/>
          </w:tcPr>
          <w:p w14:paraId="74ECCD49" w14:textId="65BFBC5B" w:rsidR="0012707B" w:rsidRPr="00DC76AC" w:rsidRDefault="0012707B" w:rsidP="0012707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6AC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12707B" w:rsidRPr="00DC76AC" w14:paraId="746DFF78" w14:textId="77777777" w:rsidTr="005D5709">
        <w:tc>
          <w:tcPr>
            <w:tcW w:w="3754" w:type="dxa"/>
          </w:tcPr>
          <w:p w14:paraId="768EA4F3" w14:textId="77777777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Time</w:t>
            </w:r>
          </w:p>
          <w:p w14:paraId="595B00CD" w14:textId="77777777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Intervention</w:t>
            </w:r>
          </w:p>
          <w:p w14:paraId="229A2568" w14:textId="77777777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 xml:space="preserve">Sequence </w:t>
            </w:r>
          </w:p>
          <w:p w14:paraId="73D56F63" w14:textId="42A081A3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Time*Sequence</w:t>
            </w:r>
          </w:p>
          <w:p w14:paraId="264BE0DB" w14:textId="5E1F0D11" w:rsidR="0012707B" w:rsidRPr="00DC76AC" w:rsidRDefault="0012707B" w:rsidP="0012707B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Sequence*Intervention</w:t>
            </w:r>
          </w:p>
        </w:tc>
        <w:tc>
          <w:tcPr>
            <w:tcW w:w="3754" w:type="dxa"/>
          </w:tcPr>
          <w:p w14:paraId="59F5B069" w14:textId="77777777" w:rsidR="00990C8B" w:rsidRPr="00DC76AC" w:rsidRDefault="00990C8B" w:rsidP="00990C8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&lt;0.001</w:t>
            </w:r>
          </w:p>
          <w:p w14:paraId="417DA348" w14:textId="4E6E3FDE" w:rsidR="00990C8B" w:rsidRPr="00DC76AC" w:rsidRDefault="00990C8B" w:rsidP="00990C8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0.86</w:t>
            </w:r>
          </w:p>
          <w:p w14:paraId="0BEDD3A8" w14:textId="5112DFCB" w:rsidR="00990C8B" w:rsidRPr="00DC76AC" w:rsidRDefault="00990C8B" w:rsidP="00990C8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0.88</w:t>
            </w:r>
          </w:p>
          <w:p w14:paraId="3DDD86FC" w14:textId="6F6D544C" w:rsidR="00990C8B" w:rsidRPr="00DC76AC" w:rsidRDefault="00990C8B" w:rsidP="00990C8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0.34</w:t>
            </w:r>
          </w:p>
          <w:p w14:paraId="789E8555" w14:textId="7C90C429" w:rsidR="0012707B" w:rsidRPr="00DC76AC" w:rsidRDefault="00990C8B" w:rsidP="00990C8B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0.33</w:t>
            </w:r>
          </w:p>
        </w:tc>
      </w:tr>
    </w:tbl>
    <w:p w14:paraId="38AD1684" w14:textId="77777777" w:rsidR="009F431D" w:rsidRPr="00DC76AC" w:rsidRDefault="009F431D" w:rsidP="009F431D">
      <w:pPr>
        <w:keepNext/>
        <w:spacing w:line="360" w:lineRule="auto"/>
        <w:rPr>
          <w:rFonts w:ascii="Times New Roman" w:hAnsi="Times New Roman" w:cs="Times New Roman"/>
        </w:rPr>
        <w:sectPr w:rsidR="009F431D" w:rsidRPr="00DC76AC" w:rsidSect="00F736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646"/>
        <w:gridCol w:w="6237"/>
      </w:tblGrid>
      <w:tr w:rsidR="000042E0" w:rsidRPr="00DC76AC" w14:paraId="69F53BC5" w14:textId="77777777" w:rsidTr="00622CD0">
        <w:tc>
          <w:tcPr>
            <w:tcW w:w="12753" w:type="dxa"/>
            <w:gridSpan w:val="3"/>
          </w:tcPr>
          <w:p w14:paraId="449D849C" w14:textId="13AD74AB" w:rsidR="000042E0" w:rsidRPr="00DC76AC" w:rsidRDefault="000042E0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  <w:b/>
                <w:bCs/>
              </w:rPr>
              <w:lastRenderedPageBreak/>
              <w:t>Table S3:</w:t>
            </w:r>
            <w:r w:rsidRPr="00DC76AC">
              <w:rPr>
                <w:rFonts w:ascii="Times New Roman" w:hAnsi="Times New Roman" w:cs="Times New Roman"/>
              </w:rPr>
              <w:t xml:space="preserve"> Repeated-Measure Correlations</w:t>
            </w:r>
            <w:r w:rsidR="00BC7F9E" w:rsidRPr="00DC76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1024" w:rsidRPr="00DC76AC">
              <w:rPr>
                <w:rFonts w:ascii="Times New Roman" w:hAnsi="Times New Roman" w:cs="Times New Roman"/>
              </w:rPr>
              <w:t>r</w:t>
            </w:r>
            <w:r w:rsidR="009F1024" w:rsidRPr="00DC76AC">
              <w:rPr>
                <w:rFonts w:ascii="Times New Roman" w:hAnsi="Times New Roman" w:cs="Times New Roman"/>
                <w:vertAlign w:val="subscript"/>
              </w:rPr>
              <w:t>rm</w:t>
            </w:r>
            <w:proofErr w:type="spellEnd"/>
            <w:r w:rsidR="009F1024" w:rsidRPr="00DC76AC">
              <w:rPr>
                <w:rFonts w:ascii="Times New Roman" w:hAnsi="Times New Roman" w:cs="Times New Roman"/>
              </w:rPr>
              <w:t>)</w:t>
            </w:r>
            <w:r w:rsidR="00BC7F9E" w:rsidRPr="00DC76AC">
              <w:rPr>
                <w:rFonts w:ascii="Times New Roman" w:hAnsi="Times New Roman" w:cs="Times New Roman"/>
              </w:rPr>
              <w:t xml:space="preserve"> testing the association between changes (∆) in diastolic </w:t>
            </w:r>
            <w:r w:rsidR="009F1024" w:rsidRPr="00DC76AC">
              <w:rPr>
                <w:rFonts w:ascii="Times New Roman" w:hAnsi="Times New Roman" w:cs="Times New Roman"/>
              </w:rPr>
              <w:t>blood pressure (DBP) with changes in nitrate (NO</w:t>
            </w:r>
            <w:r w:rsidR="009F1024" w:rsidRPr="00DC76AC">
              <w:rPr>
                <w:rFonts w:ascii="Times New Roman" w:hAnsi="Times New Roman" w:cs="Times New Roman"/>
                <w:vertAlign w:val="subscript"/>
              </w:rPr>
              <w:t>3</w:t>
            </w:r>
            <w:r w:rsidR="009F1024" w:rsidRPr="00DC76AC">
              <w:rPr>
                <w:rFonts w:ascii="Times New Roman" w:hAnsi="Times New Roman" w:cs="Times New Roman"/>
              </w:rPr>
              <w:t>) and nitrite (NO</w:t>
            </w:r>
            <w:r w:rsidR="009F1024" w:rsidRPr="00DC76AC">
              <w:rPr>
                <w:rFonts w:ascii="Times New Roman" w:hAnsi="Times New Roman" w:cs="Times New Roman"/>
                <w:vertAlign w:val="subscript"/>
              </w:rPr>
              <w:t>2</w:t>
            </w:r>
            <w:r w:rsidR="009F1024" w:rsidRPr="00DC76AC">
              <w:rPr>
                <w:rFonts w:ascii="Times New Roman" w:hAnsi="Times New Roman" w:cs="Times New Roman"/>
              </w:rPr>
              <w:t xml:space="preserve">) concentrations in young and old participants. </w:t>
            </w:r>
          </w:p>
        </w:tc>
      </w:tr>
      <w:tr w:rsidR="003C3B33" w:rsidRPr="00DC76AC" w14:paraId="3609F00D" w14:textId="77777777" w:rsidTr="003C3B33">
        <w:tc>
          <w:tcPr>
            <w:tcW w:w="870" w:type="dxa"/>
            <w:vMerge w:val="restart"/>
          </w:tcPr>
          <w:p w14:paraId="6D22CFA3" w14:textId="5EDD1994" w:rsidR="003C3B33" w:rsidRPr="00DC76AC" w:rsidRDefault="003C3B33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Young</w:t>
            </w:r>
          </w:p>
        </w:tc>
        <w:tc>
          <w:tcPr>
            <w:tcW w:w="5646" w:type="dxa"/>
          </w:tcPr>
          <w:p w14:paraId="0002F260" w14:textId="39895B6D" w:rsidR="003C3B33" w:rsidRPr="00DC76AC" w:rsidRDefault="003C3B33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 xml:space="preserve">∆DBP 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300min - Bas </w:t>
            </w:r>
            <w:r w:rsidRPr="00DC76AC">
              <w:rPr>
                <w:rFonts w:ascii="Times New Roman" w:hAnsi="Times New Roman" w:cs="Times New Roman"/>
              </w:rPr>
              <w:t>(mmHg) vs ∆NO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3 Bas- 300min </w:t>
            </w:r>
            <w:r w:rsidRPr="00DC76AC">
              <w:rPr>
                <w:rFonts w:ascii="Times New Roman" w:hAnsi="Times New Roman" w:cs="Times New Roman"/>
              </w:rPr>
              <w:t>(</w:t>
            </w:r>
            <w:r w:rsidRPr="00DC76AC">
              <w:rPr>
                <w:rFonts w:ascii="Times New Roman" w:hAnsi="Times New Roman" w:cs="Times New Roman"/>
                <w:lang w:val="el-GR"/>
              </w:rPr>
              <w:t>μ</w:t>
            </w:r>
            <w:r w:rsidRPr="00DC76AC">
              <w:rPr>
                <w:rFonts w:ascii="Times New Roman" w:hAnsi="Times New Roman" w:cs="Times New Roman"/>
              </w:rPr>
              <w:t>mol/L)</w:t>
            </w:r>
          </w:p>
        </w:tc>
        <w:tc>
          <w:tcPr>
            <w:tcW w:w="6237" w:type="dxa"/>
          </w:tcPr>
          <w:p w14:paraId="0C18FF61" w14:textId="4D5E9D36" w:rsidR="003C3B33" w:rsidRPr="00DC76AC" w:rsidRDefault="003C3B33" w:rsidP="003C3B33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6AC">
              <w:rPr>
                <w:rFonts w:ascii="Times New Roman" w:hAnsi="Times New Roman" w:cs="Times New Roman"/>
              </w:rPr>
              <w:t>r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>rm</w:t>
            </w:r>
            <w:proofErr w:type="spellEnd"/>
            <w:r w:rsidRPr="00DC76AC">
              <w:rPr>
                <w:rFonts w:ascii="Times New Roman" w:hAnsi="Times New Roman" w:cs="Times New Roman"/>
              </w:rPr>
              <w:t>(</w:t>
            </w:r>
            <w:proofErr w:type="gramEnd"/>
            <w:r w:rsidRPr="00DC76AC">
              <w:rPr>
                <w:rFonts w:ascii="Times New Roman" w:hAnsi="Times New Roman" w:cs="Times New Roman"/>
              </w:rPr>
              <w:t>35) = -0.19, 95% CI [-0.495, 0.149], p = 0.251</w:t>
            </w:r>
          </w:p>
        </w:tc>
      </w:tr>
      <w:tr w:rsidR="003C3B33" w:rsidRPr="00DC76AC" w14:paraId="697EA075" w14:textId="77777777" w:rsidTr="003C3B33">
        <w:tc>
          <w:tcPr>
            <w:tcW w:w="870" w:type="dxa"/>
            <w:vMerge/>
          </w:tcPr>
          <w:p w14:paraId="563836B1" w14:textId="77777777" w:rsidR="003C3B33" w:rsidRPr="00DC76AC" w:rsidRDefault="003C3B33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14:paraId="364AF2CB" w14:textId="03DD6C26" w:rsidR="003C3B33" w:rsidRPr="00DC76AC" w:rsidRDefault="003C3B33" w:rsidP="009F431D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 xml:space="preserve">∆DBP 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300min - Bas </w:t>
            </w:r>
            <w:r w:rsidRPr="00DC76AC">
              <w:rPr>
                <w:rFonts w:ascii="Times New Roman" w:hAnsi="Times New Roman" w:cs="Times New Roman"/>
              </w:rPr>
              <w:t>(mmHg) vs ∆NO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2 Bas- 300min </w:t>
            </w:r>
            <w:r w:rsidRPr="00DC76AC">
              <w:rPr>
                <w:rFonts w:ascii="Times New Roman" w:hAnsi="Times New Roman" w:cs="Times New Roman"/>
              </w:rPr>
              <w:t>(</w:t>
            </w:r>
            <w:r w:rsidR="0060677E" w:rsidRPr="00DC76AC">
              <w:rPr>
                <w:rFonts w:ascii="Times New Roman" w:hAnsi="Times New Roman" w:cs="Times New Roman"/>
              </w:rPr>
              <w:t>n</w:t>
            </w:r>
            <w:r w:rsidRPr="00DC76AC">
              <w:rPr>
                <w:rFonts w:ascii="Times New Roman" w:hAnsi="Times New Roman" w:cs="Times New Roman"/>
              </w:rPr>
              <w:t>mol/L)</w:t>
            </w:r>
          </w:p>
        </w:tc>
        <w:tc>
          <w:tcPr>
            <w:tcW w:w="6237" w:type="dxa"/>
          </w:tcPr>
          <w:p w14:paraId="74512ED5" w14:textId="267764B1" w:rsidR="003C3B33" w:rsidRPr="00DC76AC" w:rsidRDefault="003C3B33" w:rsidP="003C3B33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6AC">
              <w:rPr>
                <w:rFonts w:ascii="Times New Roman" w:hAnsi="Times New Roman" w:cs="Times New Roman"/>
              </w:rPr>
              <w:t>r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>rm</w:t>
            </w:r>
            <w:proofErr w:type="spellEnd"/>
            <w:r w:rsidRPr="00DC76AC">
              <w:rPr>
                <w:rFonts w:ascii="Times New Roman" w:hAnsi="Times New Roman" w:cs="Times New Roman"/>
              </w:rPr>
              <w:t>(</w:t>
            </w:r>
            <w:proofErr w:type="gramEnd"/>
            <w:r w:rsidRPr="00DC76AC">
              <w:rPr>
                <w:rFonts w:ascii="Times New Roman" w:hAnsi="Times New Roman" w:cs="Times New Roman"/>
              </w:rPr>
              <w:t>35) = -0.29, 95% CI [-0.567, 0.05], p = 0.084</w:t>
            </w:r>
          </w:p>
        </w:tc>
      </w:tr>
      <w:tr w:rsidR="003C3B33" w:rsidRPr="00DC76AC" w14:paraId="03026944" w14:textId="77777777" w:rsidTr="003C3B33">
        <w:tc>
          <w:tcPr>
            <w:tcW w:w="870" w:type="dxa"/>
            <w:vMerge w:val="restart"/>
          </w:tcPr>
          <w:p w14:paraId="4BB4C75B" w14:textId="080AD20C" w:rsidR="003C3B33" w:rsidRPr="00DC76AC" w:rsidRDefault="003C3B33" w:rsidP="003C3B33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>Old</w:t>
            </w:r>
          </w:p>
        </w:tc>
        <w:tc>
          <w:tcPr>
            <w:tcW w:w="5646" w:type="dxa"/>
          </w:tcPr>
          <w:p w14:paraId="696563E7" w14:textId="40897992" w:rsidR="003C3B33" w:rsidRPr="00DC76AC" w:rsidRDefault="003C3B33" w:rsidP="003C3B33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 xml:space="preserve">∆DBP 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300min - Bas </w:t>
            </w:r>
            <w:r w:rsidRPr="00DC76AC">
              <w:rPr>
                <w:rFonts w:ascii="Times New Roman" w:hAnsi="Times New Roman" w:cs="Times New Roman"/>
              </w:rPr>
              <w:t>(mmHg) vs ∆NO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3 Bas- 300min </w:t>
            </w:r>
            <w:r w:rsidRPr="00DC76AC">
              <w:rPr>
                <w:rFonts w:ascii="Times New Roman" w:hAnsi="Times New Roman" w:cs="Times New Roman"/>
              </w:rPr>
              <w:t>(</w:t>
            </w:r>
            <w:r w:rsidRPr="00DC76AC">
              <w:rPr>
                <w:rFonts w:ascii="Times New Roman" w:hAnsi="Times New Roman" w:cs="Times New Roman"/>
                <w:lang w:val="el-GR"/>
              </w:rPr>
              <w:t>μ</w:t>
            </w:r>
            <w:r w:rsidRPr="00DC76AC">
              <w:rPr>
                <w:rFonts w:ascii="Times New Roman" w:hAnsi="Times New Roman" w:cs="Times New Roman"/>
              </w:rPr>
              <w:t>mol/L)</w:t>
            </w:r>
          </w:p>
        </w:tc>
        <w:tc>
          <w:tcPr>
            <w:tcW w:w="6237" w:type="dxa"/>
          </w:tcPr>
          <w:p w14:paraId="71B68B14" w14:textId="2AD4B854" w:rsidR="003C3B33" w:rsidRPr="00DC76AC" w:rsidRDefault="003C3B33" w:rsidP="003C3B33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6AC">
              <w:rPr>
                <w:rFonts w:ascii="Times New Roman" w:hAnsi="Times New Roman" w:cs="Times New Roman"/>
              </w:rPr>
              <w:t>r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>rm</w:t>
            </w:r>
            <w:proofErr w:type="spellEnd"/>
            <w:r w:rsidRPr="00DC76AC">
              <w:rPr>
                <w:rFonts w:ascii="Times New Roman" w:hAnsi="Times New Roman" w:cs="Times New Roman"/>
              </w:rPr>
              <w:t>(</w:t>
            </w:r>
            <w:proofErr w:type="gramEnd"/>
            <w:r w:rsidRPr="00DC76AC">
              <w:rPr>
                <w:rFonts w:ascii="Times New Roman" w:hAnsi="Times New Roman" w:cs="Times New Roman"/>
              </w:rPr>
              <w:t>35) = -0.24, 95% CI [-0.528, 0.105], p = 0.159</w:t>
            </w:r>
          </w:p>
        </w:tc>
      </w:tr>
      <w:tr w:rsidR="003C3B33" w:rsidRPr="00DC76AC" w14:paraId="70890C59" w14:textId="77777777" w:rsidTr="003C3B33">
        <w:tc>
          <w:tcPr>
            <w:tcW w:w="870" w:type="dxa"/>
            <w:vMerge/>
          </w:tcPr>
          <w:p w14:paraId="41E6A1AD" w14:textId="77777777" w:rsidR="003C3B33" w:rsidRPr="00DC76AC" w:rsidRDefault="003C3B33" w:rsidP="003C3B33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</w:tcPr>
          <w:p w14:paraId="4C391878" w14:textId="4334637D" w:rsidR="003C3B33" w:rsidRPr="00DC76AC" w:rsidRDefault="003C3B33" w:rsidP="003C3B33">
            <w:pPr>
              <w:keepNext/>
              <w:spacing w:line="360" w:lineRule="auto"/>
              <w:rPr>
                <w:rFonts w:ascii="Times New Roman" w:hAnsi="Times New Roman" w:cs="Times New Roman"/>
              </w:rPr>
            </w:pPr>
            <w:r w:rsidRPr="00DC76AC">
              <w:rPr>
                <w:rFonts w:ascii="Times New Roman" w:hAnsi="Times New Roman" w:cs="Times New Roman"/>
              </w:rPr>
              <w:t xml:space="preserve">∆DBP 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300min - Bas </w:t>
            </w:r>
            <w:r w:rsidRPr="00DC76AC">
              <w:rPr>
                <w:rFonts w:ascii="Times New Roman" w:hAnsi="Times New Roman" w:cs="Times New Roman"/>
              </w:rPr>
              <w:t>(mmHg) vs ∆NO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 xml:space="preserve">2 Bas- 300min </w:t>
            </w:r>
            <w:r w:rsidRPr="00DC76AC">
              <w:rPr>
                <w:rFonts w:ascii="Times New Roman" w:hAnsi="Times New Roman" w:cs="Times New Roman"/>
              </w:rPr>
              <w:t>(</w:t>
            </w:r>
            <w:r w:rsidR="0060677E" w:rsidRPr="00DC76AC">
              <w:rPr>
                <w:rFonts w:ascii="Times New Roman" w:hAnsi="Times New Roman" w:cs="Times New Roman"/>
              </w:rPr>
              <w:t>n</w:t>
            </w:r>
            <w:r w:rsidRPr="00DC76AC">
              <w:rPr>
                <w:rFonts w:ascii="Times New Roman" w:hAnsi="Times New Roman" w:cs="Times New Roman"/>
              </w:rPr>
              <w:t>mol/L)</w:t>
            </w:r>
          </w:p>
        </w:tc>
        <w:tc>
          <w:tcPr>
            <w:tcW w:w="6237" w:type="dxa"/>
          </w:tcPr>
          <w:p w14:paraId="456C8DCF" w14:textId="1666D9E4" w:rsidR="003C3B33" w:rsidRPr="00DC76AC" w:rsidRDefault="003C3B33" w:rsidP="003C3B33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6AC">
              <w:rPr>
                <w:rFonts w:ascii="Times New Roman" w:hAnsi="Times New Roman" w:cs="Times New Roman"/>
              </w:rPr>
              <w:t>r</w:t>
            </w:r>
            <w:r w:rsidRPr="00DC76AC">
              <w:rPr>
                <w:rFonts w:ascii="Times New Roman" w:hAnsi="Times New Roman" w:cs="Times New Roman"/>
                <w:vertAlign w:val="subscript"/>
              </w:rPr>
              <w:t>rm</w:t>
            </w:r>
            <w:proofErr w:type="spellEnd"/>
            <w:r w:rsidRPr="00DC76AC">
              <w:rPr>
                <w:rFonts w:ascii="Times New Roman" w:hAnsi="Times New Roman" w:cs="Times New Roman"/>
              </w:rPr>
              <w:t>(</w:t>
            </w:r>
            <w:proofErr w:type="gramEnd"/>
            <w:r w:rsidRPr="00DC76AC">
              <w:rPr>
                <w:rFonts w:ascii="Times New Roman" w:hAnsi="Times New Roman" w:cs="Times New Roman"/>
              </w:rPr>
              <w:t>35) = -0.32, 95% CI [-0.59, 0.016], p = 0.054</w:t>
            </w:r>
          </w:p>
        </w:tc>
      </w:tr>
    </w:tbl>
    <w:p w14:paraId="63459D78" w14:textId="4C0DC3A7" w:rsidR="009F431D" w:rsidRDefault="0060677E" w:rsidP="009F431D">
      <w:pPr>
        <w:keepNext/>
        <w:spacing w:line="360" w:lineRule="auto"/>
        <w:rPr>
          <w:rFonts w:ascii="Times New Roman" w:hAnsi="Times New Roman" w:cs="Times New Roman"/>
        </w:rPr>
      </w:pPr>
      <w:r w:rsidRPr="00DC76AC">
        <w:rPr>
          <w:rFonts w:ascii="Times New Roman" w:hAnsi="Times New Roman" w:cs="Times New Roman"/>
        </w:rPr>
        <w:t xml:space="preserve">Bas, baseline. </w:t>
      </w:r>
      <w:r w:rsidR="00101CFD" w:rsidRPr="00DC76AC">
        <w:rPr>
          <w:rFonts w:ascii="Times New Roman" w:hAnsi="Times New Roman" w:cs="Times New Roman"/>
        </w:rPr>
        <w:t>See methods for specific details on the analysis.</w:t>
      </w:r>
      <w:r w:rsidR="00101CFD">
        <w:rPr>
          <w:rFonts w:ascii="Times New Roman" w:hAnsi="Times New Roman" w:cs="Times New Roman"/>
        </w:rPr>
        <w:t xml:space="preserve"> </w:t>
      </w:r>
    </w:p>
    <w:sectPr w:rsidR="009F431D" w:rsidSect="003C3B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4E"/>
    <w:rsid w:val="000042E0"/>
    <w:rsid w:val="00101CFD"/>
    <w:rsid w:val="0012707B"/>
    <w:rsid w:val="00194BBB"/>
    <w:rsid w:val="001C3270"/>
    <w:rsid w:val="0027017E"/>
    <w:rsid w:val="002F2E20"/>
    <w:rsid w:val="00334069"/>
    <w:rsid w:val="003651BE"/>
    <w:rsid w:val="0039112E"/>
    <w:rsid w:val="003A5207"/>
    <w:rsid w:val="003C3B33"/>
    <w:rsid w:val="004B121A"/>
    <w:rsid w:val="00544B41"/>
    <w:rsid w:val="0060677E"/>
    <w:rsid w:val="007029C2"/>
    <w:rsid w:val="00705A6A"/>
    <w:rsid w:val="0074105A"/>
    <w:rsid w:val="0077452C"/>
    <w:rsid w:val="00863E2F"/>
    <w:rsid w:val="008846D6"/>
    <w:rsid w:val="00965DC0"/>
    <w:rsid w:val="0097615B"/>
    <w:rsid w:val="00990C8B"/>
    <w:rsid w:val="00995DC1"/>
    <w:rsid w:val="009C7D82"/>
    <w:rsid w:val="009F1024"/>
    <w:rsid w:val="009F431D"/>
    <w:rsid w:val="00A81848"/>
    <w:rsid w:val="00B5414E"/>
    <w:rsid w:val="00B613B6"/>
    <w:rsid w:val="00BA4A05"/>
    <w:rsid w:val="00BC7F9E"/>
    <w:rsid w:val="00C4424E"/>
    <w:rsid w:val="00CA63EC"/>
    <w:rsid w:val="00CB76BB"/>
    <w:rsid w:val="00CE51C3"/>
    <w:rsid w:val="00DC76AC"/>
    <w:rsid w:val="00E93B58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916C"/>
  <w15:chartTrackingRefBased/>
  <w15:docId w15:val="{164732A1-A3FB-412C-958D-80E40DAC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43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F431D"/>
    <w:pPr>
      <w:keepNext/>
    </w:pPr>
    <w:rPr>
      <w:rFonts w:ascii="Times New Roman" w:hAnsi="Times New Roman" w:cs="Times New Roman"/>
      <w:bCs/>
      <w:color w:val="000000" w:themeColor="text1"/>
      <w:spacing w:val="6"/>
    </w:rPr>
  </w:style>
  <w:style w:type="table" w:styleId="TableGrid">
    <w:name w:val="Table Grid"/>
    <w:basedOn w:val="TableNormal"/>
    <w:uiPriority w:val="59"/>
    <w:rsid w:val="009F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BD8D-68E0-4628-B4F6-BCA676DB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Matthew Woodcock</cp:lastModifiedBy>
  <cp:revision>2</cp:revision>
  <dcterms:created xsi:type="dcterms:W3CDTF">2022-04-26T08:54:00Z</dcterms:created>
  <dcterms:modified xsi:type="dcterms:W3CDTF">2022-04-26T08:54:00Z</dcterms:modified>
</cp:coreProperties>
</file>