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4CF79" w14:textId="77777777" w:rsidR="003F0376" w:rsidRPr="00206608" w:rsidRDefault="003F0376" w:rsidP="003F0376">
      <w:pPr>
        <w:spacing w:line="276" w:lineRule="auto"/>
        <w:rPr>
          <w:rFonts w:eastAsia="Arial" w:cs="Arial"/>
          <w:b/>
          <w:bCs/>
          <w:sz w:val="28"/>
          <w:szCs w:val="28"/>
          <w:lang w:val="en-GB"/>
        </w:rPr>
      </w:pPr>
      <w:r w:rsidRPr="00206608">
        <w:rPr>
          <w:rFonts w:eastAsia="Arial" w:cs="Arial"/>
          <w:b/>
          <w:bCs/>
          <w:sz w:val="28"/>
          <w:szCs w:val="28"/>
          <w:lang w:val="en-GB"/>
        </w:rPr>
        <w:t>Supplementary Tables</w:t>
      </w:r>
    </w:p>
    <w:p w14:paraId="6C98401A" w14:textId="77777777" w:rsidR="003F0376" w:rsidRPr="00206608" w:rsidRDefault="003F0376" w:rsidP="003F0376">
      <w:pPr>
        <w:spacing w:line="276" w:lineRule="auto"/>
        <w:rPr>
          <w:rFonts w:eastAsia="Arial" w:cs="Arial"/>
          <w:b/>
          <w:bCs/>
          <w:szCs w:val="24"/>
          <w:vertAlign w:val="superscript"/>
          <w:lang w:val="en-GB"/>
        </w:rPr>
      </w:pPr>
      <w:r w:rsidRPr="00206608">
        <w:rPr>
          <w:rFonts w:eastAsia="Arial" w:cs="Arial"/>
          <w:b/>
          <w:bCs/>
          <w:szCs w:val="24"/>
          <w:lang w:val="en-GB"/>
        </w:rPr>
        <w:t>Supplementary Table 1 Intake of relevant food components in grams per day</w:t>
      </w:r>
    </w:p>
    <w:tbl>
      <w:tblPr>
        <w:tblStyle w:val="TableGrid"/>
        <w:tblW w:w="9184" w:type="dxa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75"/>
        <w:gridCol w:w="2561"/>
        <w:gridCol w:w="2348"/>
      </w:tblGrid>
      <w:tr w:rsidR="00206608" w:rsidRPr="00206608" w14:paraId="28197632" w14:textId="77777777" w:rsidTr="00B91499">
        <w:trPr>
          <w:trHeight w:val="346"/>
        </w:trPr>
        <w:tc>
          <w:tcPr>
            <w:tcW w:w="4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7E01C0F" w14:textId="77777777" w:rsidR="003F0376" w:rsidRPr="00206608" w:rsidRDefault="003F0376" w:rsidP="00B91499">
            <w:pPr>
              <w:pStyle w:val="nieuw-Tabellen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BA1339B" w14:textId="77777777" w:rsidR="003F0376" w:rsidRPr="00206608" w:rsidRDefault="003F0376" w:rsidP="00B91499">
            <w:pPr>
              <w:pStyle w:val="nieuw-Tabellen"/>
              <w:spacing w:line="360" w:lineRule="auto"/>
              <w:ind w:firstLine="0"/>
              <w:rPr>
                <w:b/>
                <w:sz w:val="22"/>
                <w:szCs w:val="22"/>
              </w:rPr>
            </w:pPr>
            <w:r w:rsidRPr="00206608">
              <w:rPr>
                <w:b/>
                <w:sz w:val="22"/>
                <w:szCs w:val="22"/>
              </w:rPr>
              <w:t>Intake at baseline</w:t>
            </w:r>
          </w:p>
          <w:p w14:paraId="52459813" w14:textId="77777777" w:rsidR="003F0376" w:rsidRPr="00206608" w:rsidRDefault="003F0376" w:rsidP="00B91499">
            <w:pPr>
              <w:pStyle w:val="nieuw-Tabellen"/>
              <w:spacing w:line="360" w:lineRule="auto"/>
              <w:ind w:firstLine="0"/>
              <w:rPr>
                <w:b/>
                <w:sz w:val="22"/>
                <w:szCs w:val="22"/>
              </w:rPr>
            </w:pPr>
            <w:r w:rsidRPr="00206608">
              <w:rPr>
                <w:b/>
                <w:sz w:val="22"/>
                <w:szCs w:val="22"/>
              </w:rPr>
              <w:t>N = 195</w:t>
            </w:r>
          </w:p>
        </w:tc>
        <w:tc>
          <w:tcPr>
            <w:tcW w:w="23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2E7F7C7" w14:textId="77777777" w:rsidR="003F0376" w:rsidRPr="00206608" w:rsidRDefault="003F0376" w:rsidP="00B91499">
            <w:pPr>
              <w:pStyle w:val="nieuw-Tabellen"/>
              <w:spacing w:line="360" w:lineRule="auto"/>
              <w:ind w:firstLine="0"/>
              <w:rPr>
                <w:b/>
                <w:sz w:val="22"/>
                <w:szCs w:val="22"/>
              </w:rPr>
            </w:pPr>
            <w:r w:rsidRPr="00206608">
              <w:rPr>
                <w:b/>
                <w:sz w:val="22"/>
                <w:szCs w:val="22"/>
              </w:rPr>
              <w:t>Recommended intake</w:t>
            </w:r>
          </w:p>
        </w:tc>
      </w:tr>
      <w:tr w:rsidR="00206608" w:rsidRPr="00206608" w14:paraId="6F1F085D" w14:textId="77777777" w:rsidTr="00B91499">
        <w:trPr>
          <w:trHeight w:val="346"/>
        </w:trPr>
        <w:tc>
          <w:tcPr>
            <w:tcW w:w="4275" w:type="dxa"/>
            <w:tcBorders>
              <w:top w:val="single" w:sz="12" w:space="0" w:color="auto"/>
              <w:left w:val="nil"/>
              <w:bottom w:val="none" w:sz="4" w:space="0" w:color="000000" w:themeColor="text1"/>
              <w:right w:val="nil"/>
            </w:tcBorders>
          </w:tcPr>
          <w:p w14:paraId="73D81B07" w14:textId="77777777" w:rsidR="003F0376" w:rsidRPr="00206608" w:rsidRDefault="003F0376" w:rsidP="00B91499">
            <w:pPr>
              <w:pStyle w:val="nieuw-Tabellen"/>
              <w:spacing w:line="360" w:lineRule="auto"/>
              <w:ind w:firstLine="0"/>
              <w:rPr>
                <w:sz w:val="22"/>
                <w:szCs w:val="22"/>
              </w:rPr>
            </w:pPr>
            <w:r w:rsidRPr="00206608">
              <w:rPr>
                <w:sz w:val="22"/>
                <w:szCs w:val="22"/>
              </w:rPr>
              <w:t>Vegetables</w:t>
            </w:r>
          </w:p>
        </w:tc>
        <w:tc>
          <w:tcPr>
            <w:tcW w:w="2561" w:type="dxa"/>
            <w:tcBorders>
              <w:top w:val="single" w:sz="12" w:space="0" w:color="auto"/>
              <w:left w:val="nil"/>
              <w:bottom w:val="none" w:sz="4" w:space="0" w:color="000000" w:themeColor="text1"/>
              <w:right w:val="nil"/>
            </w:tcBorders>
          </w:tcPr>
          <w:p w14:paraId="4491C498" w14:textId="77777777" w:rsidR="003F0376" w:rsidRPr="00206608" w:rsidRDefault="003F0376" w:rsidP="00B91499">
            <w:pPr>
              <w:pStyle w:val="nieuw-Tabellen"/>
              <w:spacing w:line="360" w:lineRule="auto"/>
              <w:ind w:firstLine="0"/>
              <w:rPr>
                <w:sz w:val="22"/>
                <w:szCs w:val="22"/>
              </w:rPr>
            </w:pPr>
            <w:r w:rsidRPr="00206608">
              <w:rPr>
                <w:sz w:val="22"/>
                <w:szCs w:val="22"/>
              </w:rPr>
              <w:t>126 [72 – 183] g/day</w:t>
            </w:r>
          </w:p>
        </w:tc>
        <w:tc>
          <w:tcPr>
            <w:tcW w:w="2348" w:type="dxa"/>
            <w:tcBorders>
              <w:top w:val="single" w:sz="12" w:space="0" w:color="auto"/>
              <w:left w:val="nil"/>
              <w:bottom w:val="none" w:sz="4" w:space="0" w:color="000000" w:themeColor="text1"/>
              <w:right w:val="nil"/>
            </w:tcBorders>
          </w:tcPr>
          <w:p w14:paraId="272FC82C" w14:textId="77777777" w:rsidR="003F0376" w:rsidRPr="00206608" w:rsidRDefault="003F0376" w:rsidP="00B91499">
            <w:pPr>
              <w:pStyle w:val="nieuw-Tabellen"/>
              <w:spacing w:line="360" w:lineRule="auto"/>
              <w:ind w:firstLine="0"/>
              <w:rPr>
                <w:sz w:val="22"/>
                <w:szCs w:val="22"/>
              </w:rPr>
            </w:pPr>
            <w:r w:rsidRPr="00206608">
              <w:rPr>
                <w:sz w:val="22"/>
                <w:szCs w:val="22"/>
              </w:rPr>
              <w:t>≥ 200 g/day</w:t>
            </w:r>
          </w:p>
        </w:tc>
      </w:tr>
      <w:tr w:rsidR="00206608" w:rsidRPr="00206608" w14:paraId="2DDEADE0" w14:textId="77777777" w:rsidTr="00B91499">
        <w:trPr>
          <w:trHeight w:val="346"/>
        </w:trPr>
        <w:tc>
          <w:tcPr>
            <w:tcW w:w="4275" w:type="dxa"/>
            <w:tcBorders>
              <w:top w:val="none" w:sz="12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1490C376" w14:textId="77777777" w:rsidR="003F0376" w:rsidRPr="00206608" w:rsidRDefault="003F0376" w:rsidP="00B91499">
            <w:pPr>
              <w:pStyle w:val="nieuw-Tabellen"/>
              <w:spacing w:line="360" w:lineRule="auto"/>
              <w:ind w:firstLine="0"/>
              <w:rPr>
                <w:sz w:val="22"/>
                <w:szCs w:val="22"/>
              </w:rPr>
            </w:pPr>
            <w:r w:rsidRPr="00206608">
              <w:rPr>
                <w:sz w:val="22"/>
                <w:szCs w:val="22"/>
              </w:rPr>
              <w:t>Fruit</w:t>
            </w:r>
          </w:p>
        </w:tc>
        <w:tc>
          <w:tcPr>
            <w:tcW w:w="2561" w:type="dxa"/>
            <w:tcBorders>
              <w:top w:val="none" w:sz="12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10A73A18" w14:textId="77777777" w:rsidR="003F0376" w:rsidRPr="00206608" w:rsidRDefault="003F0376" w:rsidP="00B91499">
            <w:pPr>
              <w:pStyle w:val="nieuw-Tabellen"/>
              <w:spacing w:line="360" w:lineRule="auto"/>
              <w:ind w:firstLine="0"/>
              <w:rPr>
                <w:sz w:val="22"/>
                <w:szCs w:val="22"/>
              </w:rPr>
            </w:pPr>
            <w:r w:rsidRPr="00206608">
              <w:rPr>
                <w:sz w:val="22"/>
                <w:szCs w:val="22"/>
              </w:rPr>
              <w:t>139 [59 – 176] g/day</w:t>
            </w:r>
          </w:p>
        </w:tc>
        <w:tc>
          <w:tcPr>
            <w:tcW w:w="2348" w:type="dxa"/>
            <w:tcBorders>
              <w:top w:val="none" w:sz="12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7A6C7558" w14:textId="77777777" w:rsidR="003F0376" w:rsidRPr="00206608" w:rsidRDefault="003F0376" w:rsidP="00B91499">
            <w:pPr>
              <w:pStyle w:val="nieuw-Tabellen"/>
              <w:spacing w:line="360" w:lineRule="auto"/>
              <w:ind w:firstLine="0"/>
              <w:rPr>
                <w:sz w:val="22"/>
                <w:szCs w:val="22"/>
              </w:rPr>
            </w:pPr>
            <w:r w:rsidRPr="00206608">
              <w:rPr>
                <w:sz w:val="22"/>
                <w:szCs w:val="22"/>
              </w:rPr>
              <w:t>≥ 200 g/day</w:t>
            </w:r>
          </w:p>
        </w:tc>
      </w:tr>
      <w:tr w:rsidR="00206608" w:rsidRPr="00206608" w14:paraId="6792F396" w14:textId="77777777" w:rsidTr="00B91499">
        <w:trPr>
          <w:trHeight w:val="346"/>
        </w:trPr>
        <w:tc>
          <w:tcPr>
            <w:tcW w:w="4275" w:type="dxa"/>
            <w:tcBorders>
              <w:top w:val="none" w:sz="4" w:space="0" w:color="000000" w:themeColor="text1"/>
              <w:left w:val="nil"/>
              <w:bottom w:val="nil"/>
              <w:right w:val="nil"/>
            </w:tcBorders>
          </w:tcPr>
          <w:p w14:paraId="52C13C6C" w14:textId="77777777" w:rsidR="003F0376" w:rsidRPr="00206608" w:rsidRDefault="003F0376" w:rsidP="00B91499">
            <w:pPr>
              <w:pStyle w:val="nieuw-Tabellen"/>
              <w:spacing w:line="360" w:lineRule="auto"/>
              <w:ind w:firstLine="0"/>
              <w:rPr>
                <w:sz w:val="22"/>
                <w:szCs w:val="22"/>
              </w:rPr>
            </w:pPr>
            <w:r w:rsidRPr="00206608">
              <w:rPr>
                <w:sz w:val="22"/>
                <w:szCs w:val="22"/>
              </w:rPr>
              <w:t>Wholegrain products</w:t>
            </w:r>
          </w:p>
        </w:tc>
        <w:tc>
          <w:tcPr>
            <w:tcW w:w="2561" w:type="dxa"/>
            <w:tcBorders>
              <w:top w:val="none" w:sz="4" w:space="0" w:color="000000" w:themeColor="text1"/>
              <w:left w:val="nil"/>
              <w:bottom w:val="nil"/>
              <w:right w:val="nil"/>
            </w:tcBorders>
          </w:tcPr>
          <w:p w14:paraId="5A37D11A" w14:textId="77777777" w:rsidR="003F0376" w:rsidRPr="00206608" w:rsidRDefault="003F0376" w:rsidP="00B91499">
            <w:pPr>
              <w:pStyle w:val="nieuw-Tabellen"/>
              <w:spacing w:line="360" w:lineRule="auto"/>
              <w:ind w:firstLine="0"/>
              <w:rPr>
                <w:sz w:val="22"/>
                <w:szCs w:val="22"/>
              </w:rPr>
            </w:pPr>
            <w:r w:rsidRPr="00206608">
              <w:rPr>
                <w:sz w:val="22"/>
                <w:szCs w:val="22"/>
              </w:rPr>
              <w:t>129 [87 – 189] g/day</w:t>
            </w:r>
          </w:p>
        </w:tc>
        <w:tc>
          <w:tcPr>
            <w:tcW w:w="2348" w:type="dxa"/>
            <w:tcBorders>
              <w:top w:val="none" w:sz="4" w:space="0" w:color="000000" w:themeColor="text1"/>
              <w:left w:val="nil"/>
              <w:bottom w:val="nil"/>
              <w:right w:val="nil"/>
            </w:tcBorders>
          </w:tcPr>
          <w:p w14:paraId="2A5DB26E" w14:textId="77777777" w:rsidR="003F0376" w:rsidRPr="00206608" w:rsidRDefault="003F0376" w:rsidP="00B91499">
            <w:pPr>
              <w:pStyle w:val="nieuw-Tabellen"/>
              <w:spacing w:line="360" w:lineRule="auto"/>
              <w:ind w:firstLine="0"/>
              <w:rPr>
                <w:sz w:val="22"/>
                <w:szCs w:val="22"/>
              </w:rPr>
            </w:pPr>
            <w:r w:rsidRPr="00206608">
              <w:rPr>
                <w:sz w:val="22"/>
                <w:szCs w:val="22"/>
              </w:rPr>
              <w:t>≥ 90 g/day</w:t>
            </w:r>
          </w:p>
        </w:tc>
      </w:tr>
      <w:tr w:rsidR="00206608" w:rsidRPr="00206608" w14:paraId="33F97EEA" w14:textId="77777777" w:rsidTr="00B91499">
        <w:trPr>
          <w:trHeight w:val="346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14:paraId="0B97A23A" w14:textId="77777777" w:rsidR="003F0376" w:rsidRPr="00206608" w:rsidRDefault="003F0376" w:rsidP="00B91499">
            <w:pPr>
              <w:pStyle w:val="nieuw-Tabellen"/>
              <w:spacing w:line="360" w:lineRule="auto"/>
              <w:ind w:firstLine="0"/>
              <w:rPr>
                <w:sz w:val="22"/>
                <w:szCs w:val="22"/>
              </w:rPr>
            </w:pPr>
            <w:r w:rsidRPr="00206608">
              <w:rPr>
                <w:sz w:val="22"/>
                <w:szCs w:val="22"/>
              </w:rPr>
              <w:t>Legumes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14:paraId="533751A7" w14:textId="77777777" w:rsidR="003F0376" w:rsidRPr="00206608" w:rsidRDefault="003F0376" w:rsidP="00B91499">
            <w:pPr>
              <w:pStyle w:val="nieuw-Tabellen"/>
              <w:spacing w:line="360" w:lineRule="auto"/>
              <w:ind w:firstLine="0"/>
              <w:rPr>
                <w:sz w:val="22"/>
                <w:szCs w:val="22"/>
              </w:rPr>
            </w:pPr>
            <w:r w:rsidRPr="00206608">
              <w:rPr>
                <w:sz w:val="22"/>
                <w:szCs w:val="22"/>
              </w:rPr>
              <w:t>4.4 [0.0 – 17] g/day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0C44518E" w14:textId="77777777" w:rsidR="003F0376" w:rsidRPr="00206608" w:rsidRDefault="003F0376" w:rsidP="00B91499">
            <w:pPr>
              <w:pStyle w:val="nieuw-Tabellen"/>
              <w:spacing w:line="360" w:lineRule="auto"/>
              <w:ind w:firstLine="0"/>
              <w:rPr>
                <w:sz w:val="22"/>
                <w:szCs w:val="22"/>
              </w:rPr>
            </w:pPr>
            <w:r w:rsidRPr="00206608">
              <w:rPr>
                <w:sz w:val="22"/>
                <w:szCs w:val="22"/>
              </w:rPr>
              <w:t>≥ 10 g/day</w:t>
            </w:r>
          </w:p>
        </w:tc>
      </w:tr>
      <w:tr w:rsidR="00206608" w:rsidRPr="00206608" w14:paraId="57714B4E" w14:textId="77777777" w:rsidTr="00B91499">
        <w:trPr>
          <w:trHeight w:val="346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14:paraId="0586B80B" w14:textId="77777777" w:rsidR="003F0376" w:rsidRPr="00206608" w:rsidRDefault="003F0376" w:rsidP="00B91499">
            <w:pPr>
              <w:pStyle w:val="nieuw-Tabellen"/>
              <w:spacing w:line="360" w:lineRule="auto"/>
              <w:ind w:firstLine="0"/>
              <w:rPr>
                <w:sz w:val="22"/>
                <w:szCs w:val="22"/>
              </w:rPr>
            </w:pPr>
            <w:r w:rsidRPr="00206608">
              <w:rPr>
                <w:sz w:val="22"/>
                <w:szCs w:val="22"/>
              </w:rPr>
              <w:t>Nuts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14:paraId="1C4F3A17" w14:textId="77777777" w:rsidR="003F0376" w:rsidRPr="00206608" w:rsidRDefault="003F0376" w:rsidP="00B91499">
            <w:pPr>
              <w:pStyle w:val="nieuw-Tabellen"/>
              <w:spacing w:line="360" w:lineRule="auto"/>
              <w:ind w:firstLine="0"/>
              <w:rPr>
                <w:sz w:val="22"/>
                <w:szCs w:val="22"/>
              </w:rPr>
            </w:pPr>
            <w:r w:rsidRPr="00206608">
              <w:rPr>
                <w:sz w:val="22"/>
                <w:szCs w:val="22"/>
              </w:rPr>
              <w:t>4.3 [1.4 – 16] g/day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267451C2" w14:textId="77777777" w:rsidR="003F0376" w:rsidRPr="00206608" w:rsidRDefault="003F0376" w:rsidP="00B91499">
            <w:pPr>
              <w:pStyle w:val="nieuw-Tabellen"/>
              <w:spacing w:line="360" w:lineRule="auto"/>
              <w:ind w:firstLine="0"/>
              <w:rPr>
                <w:sz w:val="22"/>
                <w:szCs w:val="22"/>
              </w:rPr>
            </w:pPr>
            <w:r w:rsidRPr="00206608">
              <w:rPr>
                <w:sz w:val="22"/>
                <w:szCs w:val="22"/>
              </w:rPr>
              <w:t>≥ 15 g/day</w:t>
            </w:r>
          </w:p>
        </w:tc>
      </w:tr>
      <w:tr w:rsidR="00206608" w:rsidRPr="00206608" w14:paraId="31F07ED3" w14:textId="77777777" w:rsidTr="00B91499">
        <w:trPr>
          <w:trHeight w:val="346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14:paraId="3062C248" w14:textId="77777777" w:rsidR="003F0376" w:rsidRPr="00206608" w:rsidRDefault="003F0376" w:rsidP="00B91499">
            <w:pPr>
              <w:pStyle w:val="nieuw-Tabellen"/>
              <w:spacing w:line="360" w:lineRule="auto"/>
              <w:ind w:firstLine="0"/>
              <w:rPr>
                <w:sz w:val="22"/>
                <w:szCs w:val="22"/>
                <w:vertAlign w:val="superscript"/>
              </w:rPr>
            </w:pPr>
            <w:r w:rsidRPr="00206608">
              <w:rPr>
                <w:sz w:val="22"/>
                <w:szCs w:val="22"/>
              </w:rPr>
              <w:t>Dairy*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14:paraId="57C420EB" w14:textId="77777777" w:rsidR="003F0376" w:rsidRPr="00206608" w:rsidRDefault="003F0376" w:rsidP="00B91499">
            <w:pPr>
              <w:pStyle w:val="nieuw-Tabellen"/>
              <w:spacing w:line="360" w:lineRule="auto"/>
              <w:ind w:firstLine="0"/>
              <w:rPr>
                <w:sz w:val="22"/>
                <w:szCs w:val="22"/>
              </w:rPr>
            </w:pPr>
            <w:r w:rsidRPr="00206608">
              <w:rPr>
                <w:sz w:val="22"/>
                <w:szCs w:val="22"/>
              </w:rPr>
              <w:t>169 [84 – 316] g/day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1A2FAC44" w14:textId="77777777" w:rsidR="003F0376" w:rsidRPr="00206608" w:rsidRDefault="003F0376" w:rsidP="00B91499">
            <w:pPr>
              <w:pStyle w:val="nieuw-Tabellen"/>
              <w:spacing w:line="360" w:lineRule="auto"/>
              <w:ind w:firstLine="0"/>
              <w:rPr>
                <w:sz w:val="22"/>
                <w:szCs w:val="22"/>
              </w:rPr>
            </w:pPr>
            <w:r w:rsidRPr="00206608">
              <w:rPr>
                <w:sz w:val="22"/>
                <w:szCs w:val="22"/>
              </w:rPr>
              <w:t>300-450 g/day</w:t>
            </w:r>
          </w:p>
        </w:tc>
      </w:tr>
      <w:tr w:rsidR="00206608" w:rsidRPr="00206608" w14:paraId="20032BEA" w14:textId="77777777" w:rsidTr="00B91499">
        <w:trPr>
          <w:trHeight w:val="346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14:paraId="723E417C" w14:textId="77777777" w:rsidR="003F0376" w:rsidRPr="00206608" w:rsidRDefault="003F0376" w:rsidP="00B91499">
            <w:pPr>
              <w:pStyle w:val="nieuw-Tabellen"/>
              <w:spacing w:line="360" w:lineRule="auto"/>
              <w:ind w:firstLine="0"/>
              <w:rPr>
                <w:sz w:val="22"/>
                <w:szCs w:val="22"/>
              </w:rPr>
            </w:pPr>
            <w:r w:rsidRPr="00206608">
              <w:rPr>
                <w:sz w:val="22"/>
                <w:szCs w:val="22"/>
              </w:rPr>
              <w:t>Fish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14:paraId="59633445" w14:textId="77777777" w:rsidR="003F0376" w:rsidRPr="00206608" w:rsidRDefault="003F0376" w:rsidP="00B91499">
            <w:pPr>
              <w:pStyle w:val="nieuw-Tabellen"/>
              <w:spacing w:line="360" w:lineRule="auto"/>
              <w:ind w:firstLine="0"/>
              <w:rPr>
                <w:sz w:val="22"/>
                <w:szCs w:val="22"/>
              </w:rPr>
            </w:pPr>
            <w:r w:rsidRPr="00206608">
              <w:rPr>
                <w:sz w:val="22"/>
                <w:szCs w:val="22"/>
              </w:rPr>
              <w:t>9.6 [5.8 – 15] g/day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4DD92F94" w14:textId="77777777" w:rsidR="003F0376" w:rsidRPr="00206608" w:rsidRDefault="003F0376" w:rsidP="00B91499">
            <w:pPr>
              <w:pStyle w:val="nieuw-Tabellen"/>
              <w:spacing w:line="360" w:lineRule="auto"/>
              <w:ind w:firstLine="0"/>
              <w:rPr>
                <w:sz w:val="22"/>
                <w:szCs w:val="22"/>
              </w:rPr>
            </w:pPr>
            <w:r w:rsidRPr="00206608">
              <w:rPr>
                <w:sz w:val="22"/>
                <w:szCs w:val="22"/>
              </w:rPr>
              <w:t>≥ 15 g/day</w:t>
            </w:r>
          </w:p>
        </w:tc>
      </w:tr>
      <w:tr w:rsidR="00206608" w:rsidRPr="00206608" w14:paraId="2693BA7B" w14:textId="77777777" w:rsidTr="00B91499">
        <w:trPr>
          <w:trHeight w:val="346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14:paraId="34B8801B" w14:textId="77777777" w:rsidR="003F0376" w:rsidRPr="00206608" w:rsidRDefault="003F0376" w:rsidP="00B91499">
            <w:pPr>
              <w:pStyle w:val="nieuw-Tabellen"/>
              <w:spacing w:line="360" w:lineRule="auto"/>
              <w:ind w:firstLine="0"/>
              <w:rPr>
                <w:sz w:val="22"/>
                <w:szCs w:val="22"/>
              </w:rPr>
            </w:pPr>
            <w:r w:rsidRPr="00206608">
              <w:rPr>
                <w:sz w:val="22"/>
                <w:szCs w:val="22"/>
              </w:rPr>
              <w:t>Red meat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14:paraId="25176C51" w14:textId="77777777" w:rsidR="003F0376" w:rsidRPr="00206608" w:rsidRDefault="003F0376" w:rsidP="00B91499">
            <w:pPr>
              <w:pStyle w:val="nieuw-Tabellen"/>
              <w:spacing w:line="360" w:lineRule="auto"/>
              <w:ind w:firstLine="0"/>
              <w:rPr>
                <w:sz w:val="22"/>
                <w:szCs w:val="22"/>
              </w:rPr>
            </w:pPr>
            <w:r w:rsidRPr="00206608">
              <w:rPr>
                <w:sz w:val="22"/>
                <w:szCs w:val="22"/>
              </w:rPr>
              <w:t>22 [7.2 – 43] g/day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0EA33778" w14:textId="77777777" w:rsidR="003F0376" w:rsidRPr="00206608" w:rsidRDefault="003F0376" w:rsidP="00B91499">
            <w:pPr>
              <w:pStyle w:val="nieuw-Tabellen"/>
              <w:spacing w:line="360" w:lineRule="auto"/>
              <w:ind w:firstLine="0"/>
              <w:rPr>
                <w:sz w:val="22"/>
                <w:szCs w:val="22"/>
              </w:rPr>
            </w:pPr>
            <w:r w:rsidRPr="00206608">
              <w:rPr>
                <w:sz w:val="22"/>
                <w:szCs w:val="22"/>
              </w:rPr>
              <w:t xml:space="preserve">≤ 45 g/day </w:t>
            </w:r>
          </w:p>
        </w:tc>
      </w:tr>
      <w:tr w:rsidR="00206608" w:rsidRPr="00206608" w14:paraId="2F27A334" w14:textId="77777777" w:rsidTr="00B91499">
        <w:trPr>
          <w:trHeight w:val="408"/>
        </w:trPr>
        <w:tc>
          <w:tcPr>
            <w:tcW w:w="4275" w:type="dxa"/>
            <w:tcBorders>
              <w:top w:val="nil"/>
              <w:left w:val="nil"/>
              <w:right w:val="nil"/>
            </w:tcBorders>
          </w:tcPr>
          <w:p w14:paraId="0C65C9E4" w14:textId="77777777" w:rsidR="003F0376" w:rsidRPr="00206608" w:rsidRDefault="003F0376" w:rsidP="00B91499">
            <w:pPr>
              <w:pStyle w:val="nieuw-Tabellen"/>
              <w:spacing w:line="360" w:lineRule="auto"/>
              <w:ind w:firstLine="0"/>
              <w:rPr>
                <w:sz w:val="22"/>
                <w:szCs w:val="22"/>
              </w:rPr>
            </w:pPr>
            <w:r w:rsidRPr="00206608">
              <w:rPr>
                <w:sz w:val="22"/>
                <w:szCs w:val="22"/>
              </w:rPr>
              <w:t>Processed meat</w:t>
            </w:r>
          </w:p>
        </w:tc>
        <w:tc>
          <w:tcPr>
            <w:tcW w:w="2561" w:type="dxa"/>
            <w:tcBorders>
              <w:top w:val="nil"/>
              <w:left w:val="nil"/>
              <w:right w:val="nil"/>
            </w:tcBorders>
          </w:tcPr>
          <w:p w14:paraId="37FEF510" w14:textId="77777777" w:rsidR="003F0376" w:rsidRPr="00206608" w:rsidRDefault="003F0376" w:rsidP="00B91499">
            <w:pPr>
              <w:pStyle w:val="nieuw-Tabellen"/>
              <w:spacing w:line="360" w:lineRule="auto"/>
              <w:ind w:firstLine="0"/>
              <w:rPr>
                <w:sz w:val="22"/>
                <w:szCs w:val="22"/>
              </w:rPr>
            </w:pPr>
            <w:r w:rsidRPr="00206608">
              <w:rPr>
                <w:sz w:val="22"/>
                <w:szCs w:val="22"/>
              </w:rPr>
              <w:t>25 [9.5 – 49] g/day</w:t>
            </w:r>
          </w:p>
        </w:tc>
        <w:tc>
          <w:tcPr>
            <w:tcW w:w="2348" w:type="dxa"/>
            <w:tcBorders>
              <w:top w:val="nil"/>
              <w:left w:val="nil"/>
              <w:right w:val="nil"/>
            </w:tcBorders>
          </w:tcPr>
          <w:p w14:paraId="4B0C3A5B" w14:textId="77777777" w:rsidR="003F0376" w:rsidRPr="00206608" w:rsidRDefault="003F0376" w:rsidP="00B91499">
            <w:pPr>
              <w:pStyle w:val="nieuw-Tabellen"/>
              <w:spacing w:line="360" w:lineRule="auto"/>
              <w:ind w:firstLine="0"/>
              <w:rPr>
                <w:sz w:val="22"/>
                <w:szCs w:val="22"/>
              </w:rPr>
            </w:pPr>
            <w:r w:rsidRPr="00206608">
              <w:rPr>
                <w:sz w:val="22"/>
                <w:szCs w:val="22"/>
              </w:rPr>
              <w:t>0 g/day</w:t>
            </w:r>
          </w:p>
        </w:tc>
      </w:tr>
    </w:tbl>
    <w:p w14:paraId="1EACDC2E" w14:textId="77777777" w:rsidR="003F0376" w:rsidRPr="00206608" w:rsidRDefault="003F0376" w:rsidP="003F0376">
      <w:pPr>
        <w:spacing w:line="276" w:lineRule="auto"/>
        <w:rPr>
          <w:rFonts w:cs="Arial"/>
          <w:sz w:val="20"/>
          <w:szCs w:val="20"/>
          <w:lang w:val="en-GB"/>
        </w:rPr>
      </w:pPr>
      <w:r w:rsidRPr="00206608">
        <w:rPr>
          <w:rFonts w:cs="Arial"/>
          <w:sz w:val="20"/>
          <w:szCs w:val="20"/>
          <w:lang w:val="en-GB"/>
        </w:rPr>
        <w:t xml:space="preserve">Values expressed as median [IQR]. *Including milk, </w:t>
      </w:r>
      <w:proofErr w:type="gramStart"/>
      <w:r w:rsidRPr="00206608">
        <w:rPr>
          <w:rFonts w:cs="Arial"/>
          <w:sz w:val="20"/>
          <w:szCs w:val="20"/>
          <w:lang w:val="en-GB"/>
        </w:rPr>
        <w:t>yoghurt</w:t>
      </w:r>
      <w:proofErr w:type="gramEnd"/>
      <w:r w:rsidRPr="00206608">
        <w:rPr>
          <w:rFonts w:cs="Arial"/>
          <w:sz w:val="20"/>
          <w:szCs w:val="20"/>
          <w:lang w:val="en-GB"/>
        </w:rPr>
        <w:t xml:space="preserve"> and cheese products.</w:t>
      </w:r>
    </w:p>
    <w:p w14:paraId="6887A5D4" w14:textId="77777777" w:rsidR="003F0376" w:rsidRPr="00206608" w:rsidRDefault="003F0376" w:rsidP="003F0376">
      <w:pPr>
        <w:spacing w:line="480" w:lineRule="auto"/>
        <w:rPr>
          <w:rFonts w:cs="Arial"/>
          <w:lang w:val="en-GB"/>
        </w:rPr>
      </w:pPr>
      <w:r w:rsidRPr="00206608">
        <w:rPr>
          <w:rFonts w:eastAsia="Arial" w:cs="Arial"/>
          <w:b/>
          <w:bCs/>
          <w:szCs w:val="24"/>
          <w:lang w:val="en-GB"/>
        </w:rPr>
        <w:br w:type="column"/>
      </w:r>
      <w:r w:rsidRPr="00206608">
        <w:rPr>
          <w:rFonts w:eastAsia="Arial" w:cs="Arial"/>
          <w:b/>
          <w:bCs/>
          <w:szCs w:val="24"/>
          <w:lang w:val="en-GB"/>
        </w:rPr>
        <w:lastRenderedPageBreak/>
        <w:t>Supplementary Table 2 Factors associated with change in health-related quality of life over time</w:t>
      </w:r>
    </w:p>
    <w:tbl>
      <w:tblPr>
        <w:tblStyle w:val="TableGrid"/>
        <w:tblW w:w="93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759"/>
        <w:gridCol w:w="1189"/>
        <w:gridCol w:w="1933"/>
        <w:gridCol w:w="1481"/>
      </w:tblGrid>
      <w:tr w:rsidR="00206608" w:rsidRPr="00206608" w14:paraId="2BE2CE4E" w14:textId="77777777" w:rsidTr="00B91499">
        <w:trPr>
          <w:trHeight w:val="446"/>
        </w:trPr>
        <w:tc>
          <w:tcPr>
            <w:tcW w:w="475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6F19D0B" w14:textId="77777777" w:rsidR="003F0376" w:rsidRPr="00206608" w:rsidRDefault="003F0376" w:rsidP="00B91499">
            <w:pPr>
              <w:pStyle w:val="nieuw-Tabellen"/>
              <w:ind w:firstLine="0"/>
              <w:rPr>
                <w:rFonts w:eastAsia="Arial"/>
                <w:b/>
                <w:sz w:val="22"/>
                <w:szCs w:val="22"/>
              </w:rPr>
            </w:pPr>
            <w:r w:rsidRPr="00206608">
              <w:rPr>
                <w:rFonts w:eastAsia="Arial"/>
                <w:b/>
                <w:sz w:val="22"/>
                <w:szCs w:val="22"/>
              </w:rPr>
              <w:t>Variable *</w:t>
            </w:r>
          </w:p>
        </w:tc>
        <w:tc>
          <w:tcPr>
            <w:tcW w:w="118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E227F77" w14:textId="77777777" w:rsidR="003F0376" w:rsidRPr="00206608" w:rsidRDefault="003F0376" w:rsidP="00B91499">
            <w:pPr>
              <w:pStyle w:val="nieuw-Tabellen"/>
              <w:ind w:firstLine="0"/>
              <w:jc w:val="center"/>
              <w:rPr>
                <w:b/>
                <w:sz w:val="22"/>
                <w:szCs w:val="22"/>
              </w:rPr>
            </w:pPr>
            <w:r w:rsidRPr="00206608">
              <w:rPr>
                <w:rFonts w:eastAsia="Arial"/>
                <w:b/>
                <w:sz w:val="22"/>
                <w:szCs w:val="22"/>
              </w:rPr>
              <w:t>β</w:t>
            </w:r>
          </w:p>
        </w:tc>
        <w:tc>
          <w:tcPr>
            <w:tcW w:w="193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C80FB95" w14:textId="77777777" w:rsidR="003F0376" w:rsidRPr="00206608" w:rsidRDefault="003F0376" w:rsidP="00B91499">
            <w:pPr>
              <w:pStyle w:val="nieuw-Tabellen"/>
              <w:ind w:firstLine="0"/>
              <w:jc w:val="center"/>
              <w:rPr>
                <w:b/>
                <w:sz w:val="22"/>
                <w:szCs w:val="22"/>
              </w:rPr>
            </w:pPr>
            <w:r w:rsidRPr="00206608">
              <w:rPr>
                <w:rFonts w:eastAsia="Arial"/>
                <w:b/>
                <w:sz w:val="22"/>
                <w:szCs w:val="22"/>
              </w:rPr>
              <w:t>95% CI</w:t>
            </w:r>
          </w:p>
        </w:tc>
        <w:tc>
          <w:tcPr>
            <w:tcW w:w="148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B4046A4" w14:textId="77777777" w:rsidR="003F0376" w:rsidRPr="00206608" w:rsidRDefault="003F0376" w:rsidP="00B91499">
            <w:pPr>
              <w:pStyle w:val="nieuw-Tabellen"/>
              <w:ind w:firstLine="0"/>
              <w:jc w:val="right"/>
              <w:rPr>
                <w:b/>
                <w:sz w:val="22"/>
                <w:szCs w:val="22"/>
              </w:rPr>
            </w:pPr>
            <w:r w:rsidRPr="00206608">
              <w:rPr>
                <w:rFonts w:eastAsia="Arial"/>
                <w:b/>
                <w:sz w:val="22"/>
                <w:szCs w:val="22"/>
              </w:rPr>
              <w:t xml:space="preserve">P-value  </w:t>
            </w:r>
          </w:p>
        </w:tc>
      </w:tr>
      <w:tr w:rsidR="00206608" w:rsidRPr="00206608" w14:paraId="6755EE6F" w14:textId="77777777" w:rsidTr="00B91499">
        <w:trPr>
          <w:trHeight w:val="14"/>
        </w:trPr>
        <w:tc>
          <w:tcPr>
            <w:tcW w:w="4759" w:type="dxa"/>
            <w:tcBorders>
              <w:top w:val="nil"/>
              <w:left w:val="nil"/>
              <w:bottom w:val="none" w:sz="4" w:space="0" w:color="000000" w:themeColor="text1"/>
              <w:right w:val="nil"/>
            </w:tcBorders>
          </w:tcPr>
          <w:p w14:paraId="3711602D" w14:textId="77777777" w:rsidR="003F0376" w:rsidRPr="00206608" w:rsidRDefault="003F0376" w:rsidP="00B91499">
            <w:pPr>
              <w:pStyle w:val="nieuw-Tabellen"/>
              <w:ind w:firstLine="0"/>
              <w:rPr>
                <w:sz w:val="22"/>
                <w:szCs w:val="22"/>
              </w:rPr>
            </w:pPr>
            <w:r w:rsidRPr="00206608">
              <w:rPr>
                <w:rFonts w:eastAsia="Arial"/>
                <w:sz w:val="22"/>
                <w:szCs w:val="22"/>
              </w:rPr>
              <w:t xml:space="preserve">Diet quality </w:t>
            </w:r>
            <w:r w:rsidRPr="00206608">
              <w:rPr>
                <w:rFonts w:eastAsia="Arial"/>
                <w:i/>
                <w:iCs/>
                <w:sz w:val="22"/>
                <w:szCs w:val="22"/>
              </w:rPr>
              <w:t>(</w:t>
            </w:r>
            <w:r w:rsidRPr="00206608">
              <w:rPr>
                <w:rFonts w:eastAsia="Arial"/>
                <w:sz w:val="22"/>
                <w:szCs w:val="22"/>
              </w:rPr>
              <w:t xml:space="preserve">total </w:t>
            </w:r>
            <w:proofErr w:type="spellStart"/>
            <w:r w:rsidRPr="00206608">
              <w:rPr>
                <w:rFonts w:eastAsia="Arial"/>
                <w:i/>
                <w:iCs/>
                <w:sz w:val="22"/>
                <w:szCs w:val="22"/>
              </w:rPr>
              <w:t>Eetscore</w:t>
            </w:r>
            <w:proofErr w:type="spellEnd"/>
            <w:r w:rsidRPr="00206608">
              <w:rPr>
                <w:rFonts w:eastAsia="Arial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189" w:type="dxa"/>
            <w:tcBorders>
              <w:top w:val="single" w:sz="18" w:space="0" w:color="auto"/>
              <w:left w:val="nil"/>
              <w:bottom w:val="none" w:sz="4" w:space="0" w:color="000000" w:themeColor="text1"/>
              <w:right w:val="nil"/>
            </w:tcBorders>
          </w:tcPr>
          <w:p w14:paraId="30A37005" w14:textId="77777777" w:rsidR="003F0376" w:rsidRPr="00206608" w:rsidRDefault="003F0376" w:rsidP="00B91499">
            <w:pPr>
              <w:pStyle w:val="nieuw-Tabellen"/>
              <w:ind w:firstLine="0"/>
              <w:jc w:val="center"/>
              <w:rPr>
                <w:sz w:val="22"/>
                <w:szCs w:val="22"/>
              </w:rPr>
            </w:pPr>
            <w:r w:rsidRPr="00206608">
              <w:rPr>
                <w:rFonts w:eastAsia="Arial"/>
                <w:sz w:val="22"/>
                <w:szCs w:val="22"/>
              </w:rPr>
              <w:t>0.0</w:t>
            </w:r>
            <w:r w:rsidR="00CB1BB7" w:rsidRPr="00206608">
              <w:rPr>
                <w:rFonts w:eastAsia="Arial"/>
                <w:sz w:val="22"/>
                <w:szCs w:val="22"/>
              </w:rPr>
              <w:t>4</w:t>
            </w:r>
          </w:p>
        </w:tc>
        <w:tc>
          <w:tcPr>
            <w:tcW w:w="1933" w:type="dxa"/>
            <w:tcBorders>
              <w:top w:val="single" w:sz="18" w:space="0" w:color="auto"/>
              <w:left w:val="nil"/>
              <w:bottom w:val="none" w:sz="4" w:space="0" w:color="000000" w:themeColor="text1"/>
              <w:right w:val="nil"/>
            </w:tcBorders>
          </w:tcPr>
          <w:p w14:paraId="090D4936" w14:textId="77777777" w:rsidR="003F0376" w:rsidRPr="00206608" w:rsidRDefault="003F0376" w:rsidP="00B91499">
            <w:pPr>
              <w:pStyle w:val="nieuw-Tabellen"/>
              <w:ind w:firstLine="0"/>
              <w:jc w:val="center"/>
              <w:rPr>
                <w:rFonts w:eastAsia="Arial"/>
                <w:sz w:val="22"/>
                <w:szCs w:val="22"/>
              </w:rPr>
            </w:pPr>
            <w:r w:rsidRPr="00206608">
              <w:rPr>
                <w:rFonts w:eastAsia="Arial"/>
                <w:sz w:val="22"/>
                <w:szCs w:val="22"/>
              </w:rPr>
              <w:t>0.002;   0.07</w:t>
            </w:r>
          </w:p>
        </w:tc>
        <w:tc>
          <w:tcPr>
            <w:tcW w:w="1481" w:type="dxa"/>
            <w:tcBorders>
              <w:top w:val="single" w:sz="18" w:space="0" w:color="auto"/>
              <w:left w:val="nil"/>
              <w:bottom w:val="none" w:sz="4" w:space="0" w:color="000000" w:themeColor="text1"/>
              <w:right w:val="nil"/>
            </w:tcBorders>
          </w:tcPr>
          <w:p w14:paraId="5DBE447A" w14:textId="77777777" w:rsidR="003F0376" w:rsidRPr="00206608" w:rsidRDefault="003F0376" w:rsidP="00B91499">
            <w:pPr>
              <w:pStyle w:val="nieuw-Tabellen"/>
              <w:ind w:firstLine="0"/>
              <w:jc w:val="right"/>
              <w:rPr>
                <w:rFonts w:eastAsia="Arial"/>
                <w:b/>
                <w:sz w:val="22"/>
                <w:szCs w:val="22"/>
              </w:rPr>
            </w:pPr>
            <w:r w:rsidRPr="00206608">
              <w:rPr>
                <w:rFonts w:eastAsia="Arial"/>
                <w:b/>
                <w:sz w:val="22"/>
                <w:szCs w:val="22"/>
              </w:rPr>
              <w:t>0.0</w:t>
            </w:r>
            <w:r w:rsidR="00B90B43" w:rsidRPr="00206608">
              <w:rPr>
                <w:rFonts w:eastAsia="Arial"/>
                <w:b/>
                <w:sz w:val="22"/>
                <w:szCs w:val="22"/>
              </w:rPr>
              <w:t>4</w:t>
            </w:r>
          </w:p>
        </w:tc>
      </w:tr>
      <w:tr w:rsidR="00206608" w:rsidRPr="00206608" w14:paraId="2B6402A6" w14:textId="77777777" w:rsidTr="00B91499">
        <w:trPr>
          <w:trHeight w:val="14"/>
        </w:trPr>
        <w:tc>
          <w:tcPr>
            <w:tcW w:w="4759" w:type="dxa"/>
            <w:tcBorders>
              <w:top w:val="none" w:sz="4" w:space="0" w:color="000000" w:themeColor="text1"/>
              <w:left w:val="none" w:sz="4" w:space="0" w:color="000000" w:themeColor="text1"/>
              <w:bottom w:val="none" w:sz="18" w:space="0" w:color="000000" w:themeColor="text1"/>
              <w:right w:val="none" w:sz="4" w:space="0" w:color="000000" w:themeColor="text1"/>
            </w:tcBorders>
          </w:tcPr>
          <w:p w14:paraId="66A90AAA" w14:textId="77777777" w:rsidR="003F0376" w:rsidRPr="00206608" w:rsidRDefault="003F0376" w:rsidP="00B91499">
            <w:pPr>
              <w:pStyle w:val="nieuw-Tabellen"/>
              <w:ind w:firstLine="0"/>
              <w:rPr>
                <w:sz w:val="22"/>
                <w:szCs w:val="22"/>
              </w:rPr>
            </w:pPr>
            <w:r w:rsidRPr="00206608">
              <w:rPr>
                <w:rFonts w:eastAsia="Arial"/>
                <w:sz w:val="22"/>
                <w:szCs w:val="22"/>
              </w:rPr>
              <w:t>Age (</w:t>
            </w:r>
            <w:r w:rsidRPr="00206608">
              <w:rPr>
                <w:rFonts w:eastAsia="Arial"/>
                <w:i/>
                <w:iCs/>
                <w:sz w:val="22"/>
                <w:szCs w:val="22"/>
              </w:rPr>
              <w:t>in years)</w:t>
            </w:r>
          </w:p>
        </w:tc>
        <w:tc>
          <w:tcPr>
            <w:tcW w:w="1189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7E0AFCA3" w14:textId="77777777" w:rsidR="003F0376" w:rsidRPr="00206608" w:rsidRDefault="003F0376" w:rsidP="00B91499">
            <w:pPr>
              <w:pStyle w:val="nieuw-Tabellen"/>
              <w:ind w:firstLine="0"/>
              <w:jc w:val="center"/>
              <w:rPr>
                <w:sz w:val="22"/>
                <w:szCs w:val="22"/>
              </w:rPr>
            </w:pPr>
            <w:r w:rsidRPr="00206608">
              <w:rPr>
                <w:rFonts w:eastAsia="Arial"/>
                <w:sz w:val="22"/>
                <w:szCs w:val="22"/>
              </w:rPr>
              <w:t>0.09</w:t>
            </w:r>
          </w:p>
        </w:tc>
        <w:tc>
          <w:tcPr>
            <w:tcW w:w="1933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068AF41A" w14:textId="77777777" w:rsidR="003F0376" w:rsidRPr="00206608" w:rsidRDefault="00CB1BB7" w:rsidP="00B91499">
            <w:pPr>
              <w:pStyle w:val="nieuw-Tabellen"/>
              <w:ind w:firstLine="0"/>
              <w:jc w:val="center"/>
              <w:rPr>
                <w:sz w:val="22"/>
                <w:szCs w:val="22"/>
              </w:rPr>
            </w:pPr>
            <w:r w:rsidRPr="00206608">
              <w:rPr>
                <w:rFonts w:eastAsia="Arial"/>
                <w:sz w:val="22"/>
                <w:szCs w:val="22"/>
              </w:rPr>
              <w:t xml:space="preserve"> </w:t>
            </w:r>
            <w:r w:rsidR="003F0376" w:rsidRPr="00206608">
              <w:rPr>
                <w:rFonts w:eastAsia="Arial"/>
                <w:sz w:val="22"/>
                <w:szCs w:val="22"/>
              </w:rPr>
              <w:t>0.0</w:t>
            </w:r>
            <w:r w:rsidRPr="00206608">
              <w:rPr>
                <w:rFonts w:eastAsia="Arial"/>
                <w:sz w:val="22"/>
                <w:szCs w:val="22"/>
              </w:rPr>
              <w:t>1</w:t>
            </w:r>
            <w:proofErr w:type="gramStart"/>
            <w:r w:rsidR="003F0376" w:rsidRPr="00206608">
              <w:rPr>
                <w:rFonts w:eastAsia="Arial"/>
                <w:sz w:val="22"/>
                <w:szCs w:val="22"/>
              </w:rPr>
              <w:t>;  0</w:t>
            </w:r>
            <w:proofErr w:type="gramEnd"/>
            <w:r w:rsidR="003F0376" w:rsidRPr="00206608">
              <w:rPr>
                <w:rFonts w:eastAsia="Arial"/>
                <w:sz w:val="22"/>
                <w:szCs w:val="22"/>
              </w:rPr>
              <w:t>.17</w:t>
            </w:r>
          </w:p>
        </w:tc>
        <w:tc>
          <w:tcPr>
            <w:tcW w:w="1481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1BC338BA" w14:textId="77777777" w:rsidR="003F0376" w:rsidRPr="00206608" w:rsidRDefault="003F0376" w:rsidP="00B91499">
            <w:pPr>
              <w:pStyle w:val="nieuw-Tabellen"/>
              <w:ind w:firstLine="0"/>
              <w:jc w:val="right"/>
              <w:rPr>
                <w:rFonts w:eastAsia="Arial"/>
                <w:b/>
                <w:sz w:val="22"/>
                <w:szCs w:val="22"/>
              </w:rPr>
            </w:pPr>
            <w:r w:rsidRPr="00206608">
              <w:rPr>
                <w:rFonts w:eastAsia="Arial"/>
                <w:b/>
                <w:sz w:val="22"/>
                <w:szCs w:val="22"/>
              </w:rPr>
              <w:t>0.0</w:t>
            </w:r>
            <w:r w:rsidR="00CB1BB7" w:rsidRPr="00206608">
              <w:rPr>
                <w:rFonts w:eastAsia="Arial"/>
                <w:b/>
                <w:sz w:val="22"/>
                <w:szCs w:val="22"/>
              </w:rPr>
              <w:t>2</w:t>
            </w:r>
          </w:p>
        </w:tc>
      </w:tr>
      <w:tr w:rsidR="00206608" w:rsidRPr="00206608" w14:paraId="4D789283" w14:textId="77777777" w:rsidTr="00B91499">
        <w:trPr>
          <w:trHeight w:val="387"/>
        </w:trPr>
        <w:tc>
          <w:tcPr>
            <w:tcW w:w="4759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36C6744B" w14:textId="77777777" w:rsidR="003F0376" w:rsidRPr="00206608" w:rsidRDefault="003F0376" w:rsidP="00B91499">
            <w:pPr>
              <w:pStyle w:val="nieuw-Tabellen"/>
              <w:ind w:firstLine="0"/>
              <w:rPr>
                <w:sz w:val="22"/>
                <w:szCs w:val="22"/>
              </w:rPr>
            </w:pPr>
            <w:r w:rsidRPr="00206608">
              <w:rPr>
                <w:rFonts w:eastAsia="Arial"/>
                <w:sz w:val="22"/>
                <w:szCs w:val="22"/>
              </w:rPr>
              <w:t xml:space="preserve">Female gender </w:t>
            </w:r>
            <w:r w:rsidRPr="00206608">
              <w:rPr>
                <w:rFonts w:eastAsia="Arial"/>
                <w:i/>
                <w:iCs/>
                <w:sz w:val="22"/>
                <w:szCs w:val="22"/>
              </w:rPr>
              <w:t>(vs. male)</w:t>
            </w:r>
          </w:p>
        </w:tc>
        <w:tc>
          <w:tcPr>
            <w:tcW w:w="1189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766840DA" w14:textId="77777777" w:rsidR="003F0376" w:rsidRPr="00206608" w:rsidRDefault="003F0376" w:rsidP="00B91499">
            <w:pPr>
              <w:pStyle w:val="nieuw-Tabellen"/>
              <w:ind w:firstLine="0"/>
              <w:jc w:val="center"/>
              <w:rPr>
                <w:rFonts w:eastAsia="Arial"/>
                <w:sz w:val="22"/>
                <w:szCs w:val="22"/>
              </w:rPr>
            </w:pPr>
            <w:r w:rsidRPr="00206608">
              <w:rPr>
                <w:sz w:val="22"/>
              </w:rPr>
              <w:t xml:space="preserve">– </w:t>
            </w:r>
            <w:r w:rsidRPr="00206608">
              <w:rPr>
                <w:rFonts w:eastAsia="Arial"/>
                <w:sz w:val="22"/>
                <w:szCs w:val="22"/>
              </w:rPr>
              <w:t>2.7</w:t>
            </w:r>
            <w:r w:rsidR="00CB1BB7" w:rsidRPr="00206608">
              <w:rPr>
                <w:rFonts w:eastAsia="Arial"/>
                <w:sz w:val="22"/>
                <w:szCs w:val="22"/>
              </w:rPr>
              <w:t>9</w:t>
            </w:r>
          </w:p>
        </w:tc>
        <w:tc>
          <w:tcPr>
            <w:tcW w:w="1933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188CE2B5" w14:textId="77777777" w:rsidR="003F0376" w:rsidRPr="00206608" w:rsidRDefault="003F0376" w:rsidP="00B91499">
            <w:pPr>
              <w:pStyle w:val="nieuw-Tabellen"/>
              <w:ind w:firstLine="0"/>
              <w:jc w:val="center"/>
              <w:rPr>
                <w:sz w:val="22"/>
                <w:szCs w:val="22"/>
              </w:rPr>
            </w:pPr>
            <w:r w:rsidRPr="00206608">
              <w:rPr>
                <w:sz w:val="22"/>
              </w:rPr>
              <w:t xml:space="preserve">– </w:t>
            </w:r>
            <w:r w:rsidR="00CB1BB7" w:rsidRPr="00206608">
              <w:rPr>
                <w:rFonts w:eastAsia="Arial"/>
                <w:sz w:val="22"/>
                <w:szCs w:val="22"/>
              </w:rPr>
              <w:t>5</w:t>
            </w:r>
            <w:r w:rsidRPr="00206608">
              <w:rPr>
                <w:rFonts w:eastAsia="Arial"/>
                <w:sz w:val="22"/>
                <w:szCs w:val="22"/>
              </w:rPr>
              <w:t>.</w:t>
            </w:r>
            <w:r w:rsidR="00CB1BB7" w:rsidRPr="00206608">
              <w:rPr>
                <w:rFonts w:eastAsia="Arial"/>
                <w:sz w:val="22"/>
                <w:szCs w:val="22"/>
              </w:rPr>
              <w:t>02</w:t>
            </w:r>
            <w:r w:rsidRPr="00206608">
              <w:rPr>
                <w:rFonts w:eastAsia="Arial"/>
                <w:sz w:val="22"/>
                <w:szCs w:val="22"/>
              </w:rPr>
              <w:t xml:space="preserve">; </w:t>
            </w:r>
            <w:r w:rsidRPr="00206608">
              <w:rPr>
                <w:sz w:val="22"/>
              </w:rPr>
              <w:t xml:space="preserve">– </w:t>
            </w:r>
            <w:r w:rsidRPr="00206608">
              <w:rPr>
                <w:rFonts w:eastAsia="Arial"/>
                <w:sz w:val="22"/>
                <w:szCs w:val="22"/>
              </w:rPr>
              <w:t>0.</w:t>
            </w:r>
            <w:r w:rsidR="00CB1BB7" w:rsidRPr="00206608">
              <w:rPr>
                <w:rFonts w:eastAsia="Arial"/>
                <w:sz w:val="22"/>
                <w:szCs w:val="22"/>
              </w:rPr>
              <w:t>56</w:t>
            </w:r>
          </w:p>
        </w:tc>
        <w:tc>
          <w:tcPr>
            <w:tcW w:w="1481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6FE208CD" w14:textId="77777777" w:rsidR="003F0376" w:rsidRPr="00206608" w:rsidRDefault="003F0376" w:rsidP="00123751">
            <w:pPr>
              <w:pStyle w:val="nieuw-Tabellen"/>
              <w:ind w:firstLine="0"/>
              <w:jc w:val="right"/>
              <w:rPr>
                <w:rFonts w:eastAsia="Arial"/>
                <w:b/>
                <w:sz w:val="22"/>
                <w:szCs w:val="22"/>
              </w:rPr>
            </w:pPr>
            <w:r w:rsidRPr="00206608">
              <w:rPr>
                <w:rFonts w:eastAsia="Arial"/>
                <w:b/>
                <w:sz w:val="22"/>
                <w:szCs w:val="22"/>
              </w:rPr>
              <w:t>0.0</w:t>
            </w:r>
            <w:r w:rsidR="00123751" w:rsidRPr="00206608">
              <w:rPr>
                <w:rFonts w:eastAsia="Arial"/>
                <w:b/>
                <w:sz w:val="22"/>
                <w:szCs w:val="22"/>
              </w:rPr>
              <w:t>2</w:t>
            </w:r>
          </w:p>
        </w:tc>
      </w:tr>
      <w:tr w:rsidR="00206608" w:rsidRPr="00206608" w14:paraId="68600A95" w14:textId="77777777" w:rsidTr="00B91499">
        <w:trPr>
          <w:trHeight w:val="14"/>
        </w:trPr>
        <w:tc>
          <w:tcPr>
            <w:tcW w:w="4759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2599971D" w14:textId="77777777" w:rsidR="003F0376" w:rsidRPr="00206608" w:rsidRDefault="003F0376" w:rsidP="00B91499">
            <w:pPr>
              <w:pStyle w:val="nieuw-Tabellen"/>
              <w:ind w:firstLine="0"/>
              <w:rPr>
                <w:sz w:val="22"/>
                <w:szCs w:val="22"/>
              </w:rPr>
            </w:pPr>
            <w:r w:rsidRPr="00206608">
              <w:rPr>
                <w:rFonts w:eastAsia="Arial"/>
                <w:sz w:val="22"/>
                <w:szCs w:val="22"/>
              </w:rPr>
              <w:t>BMI (</w:t>
            </w:r>
            <w:r w:rsidRPr="00206608">
              <w:rPr>
                <w:rFonts w:eastAsia="Arial"/>
                <w:i/>
                <w:iCs/>
                <w:sz w:val="22"/>
                <w:szCs w:val="22"/>
              </w:rPr>
              <w:t>kg/m</w:t>
            </w:r>
            <w:r w:rsidRPr="00206608">
              <w:rPr>
                <w:rFonts w:eastAsia="Arial"/>
                <w:i/>
                <w:iCs/>
                <w:sz w:val="22"/>
                <w:szCs w:val="22"/>
                <w:vertAlign w:val="superscript"/>
              </w:rPr>
              <w:t>2</w:t>
            </w:r>
            <w:r w:rsidRPr="00206608">
              <w:rPr>
                <w:rFonts w:eastAsia="Arial"/>
                <w:sz w:val="22"/>
                <w:szCs w:val="22"/>
              </w:rPr>
              <w:t>)</w:t>
            </w:r>
          </w:p>
        </w:tc>
        <w:tc>
          <w:tcPr>
            <w:tcW w:w="1189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1047001D" w14:textId="77777777" w:rsidR="003F0376" w:rsidRPr="00206608" w:rsidRDefault="003F0376" w:rsidP="00B91499">
            <w:pPr>
              <w:pStyle w:val="nieuw-Tabellen"/>
              <w:ind w:firstLine="0"/>
              <w:jc w:val="center"/>
              <w:rPr>
                <w:sz w:val="22"/>
                <w:szCs w:val="22"/>
              </w:rPr>
            </w:pPr>
            <w:r w:rsidRPr="00206608">
              <w:rPr>
                <w:sz w:val="22"/>
              </w:rPr>
              <w:t xml:space="preserve">– </w:t>
            </w:r>
            <w:r w:rsidRPr="00206608">
              <w:rPr>
                <w:rFonts w:eastAsia="Arial"/>
                <w:sz w:val="22"/>
                <w:szCs w:val="22"/>
              </w:rPr>
              <w:t>0.43</w:t>
            </w:r>
          </w:p>
        </w:tc>
        <w:tc>
          <w:tcPr>
            <w:tcW w:w="1933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0EDC2471" w14:textId="77777777" w:rsidR="003F0376" w:rsidRPr="00206608" w:rsidRDefault="003F0376" w:rsidP="00B91499">
            <w:pPr>
              <w:pStyle w:val="nieuw-Tabellen"/>
              <w:ind w:firstLine="0"/>
              <w:jc w:val="center"/>
              <w:rPr>
                <w:sz w:val="22"/>
                <w:szCs w:val="22"/>
              </w:rPr>
            </w:pPr>
            <w:r w:rsidRPr="00206608">
              <w:rPr>
                <w:sz w:val="22"/>
              </w:rPr>
              <w:t xml:space="preserve">– </w:t>
            </w:r>
            <w:r w:rsidRPr="00206608">
              <w:rPr>
                <w:rFonts w:eastAsia="Arial"/>
                <w:sz w:val="22"/>
                <w:szCs w:val="22"/>
              </w:rPr>
              <w:t xml:space="preserve">0.67; </w:t>
            </w:r>
            <w:r w:rsidRPr="00206608">
              <w:rPr>
                <w:sz w:val="22"/>
              </w:rPr>
              <w:t xml:space="preserve">– </w:t>
            </w:r>
            <w:r w:rsidRPr="00206608">
              <w:rPr>
                <w:rFonts w:eastAsia="Arial"/>
                <w:sz w:val="22"/>
                <w:szCs w:val="22"/>
              </w:rPr>
              <w:t>0.1</w:t>
            </w:r>
            <w:r w:rsidR="00CB1BB7" w:rsidRPr="00206608">
              <w:rPr>
                <w:rFonts w:eastAsia="Arial"/>
                <w:sz w:val="22"/>
                <w:szCs w:val="22"/>
              </w:rPr>
              <w:t>9</w:t>
            </w:r>
          </w:p>
        </w:tc>
        <w:tc>
          <w:tcPr>
            <w:tcW w:w="1481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2E6EB69A" w14:textId="77777777" w:rsidR="003F0376" w:rsidRPr="00206608" w:rsidRDefault="00CB1BB7" w:rsidP="00B91499">
            <w:pPr>
              <w:pStyle w:val="nieuw-Tabellen"/>
              <w:ind w:firstLine="0"/>
              <w:jc w:val="right"/>
              <w:rPr>
                <w:b/>
                <w:sz w:val="22"/>
                <w:szCs w:val="22"/>
              </w:rPr>
            </w:pPr>
            <w:r w:rsidRPr="00206608">
              <w:rPr>
                <w:rFonts w:eastAsia="Arial"/>
                <w:b/>
                <w:sz w:val="22"/>
                <w:szCs w:val="22"/>
              </w:rPr>
              <w:t xml:space="preserve">&lt; </w:t>
            </w:r>
            <w:r w:rsidR="003F0376" w:rsidRPr="00206608">
              <w:rPr>
                <w:rFonts w:eastAsia="Arial"/>
                <w:b/>
                <w:sz w:val="22"/>
                <w:szCs w:val="22"/>
              </w:rPr>
              <w:t>0.001</w:t>
            </w:r>
          </w:p>
        </w:tc>
      </w:tr>
      <w:tr w:rsidR="00206608" w:rsidRPr="00206608" w14:paraId="0C284B96" w14:textId="77777777" w:rsidTr="00B91499">
        <w:trPr>
          <w:trHeight w:val="14"/>
        </w:trPr>
        <w:tc>
          <w:tcPr>
            <w:tcW w:w="4759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4782F1C3" w14:textId="77777777" w:rsidR="00CB1BB7" w:rsidRPr="00206608" w:rsidRDefault="00CB1BB7" w:rsidP="00CB1BB7">
            <w:pPr>
              <w:pStyle w:val="nieuw-Tabellen"/>
              <w:ind w:firstLine="0"/>
              <w:rPr>
                <w:rFonts w:eastAsia="Arial"/>
                <w:sz w:val="22"/>
                <w:szCs w:val="22"/>
              </w:rPr>
            </w:pPr>
            <w:r w:rsidRPr="00206608">
              <w:rPr>
                <w:rFonts w:eastAsia="Arial"/>
                <w:sz w:val="22"/>
                <w:szCs w:val="22"/>
              </w:rPr>
              <w:t>Biologics as highest step-up</w:t>
            </w:r>
          </w:p>
        </w:tc>
        <w:tc>
          <w:tcPr>
            <w:tcW w:w="1189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05819472" w14:textId="77777777" w:rsidR="00CB1BB7" w:rsidRPr="00206608" w:rsidRDefault="00CB1BB7" w:rsidP="00CB1BB7">
            <w:pPr>
              <w:pStyle w:val="nieuw-Tabellen"/>
              <w:ind w:firstLine="0"/>
              <w:jc w:val="center"/>
              <w:rPr>
                <w:sz w:val="22"/>
                <w:szCs w:val="22"/>
              </w:rPr>
            </w:pPr>
            <w:r w:rsidRPr="00206608">
              <w:rPr>
                <w:sz w:val="22"/>
              </w:rPr>
              <w:t xml:space="preserve">– </w:t>
            </w:r>
            <w:r w:rsidRPr="00206608">
              <w:rPr>
                <w:rFonts w:eastAsia="Arial"/>
                <w:sz w:val="22"/>
                <w:szCs w:val="22"/>
              </w:rPr>
              <w:t>1.28</w:t>
            </w:r>
          </w:p>
        </w:tc>
        <w:tc>
          <w:tcPr>
            <w:tcW w:w="1933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57287B48" w14:textId="77777777" w:rsidR="00CB1BB7" w:rsidRPr="00206608" w:rsidRDefault="00CB1BB7" w:rsidP="00CB1BB7">
            <w:pPr>
              <w:pStyle w:val="nieuw-Tabellen"/>
              <w:ind w:firstLine="0"/>
              <w:jc w:val="center"/>
              <w:rPr>
                <w:sz w:val="22"/>
                <w:szCs w:val="22"/>
              </w:rPr>
            </w:pPr>
            <w:r w:rsidRPr="00206608">
              <w:rPr>
                <w:sz w:val="22"/>
              </w:rPr>
              <w:t xml:space="preserve">– </w:t>
            </w:r>
            <w:r w:rsidRPr="00206608">
              <w:rPr>
                <w:rFonts w:eastAsia="Arial"/>
                <w:sz w:val="22"/>
                <w:szCs w:val="22"/>
              </w:rPr>
              <w:t xml:space="preserve">3.51;    </w:t>
            </w:r>
            <w:r w:rsidRPr="00206608">
              <w:rPr>
                <w:sz w:val="22"/>
              </w:rPr>
              <w:t>0.95</w:t>
            </w:r>
          </w:p>
        </w:tc>
        <w:tc>
          <w:tcPr>
            <w:tcW w:w="1481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470E56E4" w14:textId="77777777" w:rsidR="00CB1BB7" w:rsidRPr="00206608" w:rsidRDefault="00CB1BB7" w:rsidP="00CB1BB7">
            <w:pPr>
              <w:pStyle w:val="nieuw-Tabellen"/>
              <w:ind w:firstLine="0"/>
              <w:jc w:val="right"/>
              <w:rPr>
                <w:sz w:val="22"/>
                <w:szCs w:val="22"/>
              </w:rPr>
            </w:pPr>
            <w:r w:rsidRPr="00206608">
              <w:rPr>
                <w:rFonts w:eastAsia="Arial"/>
                <w:sz w:val="22"/>
                <w:szCs w:val="22"/>
              </w:rPr>
              <w:t>0.26</w:t>
            </w:r>
          </w:p>
        </w:tc>
      </w:tr>
      <w:tr w:rsidR="00206608" w:rsidRPr="00206608" w14:paraId="1417E723" w14:textId="77777777" w:rsidTr="00B91499">
        <w:trPr>
          <w:trHeight w:val="14"/>
        </w:trPr>
        <w:tc>
          <w:tcPr>
            <w:tcW w:w="475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0E87C68" w14:textId="77777777" w:rsidR="00CB1BB7" w:rsidRPr="00206608" w:rsidRDefault="00CB1BB7" w:rsidP="00CB1BB7">
            <w:pPr>
              <w:pStyle w:val="nieuw-Tabellen"/>
              <w:ind w:firstLine="0"/>
              <w:rPr>
                <w:rFonts w:eastAsia="Arial"/>
                <w:sz w:val="22"/>
                <w:szCs w:val="22"/>
              </w:rPr>
            </w:pPr>
            <w:r w:rsidRPr="00206608">
              <w:rPr>
                <w:rFonts w:eastAsia="Arial"/>
                <w:sz w:val="22"/>
                <w:szCs w:val="22"/>
              </w:rPr>
              <w:t xml:space="preserve">Clinically active disease </w:t>
            </w:r>
            <w:r w:rsidRPr="00206608">
              <w:rPr>
                <w:rFonts w:eastAsia="Arial"/>
                <w:i/>
                <w:iCs/>
                <w:sz w:val="22"/>
                <w:szCs w:val="22"/>
              </w:rPr>
              <w:t>(vs. clinical remission)</w:t>
            </w:r>
          </w:p>
        </w:tc>
        <w:tc>
          <w:tcPr>
            <w:tcW w:w="1189" w:type="dxa"/>
            <w:tcBorders>
              <w:top w:val="none" w:sz="4" w:space="0" w:color="000000" w:themeColor="text1"/>
              <w:left w:val="nil"/>
              <w:bottom w:val="single" w:sz="18" w:space="0" w:color="auto"/>
              <w:right w:val="nil"/>
            </w:tcBorders>
          </w:tcPr>
          <w:p w14:paraId="71F95D1F" w14:textId="77777777" w:rsidR="00CB1BB7" w:rsidRPr="00206608" w:rsidRDefault="00CB1BB7" w:rsidP="00CB1BB7">
            <w:pPr>
              <w:pStyle w:val="nieuw-Tabellen"/>
              <w:ind w:firstLine="0"/>
              <w:jc w:val="center"/>
              <w:rPr>
                <w:sz w:val="22"/>
                <w:szCs w:val="22"/>
              </w:rPr>
            </w:pPr>
            <w:r w:rsidRPr="00206608">
              <w:rPr>
                <w:sz w:val="22"/>
              </w:rPr>
              <w:t xml:space="preserve">– </w:t>
            </w:r>
            <w:r w:rsidRPr="00206608">
              <w:rPr>
                <w:rFonts w:eastAsia="Arial"/>
                <w:sz w:val="22"/>
                <w:szCs w:val="22"/>
              </w:rPr>
              <w:t>6.58</w:t>
            </w:r>
          </w:p>
        </w:tc>
        <w:tc>
          <w:tcPr>
            <w:tcW w:w="1933" w:type="dxa"/>
            <w:tcBorders>
              <w:top w:val="none" w:sz="4" w:space="0" w:color="000000" w:themeColor="text1"/>
              <w:left w:val="nil"/>
              <w:bottom w:val="single" w:sz="18" w:space="0" w:color="auto"/>
              <w:right w:val="nil"/>
            </w:tcBorders>
          </w:tcPr>
          <w:p w14:paraId="06766913" w14:textId="77777777" w:rsidR="00CB1BB7" w:rsidRPr="00206608" w:rsidRDefault="00CB1BB7" w:rsidP="00CB1BB7">
            <w:pPr>
              <w:pStyle w:val="nieuw-Tabellen"/>
              <w:ind w:firstLine="0"/>
              <w:jc w:val="center"/>
              <w:rPr>
                <w:sz w:val="22"/>
                <w:szCs w:val="22"/>
              </w:rPr>
            </w:pPr>
            <w:r w:rsidRPr="00206608">
              <w:rPr>
                <w:sz w:val="22"/>
              </w:rPr>
              <w:t>– 5</w:t>
            </w:r>
            <w:r w:rsidRPr="00206608">
              <w:rPr>
                <w:rFonts w:eastAsia="Arial"/>
                <w:sz w:val="22"/>
                <w:szCs w:val="22"/>
              </w:rPr>
              <w:t xml:space="preserve">.85; </w:t>
            </w:r>
            <w:r w:rsidRPr="00206608">
              <w:rPr>
                <w:sz w:val="22"/>
              </w:rPr>
              <w:t xml:space="preserve">– </w:t>
            </w:r>
            <w:r w:rsidRPr="00206608">
              <w:rPr>
                <w:rFonts w:eastAsia="Arial"/>
                <w:sz w:val="22"/>
                <w:szCs w:val="22"/>
              </w:rPr>
              <w:t>5.32</w:t>
            </w:r>
          </w:p>
        </w:tc>
        <w:tc>
          <w:tcPr>
            <w:tcW w:w="1481" w:type="dxa"/>
            <w:tcBorders>
              <w:top w:val="none" w:sz="4" w:space="0" w:color="000000" w:themeColor="text1"/>
              <w:left w:val="nil"/>
              <w:bottom w:val="single" w:sz="18" w:space="0" w:color="auto"/>
              <w:right w:val="nil"/>
            </w:tcBorders>
          </w:tcPr>
          <w:p w14:paraId="07A9B1D5" w14:textId="77777777" w:rsidR="00CB1BB7" w:rsidRPr="00206608" w:rsidRDefault="00CB1BB7" w:rsidP="00CB1BB7">
            <w:pPr>
              <w:pStyle w:val="nieuw-Tabellen"/>
              <w:ind w:firstLine="0"/>
              <w:jc w:val="right"/>
              <w:rPr>
                <w:b/>
                <w:sz w:val="22"/>
                <w:szCs w:val="22"/>
              </w:rPr>
            </w:pPr>
            <w:r w:rsidRPr="00206608">
              <w:rPr>
                <w:rFonts w:eastAsia="Arial"/>
                <w:b/>
                <w:sz w:val="22"/>
                <w:szCs w:val="22"/>
              </w:rPr>
              <w:t>&lt; 0.001</w:t>
            </w:r>
          </w:p>
        </w:tc>
      </w:tr>
    </w:tbl>
    <w:p w14:paraId="740AEA60" w14:textId="77777777" w:rsidR="003F0376" w:rsidRPr="00206608" w:rsidRDefault="006E0B49" w:rsidP="003F0376">
      <w:pPr>
        <w:spacing w:line="360" w:lineRule="auto"/>
        <w:rPr>
          <w:rFonts w:eastAsia="Arial" w:cs="Arial"/>
          <w:b/>
          <w:sz w:val="28"/>
          <w:szCs w:val="28"/>
          <w:lang w:val="en-GB"/>
        </w:rPr>
      </w:pPr>
      <w:r w:rsidRPr="00206608">
        <w:rPr>
          <w:rFonts w:eastAsia="Arial" w:cs="Arial"/>
          <w:sz w:val="20"/>
          <w:szCs w:val="20"/>
          <w:lang w:val="en-GB"/>
        </w:rPr>
        <w:t xml:space="preserve">Bold values are significant. </w:t>
      </w:r>
      <w:r w:rsidR="00CB1BB7" w:rsidRPr="00206608">
        <w:rPr>
          <w:rFonts w:eastAsia="Arial" w:cs="Arial"/>
          <w:sz w:val="20"/>
          <w:szCs w:val="20"/>
          <w:lang w:val="en-GB"/>
        </w:rPr>
        <w:t xml:space="preserve">* Level of education was not associated with health-related quality of life in univariable analysis and therefore not included in the multivariable model. </w:t>
      </w:r>
      <w:r w:rsidR="003F0376" w:rsidRPr="00206608">
        <w:rPr>
          <w:rFonts w:cs="Arial"/>
          <w:sz w:val="20"/>
          <w:szCs w:val="20"/>
          <w:lang w:val="en-GB"/>
        </w:rPr>
        <w:br w:type="column"/>
      </w:r>
      <w:r w:rsidR="003F0376" w:rsidRPr="00206608">
        <w:rPr>
          <w:rFonts w:eastAsia="Arial" w:cs="Arial"/>
          <w:b/>
          <w:sz w:val="28"/>
          <w:szCs w:val="28"/>
          <w:lang w:val="en-GB"/>
        </w:rPr>
        <w:lastRenderedPageBreak/>
        <w:t>Supplementary Figures</w:t>
      </w:r>
    </w:p>
    <w:p w14:paraId="61CE5BB6" w14:textId="77777777" w:rsidR="003F0376" w:rsidRPr="00206608" w:rsidRDefault="003F0376" w:rsidP="003F0376">
      <w:pPr>
        <w:spacing w:line="480" w:lineRule="auto"/>
        <w:rPr>
          <w:rFonts w:eastAsia="Arial" w:cs="Arial"/>
          <w:b/>
          <w:szCs w:val="24"/>
          <w:lang w:val="en-GB"/>
        </w:rPr>
      </w:pPr>
      <w:r w:rsidRPr="00206608">
        <w:rPr>
          <w:rFonts w:eastAsia="Arial" w:cs="Arial"/>
          <w:b/>
          <w:szCs w:val="24"/>
          <w:lang w:val="en-GB"/>
        </w:rPr>
        <w:t xml:space="preserve">Supplementary Figure 1 Diet quality score of an individual participant as shown in the </w:t>
      </w:r>
      <w:r w:rsidRPr="00206608">
        <w:rPr>
          <w:rFonts w:eastAsia="Arial" w:cs="Arial"/>
          <w:b/>
          <w:i/>
          <w:szCs w:val="24"/>
          <w:lang w:val="en-GB"/>
        </w:rPr>
        <w:t>Eetscore</w:t>
      </w:r>
      <w:r w:rsidRPr="00206608">
        <w:rPr>
          <w:rFonts w:eastAsia="Arial" w:cs="Arial"/>
          <w:b/>
          <w:szCs w:val="24"/>
          <w:lang w:val="en-GB"/>
        </w:rPr>
        <w:t xml:space="preserve"> tool</w:t>
      </w:r>
    </w:p>
    <w:p w14:paraId="44A13241" w14:textId="77777777" w:rsidR="003F0376" w:rsidRPr="00206608" w:rsidRDefault="003F0376" w:rsidP="003F0376">
      <w:pPr>
        <w:spacing w:line="480" w:lineRule="auto"/>
        <w:rPr>
          <w:rFonts w:eastAsia="Arial" w:cs="Arial"/>
          <w:b/>
          <w:szCs w:val="24"/>
          <w:lang w:val="en-GB"/>
        </w:rPr>
      </w:pPr>
      <w:r w:rsidRPr="00206608">
        <w:rPr>
          <w:rFonts w:eastAsia="Arial" w:cs="Arial"/>
          <w:b/>
          <w:noProof/>
          <w:szCs w:val="24"/>
          <w:lang w:eastAsia="nl-NL"/>
        </w:rPr>
        <w:drawing>
          <wp:inline distT="0" distB="0" distL="0" distR="0" wp14:anchorId="76981BE5" wp14:editId="44732377">
            <wp:extent cx="5760720" cy="275145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mentary figure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5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1B8FB" w14:textId="77777777" w:rsidR="003F0376" w:rsidRPr="00206608" w:rsidRDefault="003F0376" w:rsidP="003F0376">
      <w:pPr>
        <w:spacing w:line="480" w:lineRule="auto"/>
        <w:rPr>
          <w:rFonts w:eastAsia="Arial" w:cs="Arial"/>
          <w:b/>
          <w:szCs w:val="24"/>
          <w:lang w:val="en-GB"/>
        </w:rPr>
      </w:pPr>
      <w:r w:rsidRPr="00206608">
        <w:rPr>
          <w:rFonts w:eastAsia="Arial" w:cs="Arial"/>
          <w:b/>
          <w:szCs w:val="24"/>
          <w:lang w:val="en-GB"/>
        </w:rPr>
        <w:br w:type="column"/>
      </w:r>
      <w:r w:rsidRPr="00206608">
        <w:rPr>
          <w:rFonts w:eastAsia="Arial" w:cs="Arial"/>
          <w:b/>
          <w:szCs w:val="24"/>
          <w:lang w:val="en-GB"/>
        </w:rPr>
        <w:lastRenderedPageBreak/>
        <w:t xml:space="preserve">Supplementary Figure 2 Personalised dietary advice of an individual participant as shown in the </w:t>
      </w:r>
      <w:r w:rsidRPr="00206608">
        <w:rPr>
          <w:rFonts w:eastAsia="Arial" w:cs="Arial"/>
          <w:b/>
          <w:i/>
          <w:szCs w:val="24"/>
          <w:lang w:val="en-GB"/>
        </w:rPr>
        <w:t>Eetscore</w:t>
      </w:r>
      <w:r w:rsidRPr="00206608">
        <w:rPr>
          <w:rFonts w:eastAsia="Arial" w:cs="Arial"/>
          <w:b/>
          <w:szCs w:val="24"/>
          <w:lang w:val="en-GB"/>
        </w:rPr>
        <w:t xml:space="preserve"> tool</w:t>
      </w:r>
    </w:p>
    <w:p w14:paraId="7DF27F6C" w14:textId="77777777" w:rsidR="003F0376" w:rsidRPr="00206608" w:rsidRDefault="003F0376" w:rsidP="003F0376">
      <w:pPr>
        <w:spacing w:line="480" w:lineRule="auto"/>
        <w:rPr>
          <w:rFonts w:eastAsia="Arial" w:cs="Arial"/>
          <w:b/>
          <w:szCs w:val="24"/>
          <w:lang w:val="en-GB"/>
        </w:rPr>
      </w:pPr>
      <w:r w:rsidRPr="00206608">
        <w:rPr>
          <w:rFonts w:eastAsia="Arial" w:cs="Arial"/>
          <w:b/>
          <w:noProof/>
          <w:szCs w:val="24"/>
          <w:lang w:eastAsia="nl-NL"/>
        </w:rPr>
        <w:drawing>
          <wp:inline distT="0" distB="0" distL="0" distR="0" wp14:anchorId="10246F10" wp14:editId="60C582B1">
            <wp:extent cx="5760720" cy="5324475"/>
            <wp:effectExtent l="0" t="0" r="0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pplementary figure 2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5"/>
                    <a:stretch/>
                  </pic:blipFill>
                  <pic:spPr bwMode="auto">
                    <a:xfrm>
                      <a:off x="0" y="0"/>
                      <a:ext cx="5760720" cy="532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0F5761" w14:textId="77777777" w:rsidR="001C311C" w:rsidRPr="00206608" w:rsidRDefault="001C311C">
      <w:pPr>
        <w:rPr>
          <w:rFonts w:ascii="Verdana" w:hAnsi="Verdana"/>
          <w:sz w:val="20"/>
          <w:szCs w:val="20"/>
        </w:rPr>
      </w:pPr>
    </w:p>
    <w:sectPr w:rsidR="001C311C" w:rsidRPr="00206608" w:rsidSect="002066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36265" w14:textId="77777777" w:rsidR="00951A62" w:rsidRDefault="00951A62" w:rsidP="00177AD1">
      <w:pPr>
        <w:spacing w:after="0" w:line="240" w:lineRule="auto"/>
      </w:pPr>
      <w:r>
        <w:separator/>
      </w:r>
    </w:p>
  </w:endnote>
  <w:endnote w:type="continuationSeparator" w:id="0">
    <w:p w14:paraId="365DEB04" w14:textId="77777777" w:rsidR="00951A62" w:rsidRDefault="00951A62" w:rsidP="00177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EE2DD" w14:textId="77777777" w:rsidR="00951A62" w:rsidRDefault="00951A62" w:rsidP="00177AD1">
      <w:pPr>
        <w:spacing w:after="0" w:line="240" w:lineRule="auto"/>
      </w:pPr>
      <w:r>
        <w:separator/>
      </w:r>
    </w:p>
  </w:footnote>
  <w:footnote w:type="continuationSeparator" w:id="0">
    <w:p w14:paraId="663A9F89" w14:textId="77777777" w:rsidR="00951A62" w:rsidRDefault="00951A62" w:rsidP="00177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0229093"/>
      <w:docPartObj>
        <w:docPartGallery w:val="Page Numbers (Top of Page)"/>
        <w:docPartUnique/>
      </w:docPartObj>
    </w:sdtPr>
    <w:sdtEndPr/>
    <w:sdtContent>
      <w:p w14:paraId="64825E29" w14:textId="77777777" w:rsidR="003F0376" w:rsidRDefault="003F0376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751">
          <w:rPr>
            <w:noProof/>
          </w:rPr>
          <w:t>2</w:t>
        </w:r>
        <w:r>
          <w:fldChar w:fldCharType="end"/>
        </w:r>
      </w:p>
    </w:sdtContent>
  </w:sdt>
  <w:p w14:paraId="786337B0" w14:textId="77777777" w:rsidR="003F0376" w:rsidRDefault="003F03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376"/>
    <w:rsid w:val="000D4459"/>
    <w:rsid w:val="00123751"/>
    <w:rsid w:val="00164BAF"/>
    <w:rsid w:val="00177AD1"/>
    <w:rsid w:val="001C311C"/>
    <w:rsid w:val="00206608"/>
    <w:rsid w:val="0021665B"/>
    <w:rsid w:val="003E0C0E"/>
    <w:rsid w:val="003F0376"/>
    <w:rsid w:val="006E0B49"/>
    <w:rsid w:val="00951A62"/>
    <w:rsid w:val="00B227CC"/>
    <w:rsid w:val="00B90B43"/>
    <w:rsid w:val="00CB1BB7"/>
    <w:rsid w:val="00CF5E9D"/>
    <w:rsid w:val="00E5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C832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376"/>
    <w:pPr>
      <w:spacing w:before="240" w:after="240" w:line="25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AD1"/>
    <w:pPr>
      <w:tabs>
        <w:tab w:val="center" w:pos="4536"/>
        <w:tab w:val="right" w:pos="9072"/>
      </w:tabs>
      <w:spacing w:before="0"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177AD1"/>
  </w:style>
  <w:style w:type="paragraph" w:styleId="Footer">
    <w:name w:val="footer"/>
    <w:basedOn w:val="Normal"/>
    <w:link w:val="FooterChar"/>
    <w:uiPriority w:val="99"/>
    <w:unhideWhenUsed/>
    <w:rsid w:val="00177AD1"/>
    <w:pPr>
      <w:tabs>
        <w:tab w:val="center" w:pos="4536"/>
        <w:tab w:val="right" w:pos="9072"/>
      </w:tabs>
      <w:spacing w:before="0"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177AD1"/>
  </w:style>
  <w:style w:type="table" w:styleId="TableGrid">
    <w:name w:val="Table Grid"/>
    <w:basedOn w:val="TableNormal"/>
    <w:uiPriority w:val="39"/>
    <w:rsid w:val="003F0376"/>
    <w:pPr>
      <w:spacing w:after="0" w:line="240" w:lineRule="auto"/>
      <w:ind w:firstLine="360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F0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0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0376"/>
    <w:rPr>
      <w:rFonts w:ascii="Arial" w:hAnsi="Arial"/>
      <w:sz w:val="20"/>
      <w:szCs w:val="20"/>
    </w:rPr>
  </w:style>
  <w:style w:type="paragraph" w:customStyle="1" w:styleId="nieuw-Tabellen">
    <w:name w:val="nieuw - Tabellen"/>
    <w:basedOn w:val="NoSpacing"/>
    <w:link w:val="nieuw-TabellenChar"/>
    <w:qFormat/>
    <w:rsid w:val="003F0376"/>
    <w:pPr>
      <w:spacing w:before="40" w:after="40" w:line="276" w:lineRule="auto"/>
    </w:pPr>
    <w:rPr>
      <w:rFonts w:eastAsiaTheme="minorEastAsia" w:cs="Arial"/>
      <w:sz w:val="18"/>
      <w:szCs w:val="18"/>
      <w:lang w:val="en-GB"/>
    </w:rPr>
  </w:style>
  <w:style w:type="character" w:customStyle="1" w:styleId="nieuw-TabellenChar">
    <w:name w:val="nieuw - Tabellen Char"/>
    <w:basedOn w:val="DefaultParagraphFont"/>
    <w:link w:val="nieuw-Tabellen"/>
    <w:rsid w:val="003F0376"/>
    <w:rPr>
      <w:rFonts w:ascii="Arial" w:eastAsiaTheme="minorEastAsia" w:hAnsi="Arial" w:cs="Arial"/>
      <w:sz w:val="18"/>
      <w:szCs w:val="18"/>
      <w:lang w:val="en-GB"/>
    </w:rPr>
  </w:style>
  <w:style w:type="paragraph" w:styleId="NoSpacing">
    <w:name w:val="No Spacing"/>
    <w:uiPriority w:val="1"/>
    <w:qFormat/>
    <w:rsid w:val="003F0376"/>
    <w:pPr>
      <w:spacing w:after="0" w:line="240" w:lineRule="auto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37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376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3F0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2022-03-28T15:14:00Z</dcterms:created>
  <dcterms:modified xsi:type="dcterms:W3CDTF">2022-03-28T15:14:00Z</dcterms:modified>
</cp:coreProperties>
</file>