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3A" w:rsidRPr="00F45855" w:rsidRDefault="008E7F75" w:rsidP="00AF63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855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E2733A" w:rsidRPr="00F45855" w:rsidRDefault="00E2733A" w:rsidP="00AF63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55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46515B" w:rsidRPr="00F45855">
        <w:rPr>
          <w:rFonts w:ascii="Times New Roman" w:hAnsi="Times New Roman" w:cs="Times New Roman"/>
          <w:sz w:val="24"/>
          <w:szCs w:val="24"/>
        </w:rPr>
        <w:t xml:space="preserve">Evaluation of paper-based and web-based food frequency questionnaires for 7-year-old children in Singapore. </w:t>
      </w:r>
      <w:r w:rsidRPr="00F45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F75" w:rsidRPr="00F45855" w:rsidRDefault="008E7F75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55">
        <w:rPr>
          <w:rFonts w:ascii="Times New Roman" w:hAnsi="Times New Roman" w:cs="Times New Roman"/>
          <w:b/>
          <w:sz w:val="24"/>
          <w:szCs w:val="24"/>
        </w:rPr>
        <w:t xml:space="preserve">Journal: </w:t>
      </w:r>
      <w:r w:rsidRPr="00F45855">
        <w:rPr>
          <w:rFonts w:ascii="Times New Roman" w:hAnsi="Times New Roman" w:cs="Times New Roman"/>
          <w:sz w:val="24"/>
          <w:szCs w:val="24"/>
        </w:rPr>
        <w:t>British Journal of Nutrition</w:t>
      </w:r>
    </w:p>
    <w:p w:rsidR="00E2733A" w:rsidRPr="00F45855" w:rsidRDefault="00E2733A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55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F45855">
        <w:rPr>
          <w:rFonts w:ascii="Times New Roman" w:hAnsi="Times New Roman" w:cs="Times New Roman"/>
          <w:sz w:val="24"/>
          <w:szCs w:val="24"/>
        </w:rPr>
        <w:t xml:space="preserve">Jun S Lai, Jason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 Ying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Toh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, Ray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Marjorelee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Colega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55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45855">
        <w:rPr>
          <w:rFonts w:ascii="Times New Roman" w:hAnsi="Times New Roman" w:cs="Times New Roman"/>
          <w:sz w:val="24"/>
          <w:szCs w:val="24"/>
        </w:rPr>
        <w:t xml:space="preserve"> Tan, Fabian Yap, Yap Seng Chong, Keith M. Godfrey, Mary FF Chong </w:t>
      </w:r>
    </w:p>
    <w:p w:rsidR="00E2733A" w:rsidRPr="00F45855" w:rsidRDefault="00E2733A" w:rsidP="00AF63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55">
        <w:rPr>
          <w:rFonts w:ascii="Times New Roman" w:hAnsi="Times New Roman" w:cs="Times New Roman"/>
          <w:b/>
          <w:sz w:val="24"/>
          <w:szCs w:val="24"/>
          <w:lang w:val="en-US"/>
        </w:rPr>
        <w:t>*Correspondence to:</w:t>
      </w:r>
      <w:r w:rsidRPr="00F45855">
        <w:rPr>
          <w:rFonts w:ascii="Times New Roman" w:hAnsi="Times New Roman" w:cs="Times New Roman"/>
          <w:sz w:val="24"/>
          <w:szCs w:val="24"/>
          <w:lang w:val="en-US"/>
        </w:rPr>
        <w:t xml:space="preserve"> Mary FF Chong. Saw </w:t>
      </w:r>
      <w:proofErr w:type="spellStart"/>
      <w:r w:rsidRPr="00F45855">
        <w:rPr>
          <w:rFonts w:ascii="Times New Roman" w:hAnsi="Times New Roman" w:cs="Times New Roman"/>
          <w:sz w:val="24"/>
          <w:szCs w:val="24"/>
          <w:lang w:val="en-US"/>
        </w:rPr>
        <w:t>Swee</w:t>
      </w:r>
      <w:proofErr w:type="spellEnd"/>
      <w:r w:rsidRPr="00F45855">
        <w:rPr>
          <w:rFonts w:ascii="Times New Roman" w:hAnsi="Times New Roman" w:cs="Times New Roman"/>
          <w:sz w:val="24"/>
          <w:szCs w:val="24"/>
          <w:lang w:val="en-US"/>
        </w:rPr>
        <w:t xml:space="preserve"> Hock School of Public Health, National University of Singapore</w:t>
      </w:r>
      <w:r w:rsidR="00C50AE9" w:rsidRPr="00F45855">
        <w:rPr>
          <w:rFonts w:ascii="Times New Roman" w:hAnsi="Times New Roman" w:cs="Times New Roman"/>
          <w:sz w:val="24"/>
          <w:szCs w:val="24"/>
          <w:lang w:val="en-US"/>
        </w:rPr>
        <w:t xml:space="preserve"> and National University Health System</w:t>
      </w:r>
      <w:r w:rsidRPr="00F45855">
        <w:rPr>
          <w:rFonts w:ascii="Times New Roman" w:hAnsi="Times New Roman" w:cs="Times New Roman"/>
          <w:sz w:val="24"/>
          <w:szCs w:val="24"/>
          <w:lang w:val="en-US"/>
        </w:rPr>
        <w:t xml:space="preserve">, Tahir Foundation Building, 12 Science Drive 2, #09-01Q Singapore 117549. </w:t>
      </w:r>
      <w:proofErr w:type="spellStart"/>
      <w:r w:rsidRPr="00F45855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F45855">
        <w:rPr>
          <w:rFonts w:ascii="Times New Roman" w:hAnsi="Times New Roman" w:cs="Times New Roman"/>
          <w:sz w:val="24"/>
          <w:szCs w:val="24"/>
          <w:lang w:val="en-US"/>
        </w:rPr>
        <w:t>: (65) 65164969. Fax: (65) 67791489. Email: ephmcff@nus.edu.sg</w:t>
      </w:r>
      <w:r w:rsidRPr="00F4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8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305" w:rsidRPr="00F45855" w:rsidRDefault="00DB6A90" w:rsidP="00AF63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F45855">
        <w:rPr>
          <w:rFonts w:ascii="Times New Roman" w:hAnsi="Times New Roman" w:cs="Times New Roman"/>
          <w:b/>
          <w:sz w:val="24"/>
        </w:rPr>
        <w:lastRenderedPageBreak/>
        <w:t>Supplementary</w:t>
      </w:r>
      <w:r w:rsidR="00F51070" w:rsidRPr="00F45855">
        <w:rPr>
          <w:rFonts w:ascii="Times New Roman" w:hAnsi="Times New Roman" w:cs="Times New Roman"/>
          <w:b/>
          <w:sz w:val="24"/>
        </w:rPr>
        <w:t xml:space="preserve"> Methods</w:t>
      </w:r>
    </w:p>
    <w:p w:rsidR="00DB6A90" w:rsidRPr="00F45855" w:rsidRDefault="00F51070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5855">
        <w:rPr>
          <w:rFonts w:ascii="Times New Roman" w:hAnsi="Times New Roman" w:cs="Times New Roman"/>
          <w:sz w:val="24"/>
          <w:u w:val="single"/>
        </w:rPr>
        <w:t>Detailed description of GUSTO Year-7 p</w:t>
      </w:r>
      <w:r w:rsidR="00C50AE9" w:rsidRPr="00F45855">
        <w:rPr>
          <w:rFonts w:ascii="Times New Roman" w:hAnsi="Times New Roman" w:cs="Times New Roman"/>
          <w:sz w:val="24"/>
          <w:u w:val="single"/>
        </w:rPr>
        <w:t>aper-</w:t>
      </w:r>
      <w:r w:rsidR="00DB6A90" w:rsidRPr="00F45855">
        <w:rPr>
          <w:rFonts w:ascii="Times New Roman" w:hAnsi="Times New Roman" w:cs="Times New Roman"/>
          <w:sz w:val="24"/>
          <w:u w:val="single"/>
        </w:rPr>
        <w:t>FFQ</w:t>
      </w:r>
    </w:p>
    <w:p w:rsidR="00DB6A90" w:rsidRPr="00F45855" w:rsidRDefault="00F51070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45855">
        <w:rPr>
          <w:rFonts w:ascii="Times New Roman" w:hAnsi="Times New Roman" w:cs="Times New Roman"/>
          <w:sz w:val="24"/>
          <w:lang w:val="en-US"/>
        </w:rPr>
        <w:t xml:space="preserve">The GUSTO </w:t>
      </w:r>
      <w:r w:rsidR="00C50AE9" w:rsidRPr="00F45855">
        <w:rPr>
          <w:rFonts w:ascii="Times New Roman" w:hAnsi="Times New Roman" w:cs="Times New Roman"/>
          <w:sz w:val="24"/>
          <w:lang w:val="en-US"/>
        </w:rPr>
        <w:t>Year-7 paper-</w:t>
      </w:r>
      <w:r w:rsidRPr="00F45855">
        <w:rPr>
          <w:rFonts w:ascii="Times New Roman" w:hAnsi="Times New Roman" w:cs="Times New Roman"/>
          <w:sz w:val="24"/>
          <w:lang w:val="en-US"/>
        </w:rPr>
        <w:t xml:space="preserve">FFQ is a quantitative FFQ that assesses food intake of 7-year-old children over the past 1 month through parent-report. It contains 120 items divided into the following categories: breads, spreads, cereals, rice and rice dishes, rice porridge, noodles and pasta, soups, vegetables and legumes, fruits, poultry and meat, fish and seafood, eggs, desserts, </w:t>
      </w:r>
      <w:r w:rsidR="00C50AE9" w:rsidRPr="00F45855">
        <w:rPr>
          <w:rFonts w:ascii="Times New Roman" w:hAnsi="Times New Roman" w:cs="Times New Roman"/>
          <w:sz w:val="24"/>
          <w:lang w:val="en-US"/>
        </w:rPr>
        <w:t>savory</w:t>
      </w:r>
      <w:r w:rsidRPr="00F45855">
        <w:rPr>
          <w:rFonts w:ascii="Times New Roman" w:hAnsi="Times New Roman" w:cs="Times New Roman"/>
          <w:sz w:val="24"/>
          <w:lang w:val="en-US"/>
        </w:rPr>
        <w:t xml:space="preserve"> and sweet snacks, confectionaries, pizza and burger, milk and dairy products, and beverages.</w:t>
      </w:r>
      <w:r w:rsidRPr="00F45855">
        <w:rPr>
          <w:rFonts w:ascii="Times New Roman" w:hAnsi="Times New Roman" w:cs="Times New Roman"/>
          <w:sz w:val="24"/>
        </w:rPr>
        <w:t xml:space="preserve"> </w:t>
      </w:r>
      <w:r w:rsidRPr="00F45855">
        <w:rPr>
          <w:rFonts w:ascii="Times New Roman" w:hAnsi="Times New Roman" w:cs="Times New Roman"/>
          <w:sz w:val="24"/>
          <w:lang w:val="en-US"/>
        </w:rPr>
        <w:t>This</w:t>
      </w:r>
      <w:r w:rsidR="00C50AE9" w:rsidRPr="00F45855">
        <w:rPr>
          <w:rFonts w:ascii="Times New Roman" w:hAnsi="Times New Roman" w:cs="Times New Roman"/>
          <w:sz w:val="24"/>
          <w:lang w:val="en-US"/>
        </w:rPr>
        <w:t xml:space="preserve"> paper-</w:t>
      </w:r>
      <w:r w:rsidR="00DB6A90" w:rsidRPr="00F45855">
        <w:rPr>
          <w:rFonts w:ascii="Times New Roman" w:hAnsi="Times New Roman" w:cs="Times New Roman"/>
          <w:sz w:val="24"/>
          <w:lang w:val="en-US"/>
        </w:rPr>
        <w:t xml:space="preserve">FFQ was modified from the validated Year-5 FFQ </w:t>
      </w:r>
      <w:r w:rsidRPr="00F45855">
        <w:rPr>
          <w:rFonts w:ascii="Times New Roman" w:hAnsi="Times New Roman" w:cs="Times New Roman"/>
          <w:sz w:val="24"/>
          <w:vertAlign w:val="superscript"/>
          <w:lang w:val="en-US"/>
        </w:rPr>
        <w:t>(1)</w:t>
      </w:r>
      <w:r w:rsidRPr="00F45855">
        <w:rPr>
          <w:rFonts w:ascii="Times New Roman" w:hAnsi="Times New Roman" w:cs="Times New Roman"/>
          <w:sz w:val="24"/>
          <w:lang w:val="en-US"/>
        </w:rPr>
        <w:t xml:space="preserve"> as follows</w:t>
      </w:r>
      <w:r w:rsidR="00DB6A90" w:rsidRPr="00F45855">
        <w:rPr>
          <w:rFonts w:ascii="Times New Roman" w:hAnsi="Times New Roman" w:cs="Times New Roman"/>
          <w:sz w:val="24"/>
          <w:lang w:val="en-US"/>
        </w:rPr>
        <w:t xml:space="preserve">: 1) adding commonly consumed food items (e.g. mixture of white and unpolished rice, and okra and eggplant) and cooking methods (e.g. cooked in curry gravy); 2) splitting existing food items into more defined types (e.g. noodles were split into rice and wheat noodles); and 3) collapsing existing less consumed food items (e.g. “Milo” and “Horlicks” were collapsed into malt beverages). </w:t>
      </w:r>
    </w:p>
    <w:p w:rsidR="00DB6A90" w:rsidRPr="00F45855" w:rsidRDefault="00A826A0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5855">
        <w:rPr>
          <w:rFonts w:ascii="Times New Roman" w:hAnsi="Times New Roman" w:cs="Times New Roman"/>
          <w:sz w:val="24"/>
          <w:u w:val="single"/>
        </w:rPr>
        <w:t>Detailed description of GUSTO Year-7 web FFQ photography</w:t>
      </w:r>
    </w:p>
    <w:p w:rsidR="00335EE1" w:rsidRPr="00F45855" w:rsidRDefault="00335EE1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F45855">
        <w:rPr>
          <w:rFonts w:ascii="Times New Roman" w:hAnsi="Times New Roman" w:cs="Times New Roman"/>
          <w:sz w:val="24"/>
          <w:lang w:val="en-US"/>
        </w:rPr>
        <w:t xml:space="preserve">Generic food pictures were purchased from websites (https://www.shutterstock.com/ or https://www.dreamstime.com/) which offered royalty-free stock images. Portion size photographs were taken in-house and in collaboration with </w:t>
      </w:r>
      <w:proofErr w:type="spellStart"/>
      <w:r w:rsidRPr="00F45855">
        <w:rPr>
          <w:rFonts w:ascii="Times New Roman" w:hAnsi="Times New Roman" w:cs="Times New Roman"/>
          <w:sz w:val="24"/>
          <w:lang w:val="en-US"/>
        </w:rPr>
        <w:t>Temasek</w:t>
      </w:r>
      <w:proofErr w:type="spellEnd"/>
      <w:r w:rsidRPr="00F45855">
        <w:rPr>
          <w:rFonts w:ascii="Times New Roman" w:hAnsi="Times New Roman" w:cs="Times New Roman"/>
          <w:sz w:val="24"/>
          <w:lang w:val="en-US"/>
        </w:rPr>
        <w:t xml:space="preserve"> Polytechnic, Singapore.</w:t>
      </w:r>
    </w:p>
    <w:p w:rsidR="00672D89" w:rsidRPr="00F45855" w:rsidRDefault="00633001" w:rsidP="00AF6357">
      <w:p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F45855">
        <w:rPr>
          <w:rFonts w:ascii="Times New Roman" w:hAnsi="Times New Roman" w:cs="Times New Roman"/>
          <w:sz w:val="24"/>
        </w:rPr>
        <w:t xml:space="preserve">Foods were purchased from local supermarkets and food </w:t>
      </w:r>
      <w:proofErr w:type="spellStart"/>
      <w:r w:rsidRPr="00F45855">
        <w:rPr>
          <w:rFonts w:ascii="Times New Roman" w:hAnsi="Times New Roman" w:cs="Times New Roman"/>
          <w:sz w:val="24"/>
        </w:rPr>
        <w:t>centers</w:t>
      </w:r>
      <w:proofErr w:type="spellEnd"/>
      <w:r w:rsidRPr="00F45855">
        <w:rPr>
          <w:rFonts w:ascii="Times New Roman" w:hAnsi="Times New Roman" w:cs="Times New Roman"/>
          <w:sz w:val="24"/>
        </w:rPr>
        <w:t>. All portion sizes were weighed using a food scale or measured with standard household measuring utensils</w:t>
      </w:r>
      <w:r w:rsidR="008E7F75" w:rsidRPr="00F45855">
        <w:rPr>
          <w:rFonts w:ascii="Times New Roman" w:hAnsi="Times New Roman" w:cs="Times New Roman"/>
          <w:sz w:val="24"/>
        </w:rPr>
        <w:t xml:space="preserve"> </w:t>
      </w:r>
      <w:r w:rsidR="008E7F75" w:rsidRPr="00F45855">
        <w:rPr>
          <w:rFonts w:ascii="Times New Roman" w:hAnsi="Times New Roman" w:cs="Times New Roman"/>
          <w:sz w:val="24"/>
          <w:vertAlign w:val="superscript"/>
        </w:rPr>
        <w:t>(2)</w:t>
      </w:r>
      <w:r w:rsidRPr="00F45855">
        <w:rPr>
          <w:rFonts w:ascii="Times New Roman" w:hAnsi="Times New Roman" w:cs="Times New Roman"/>
          <w:sz w:val="24"/>
        </w:rPr>
        <w:t xml:space="preserve">. Food was placed in the middle and towards the bottom of a standard plate commonly used in local food </w:t>
      </w:r>
      <w:proofErr w:type="spellStart"/>
      <w:r w:rsidRPr="00F45855">
        <w:rPr>
          <w:rFonts w:ascii="Times New Roman" w:hAnsi="Times New Roman" w:cs="Times New Roman"/>
          <w:sz w:val="24"/>
        </w:rPr>
        <w:t>centers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(9-inch diameter), with a dessertspoon positioned beside the plate to provide perspective</w:t>
      </w:r>
      <w:r w:rsidR="008E7F75" w:rsidRPr="00F45855">
        <w:rPr>
          <w:rFonts w:ascii="Times New Roman" w:hAnsi="Times New Roman" w:cs="Times New Roman"/>
          <w:sz w:val="24"/>
        </w:rPr>
        <w:t xml:space="preserve"> </w:t>
      </w:r>
      <w:r w:rsidR="008E7F75" w:rsidRPr="00F45855">
        <w:rPr>
          <w:rFonts w:ascii="Times New Roman" w:hAnsi="Times New Roman" w:cs="Times New Roman"/>
          <w:sz w:val="24"/>
          <w:vertAlign w:val="superscript"/>
        </w:rPr>
        <w:t>(2, 3)</w:t>
      </w:r>
      <w:r w:rsidRPr="00F45855">
        <w:rPr>
          <w:rFonts w:ascii="Times New Roman" w:hAnsi="Times New Roman" w:cs="Times New Roman"/>
          <w:sz w:val="24"/>
        </w:rPr>
        <w:t>. The plate of food and the spoon was shot at the same angle and distance from the camera with the same lighting each time.</w:t>
      </w:r>
    </w:p>
    <w:p w:rsidR="00F51070" w:rsidRPr="00F45855" w:rsidRDefault="00F51070" w:rsidP="00AF63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F45855">
        <w:rPr>
          <w:rFonts w:ascii="Times New Roman" w:hAnsi="Times New Roman" w:cs="Times New Roman"/>
          <w:b/>
          <w:sz w:val="24"/>
        </w:rPr>
        <w:lastRenderedPageBreak/>
        <w:t>Reference</w:t>
      </w:r>
      <w:r w:rsidR="008E7F75" w:rsidRPr="00F45855">
        <w:rPr>
          <w:rFonts w:ascii="Times New Roman" w:hAnsi="Times New Roman" w:cs="Times New Roman"/>
          <w:b/>
          <w:sz w:val="24"/>
        </w:rPr>
        <w:t>s</w:t>
      </w:r>
    </w:p>
    <w:p w:rsidR="008E7F75" w:rsidRPr="00F45855" w:rsidRDefault="008E7F75" w:rsidP="00AF6357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5855">
        <w:rPr>
          <w:rFonts w:ascii="Times New Roman" w:hAnsi="Times New Roman" w:cs="Times New Roman"/>
          <w:sz w:val="24"/>
        </w:rPr>
        <w:t>Sugianto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R, Chan MJ, Wong SF et al. (2020) Evaluation of a quantitative food frequency questionnaire for 5-year-old children in an Asian population. J </w:t>
      </w:r>
      <w:proofErr w:type="spellStart"/>
      <w:r w:rsidRPr="00F45855">
        <w:rPr>
          <w:rFonts w:ascii="Times New Roman" w:hAnsi="Times New Roman" w:cs="Times New Roman"/>
          <w:sz w:val="24"/>
        </w:rPr>
        <w:t>Acad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5855">
        <w:rPr>
          <w:rFonts w:ascii="Times New Roman" w:hAnsi="Times New Roman" w:cs="Times New Roman"/>
          <w:sz w:val="24"/>
        </w:rPr>
        <w:t>Nutr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Diet 120, 437-444.</w:t>
      </w:r>
    </w:p>
    <w:p w:rsidR="008E7F75" w:rsidRPr="00F45855" w:rsidRDefault="008E7F75" w:rsidP="00AF6357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F45855">
        <w:rPr>
          <w:rFonts w:ascii="Times New Roman" w:hAnsi="Times New Roman" w:cs="Times New Roman"/>
          <w:sz w:val="24"/>
        </w:rPr>
        <w:t xml:space="preserve">Forster H, </w:t>
      </w:r>
      <w:proofErr w:type="spellStart"/>
      <w:r w:rsidRPr="00F45855">
        <w:rPr>
          <w:rFonts w:ascii="Times New Roman" w:hAnsi="Times New Roman" w:cs="Times New Roman"/>
          <w:sz w:val="24"/>
        </w:rPr>
        <w:t>Fallaize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R, Gallagher C et al. (2014) Online dietary intake estimation: the Food4Me food frequency questionnaire. J Med Internet Res 16, e150.</w:t>
      </w:r>
    </w:p>
    <w:p w:rsidR="00E2733A" w:rsidRPr="00F45855" w:rsidRDefault="008E7F75" w:rsidP="00AF6357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F45855">
        <w:rPr>
          <w:rFonts w:ascii="Times New Roman" w:hAnsi="Times New Roman" w:cs="Times New Roman"/>
          <w:sz w:val="24"/>
        </w:rPr>
        <w:t xml:space="preserve">Beasley JM, Davis A, Riley WT (2009) Evaluation of a web-based, pictorial diet history questionnaire. Public Health </w:t>
      </w:r>
      <w:proofErr w:type="spellStart"/>
      <w:r w:rsidRPr="00F45855">
        <w:rPr>
          <w:rFonts w:ascii="Times New Roman" w:hAnsi="Times New Roman" w:cs="Times New Roman"/>
          <w:sz w:val="24"/>
        </w:rPr>
        <w:t>Nutr</w:t>
      </w:r>
      <w:proofErr w:type="spellEnd"/>
      <w:r w:rsidRPr="00F45855">
        <w:rPr>
          <w:rFonts w:ascii="Times New Roman" w:hAnsi="Times New Roman" w:cs="Times New Roman"/>
          <w:sz w:val="24"/>
        </w:rPr>
        <w:t xml:space="preserve"> 12, 651-659.</w:t>
      </w:r>
      <w:r w:rsidR="00E2733A" w:rsidRPr="00F45855">
        <w:rPr>
          <w:rFonts w:ascii="Times New Roman" w:hAnsi="Times New Roman" w:cs="Times New Roman"/>
          <w:sz w:val="24"/>
        </w:rPr>
        <w:br w:type="page"/>
      </w:r>
    </w:p>
    <w:p w:rsidR="00E2733A" w:rsidRPr="00F45855" w:rsidRDefault="00E2733A" w:rsidP="00E2733A">
      <w:pPr>
        <w:pStyle w:val="ListParagraph"/>
        <w:spacing w:after="200" w:line="480" w:lineRule="auto"/>
        <w:ind w:left="360"/>
        <w:rPr>
          <w:rFonts w:ascii="Times New Roman" w:hAnsi="Times New Roman" w:cs="Times New Roman"/>
          <w:sz w:val="24"/>
        </w:rPr>
        <w:sectPr w:rsidR="00E2733A" w:rsidRPr="00F458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7398"/>
        <w:gridCol w:w="1350"/>
        <w:gridCol w:w="1139"/>
        <w:gridCol w:w="1016"/>
        <w:gridCol w:w="41"/>
      </w:tblGrid>
      <w:tr w:rsidR="00F45855" w:rsidRPr="00F45855" w:rsidTr="00B570A1">
        <w:trPr>
          <w:gridAfter w:val="1"/>
          <w:wAfter w:w="41" w:type="dxa"/>
          <w:trHeight w:val="350"/>
        </w:trPr>
        <w:tc>
          <w:tcPr>
            <w:tcW w:w="14215" w:type="dxa"/>
            <w:gridSpan w:val="5"/>
            <w:tcBorders>
              <w:bottom w:val="single" w:sz="4" w:space="0" w:color="auto"/>
            </w:tcBorders>
            <w:noWrap/>
          </w:tcPr>
          <w:p w:rsidR="00E2733A" w:rsidRPr="00F45855" w:rsidRDefault="00AF6357" w:rsidP="00506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lastRenderedPageBreak/>
              <w:t xml:space="preserve">Supplementary </w:t>
            </w:r>
            <w:r w:rsidR="00E2733A"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 xml:space="preserve">Table 1: </w:t>
            </w:r>
            <w:r w:rsidR="00E2733A"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Description of food groups </w:t>
            </w:r>
            <w:r w:rsidR="005062A7"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and their percentages of consumption </w:t>
            </w:r>
            <w:r w:rsidR="00E2733A"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for </w:t>
            </w:r>
            <w:r w:rsidR="005062A7"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evaluation of paper-based and web-based food frequency questionnaires </w:t>
            </w:r>
            <w:r w:rsidR="00E2733A"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in the Growing Up in Singapore Towards healthy Outcomes cohort (n=92).</w:t>
            </w:r>
          </w:p>
        </w:tc>
      </w:tr>
      <w:tr w:rsidR="00F45855" w:rsidRPr="00F45855" w:rsidTr="00AD2175">
        <w:trPr>
          <w:trHeight w:val="350"/>
        </w:trPr>
        <w:tc>
          <w:tcPr>
            <w:tcW w:w="3312" w:type="dxa"/>
            <w:vMerge w:val="restart"/>
            <w:tcBorders>
              <w:top w:val="single" w:sz="4" w:space="0" w:color="auto"/>
            </w:tcBorders>
            <w:noWrap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Foods/food groups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</w:tcBorders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Items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E2733A" w:rsidRPr="00F45855" w:rsidRDefault="00E2733A" w:rsidP="00AD21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 xml:space="preserve">% of </w:t>
            </w:r>
            <w:r w:rsidR="00AD2175"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 xml:space="preserve">participants with </w:t>
            </w: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no</w:t>
            </w:r>
            <w:r w:rsidR="00AD2175"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 xml:space="preserve"> </w:t>
            </w: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consumption</w:t>
            </w:r>
          </w:p>
        </w:tc>
      </w:tr>
      <w:tr w:rsidR="00F45855" w:rsidRPr="00F45855" w:rsidTr="00AD2175">
        <w:trPr>
          <w:trHeight w:val="287"/>
        </w:trPr>
        <w:tc>
          <w:tcPr>
            <w:tcW w:w="3312" w:type="dxa"/>
            <w:vMerge/>
            <w:tcBorders>
              <w:bottom w:val="single" w:sz="4" w:space="0" w:color="auto"/>
            </w:tcBorders>
            <w:noWrap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</w:p>
        </w:tc>
        <w:tc>
          <w:tcPr>
            <w:tcW w:w="7398" w:type="dxa"/>
            <w:vMerge/>
            <w:tcBorders>
              <w:bottom w:val="single" w:sz="4" w:space="0" w:color="auto"/>
            </w:tcBorders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Paper-FFQ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Web-FFQ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E2733A" w:rsidRPr="00F45855" w:rsidRDefault="005062A7" w:rsidP="00E273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 xml:space="preserve">3-day </w:t>
            </w:r>
            <w:r w:rsidR="00C50AE9"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D</w:t>
            </w:r>
            <w:r w:rsidR="00E2733A" w:rsidRPr="00F45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R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tcBorders>
              <w:top w:val="single" w:sz="4" w:space="0" w:color="auto"/>
            </w:tcBorders>
            <w:noWrap/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Breads</w:t>
            </w:r>
          </w:p>
        </w:tc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white bread, wholemeal/multigrain bread, buns (sweet or savoury fillings), ethnic bread (fried or steamed)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1.1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4.3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12.0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Spreads</w:t>
            </w:r>
          </w:p>
        </w:tc>
        <w:tc>
          <w:tcPr>
            <w:tcW w:w="7398" w:type="dxa"/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butter, margarine, peanut butter, kaya,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nutella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, jam, honey, mayonnaise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14.1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43.5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Oats and breakfast cereals</w:t>
            </w:r>
          </w:p>
        </w:tc>
        <w:tc>
          <w:tcPr>
            <w:tcW w:w="7398" w:type="dxa"/>
            <w:vAlign w:val="center"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oats/high fibre cereals, refined cereals (e.g. corn flakes, Koko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Krunch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®, Honey stars®)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18.5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25.0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80.1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Other types of cereals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semolina,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uppuma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, millet</w:t>
            </w:r>
          </w:p>
        </w:tc>
        <w:tc>
          <w:tcPr>
            <w:tcW w:w="1350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86.8</w:t>
            </w:r>
          </w:p>
        </w:tc>
        <w:tc>
          <w:tcPr>
            <w:tcW w:w="1139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93.4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95.6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Rice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plain rice (white, unpolished, mixture of white and unpolished)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8.7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0.1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SG"/>
              </w:rPr>
              <w:t>Flavored</w:t>
            </w: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rice dishes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e.g. fried rice, chicken rice,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nasi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lemak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nasi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briyani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43.5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Porridge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plain and flavoured porridge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82.6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Noodles and pasta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rice and wheat noodles (in soup, stir-fried/dry, with gravy), instant noodles, pasta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1.1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15.2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Soup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cream and clear soups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18.5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29.3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40.2</w:t>
            </w:r>
          </w:p>
        </w:tc>
      </w:tr>
      <w:tr w:rsidR="00F45855" w:rsidRPr="00F45855" w:rsidTr="00AD2175">
        <w:trPr>
          <w:trHeight w:val="431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Cruciferous and dark-green vegetables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cabbage, broccoli, cauliflower, dark-green leafy, green peas and beans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23.9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22.8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30.4</w:t>
            </w:r>
          </w:p>
        </w:tc>
      </w:tr>
      <w:tr w:rsidR="00F45855" w:rsidRPr="00F45855" w:rsidTr="00AD2175">
        <w:trPr>
          <w:trHeight w:val="564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Other vegetables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tomatoes, peppers, carrots, pumpkin, corn, potatoes (boiled),  mushrooms, okra and eggplant, stalk vegetables, gourds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7.6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8.7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32.7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Legumes, nuts, soybean products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lentils, dhal, chickpeas, nuts, bean curd, soymilk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8.7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18.5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53.3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Fruits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all types excluding dried fruits and fruit juices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2.2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33.3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Dried Fruits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350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61.3</w:t>
            </w:r>
          </w:p>
        </w:tc>
        <w:tc>
          <w:tcPr>
            <w:tcW w:w="1139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74.5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94.6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Poultry and meat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poultry, pork, beef (stir-fried, pan-fried, braised, steamed, boiled, roasted, grilled, deep fried, cooked in curry with coconut milk/cream)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23.9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Processed meat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dried/preserved meat, meatballs, nuggets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52.2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Fish, seafood, and products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all types of fish and seafood, canned fish, fish and seafood products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7.6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12.0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32.9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Eggs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fried, scrambled, boiled, poached, steamed, omelette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27.2</w:t>
            </w:r>
          </w:p>
        </w:tc>
      </w:tr>
      <w:tr w:rsidR="00F45855" w:rsidRPr="00F45855" w:rsidTr="00AD2175">
        <w:trPr>
          <w:trHeight w:val="52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Desserts and sweet snacks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dessert soups, sweet ethnic snacks (e.g.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kueh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gulab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jamun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), cake, pastry, cream-filled biscuits/cookies, plain biscuits/crackers, ice cream, chocolates, jellies/puddings, sweets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19.6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Fast food and fried snacks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pizza, burger, fried potatoes (e.g. fries), fried dough snacks, fried dim sum, fried salty snacks (e.g. crisps, corn chips, prawn crackers)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32.7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Local steamed snacks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steamed bun with sweet or savoury fillings, steamed dim sum</w:t>
            </w:r>
          </w:p>
        </w:tc>
        <w:tc>
          <w:tcPr>
            <w:tcW w:w="1350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32.1</w:t>
            </w:r>
          </w:p>
        </w:tc>
        <w:tc>
          <w:tcPr>
            <w:tcW w:w="1139" w:type="dxa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35.8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83.2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Milk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full-cream, low-fat, formula, powdered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9.8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13.0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29.3</w:t>
            </w:r>
          </w:p>
        </w:tc>
      </w:tr>
      <w:tr w:rsidR="00F45855" w:rsidRPr="00F45855" w:rsidTr="00AD2175">
        <w:trPr>
          <w:trHeight w:val="270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lastRenderedPageBreak/>
              <w:t>Dairy products (excluding milk)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dairy-based drinks (milk shake, </w:t>
            </w:r>
            <w:proofErr w:type="spellStart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lassi</w:t>
            </w:r>
            <w:proofErr w:type="spellEnd"/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), cultured drinks, yoghurt, cheese, malt beverages (e.g. Horlicks®, Milo®, Ovaltine®)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3.3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25.0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Sweet drinks</w:t>
            </w:r>
          </w:p>
        </w:tc>
        <w:tc>
          <w:tcPr>
            <w:tcW w:w="7398" w:type="dxa"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fruit juices, sweetened commercial beverages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21.7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23.9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51.1</w:t>
            </w:r>
          </w:p>
        </w:tc>
      </w:tr>
      <w:tr w:rsidR="00F45855" w:rsidRPr="00F45855" w:rsidTr="00AD2175">
        <w:trPr>
          <w:trHeight w:val="288"/>
        </w:trPr>
        <w:tc>
          <w:tcPr>
            <w:tcW w:w="33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Non-sweet drinks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  <w:hideMark/>
          </w:tcPr>
          <w:p w:rsidR="00E2733A" w:rsidRPr="00F45855" w:rsidRDefault="00E2733A" w:rsidP="00E27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coffee, tea, low calorie drinks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41.3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69.6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33A" w:rsidRPr="00F45855" w:rsidRDefault="00E2733A" w:rsidP="00E27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F45855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80.5</w:t>
            </w:r>
          </w:p>
        </w:tc>
      </w:tr>
    </w:tbl>
    <w:p w:rsidR="00E2733A" w:rsidRPr="00F45855" w:rsidRDefault="00E2733A" w:rsidP="00E2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en-SG"/>
        </w:rPr>
      </w:pPr>
      <w:r w:rsidRPr="00F45855">
        <w:rPr>
          <w:rFonts w:ascii="Times New Roman" w:eastAsia="Times New Roman" w:hAnsi="Times New Roman" w:cs="Times New Roman"/>
          <w:sz w:val="20"/>
          <w:szCs w:val="24"/>
          <w:lang w:val="en-US" w:eastAsia="en-SG"/>
        </w:rPr>
        <w:t>FFQ,</w:t>
      </w:r>
      <w:r w:rsidR="00C50AE9" w:rsidRPr="00F45855">
        <w:rPr>
          <w:rFonts w:ascii="Times New Roman" w:eastAsia="Times New Roman" w:hAnsi="Times New Roman" w:cs="Times New Roman"/>
          <w:sz w:val="20"/>
          <w:szCs w:val="24"/>
          <w:lang w:val="en-US" w:eastAsia="en-SG"/>
        </w:rPr>
        <w:t xml:space="preserve"> food frequency questionnaire, DR, diet</w:t>
      </w:r>
      <w:r w:rsidRPr="00F45855">
        <w:rPr>
          <w:rFonts w:ascii="Times New Roman" w:eastAsia="Times New Roman" w:hAnsi="Times New Roman" w:cs="Times New Roman"/>
          <w:sz w:val="20"/>
          <w:szCs w:val="24"/>
          <w:lang w:val="en-US" w:eastAsia="en-SG"/>
        </w:rPr>
        <w:t xml:space="preserve"> records</w:t>
      </w:r>
    </w:p>
    <w:p w:rsidR="00D25672" w:rsidRPr="00F45855" w:rsidRDefault="00D25672">
      <w:pPr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br w:type="page"/>
      </w:r>
    </w:p>
    <w:p w:rsidR="00D25672" w:rsidRPr="00F45855" w:rsidRDefault="00D25672" w:rsidP="00D25672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sectPr w:rsidR="00D25672" w:rsidRPr="00F45855" w:rsidSect="00D800C8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D25672" w:rsidRPr="00F45855" w:rsidRDefault="00D25672" w:rsidP="00D25672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lastRenderedPageBreak/>
        <w:t xml:space="preserve">Paper-FFQ and </w:t>
      </w:r>
      <w:r w:rsidR="007A48D2"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3-day 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>DR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  <w:t xml:space="preserve">         </w:t>
      </w:r>
    </w:p>
    <w:p w:rsidR="00D25672" w:rsidRPr="00F45855" w:rsidRDefault="006252B3" w:rsidP="00D2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noProof/>
          <w:lang w:val="en-GB" w:eastAsia="en-GB"/>
        </w:rPr>
        <w:drawing>
          <wp:inline distT="0" distB="0" distL="0" distR="0" wp14:anchorId="6CD0F67D" wp14:editId="551931F0">
            <wp:extent cx="5731510" cy="2279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313"/>
                    <a:stretch/>
                  </pic:blipFill>
                  <pic:spPr bwMode="auto">
                    <a:xfrm>
                      <a:off x="0" y="0"/>
                      <a:ext cx="5731510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672" w:rsidRPr="00F45855" w:rsidRDefault="00D25672" w:rsidP="00D256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</w:p>
    <w:p w:rsidR="00D25672" w:rsidRPr="00F45855" w:rsidRDefault="00D25672" w:rsidP="00D256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>B. Web-FFQ and</w:t>
      </w:r>
      <w:r w:rsidR="007A48D2"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 3-day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 DR</w:t>
      </w:r>
    </w:p>
    <w:p w:rsidR="00D25672" w:rsidRPr="00F45855" w:rsidRDefault="006252B3" w:rsidP="00D2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noProof/>
          <w:lang w:val="en-GB" w:eastAsia="en-GB"/>
        </w:rPr>
        <w:drawing>
          <wp:inline distT="0" distB="0" distL="0" distR="0" wp14:anchorId="0B6BBD8A" wp14:editId="61EF9E82">
            <wp:extent cx="5731510" cy="4168775"/>
            <wp:effectExtent l="0" t="0" r="254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ab/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ab/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ab/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ab/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ab/>
      </w:r>
    </w:p>
    <w:p w:rsidR="00D25672" w:rsidRPr="00F45855" w:rsidRDefault="00AF6357" w:rsidP="00D2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 xml:space="preserve">Supplementary Figure </w:t>
      </w:r>
      <w:r w:rsidR="00D25672" w:rsidRPr="00F45855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1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: Bland–Altman plots comparing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β-carotene and calcium intakes between paper-food frequency questionnaire (FFQ)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diet records (DR) (A), and comparing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β-carotene, calcium, fibre and iron intakes between web-FFQ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DR (B). The x-axis represents the average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intakes of paper-or web-FFQ and DR, and the y-axis represents the difference in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>intakes between paper- or web-FFQ and DR. The solid line represents the mean difference and the dash lines represent the limits of agreements</w:t>
      </w:r>
      <w:r w:rsidR="00EB4165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(±2SD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>)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>.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br w:type="page"/>
      </w:r>
    </w:p>
    <w:p w:rsidR="00D25672" w:rsidRPr="00F45855" w:rsidRDefault="00D25672" w:rsidP="00D25672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lastRenderedPageBreak/>
        <w:t xml:space="preserve">Paper-FFQ and </w:t>
      </w:r>
      <w:r w:rsidR="007A48D2"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3-day 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>DR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ab/>
      </w:r>
    </w:p>
    <w:p w:rsidR="00D25672" w:rsidRPr="00F45855" w:rsidRDefault="003E1DC4" w:rsidP="00D256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  <w:r w:rsidRPr="00F45855">
        <w:rPr>
          <w:noProof/>
          <w:lang w:val="en-GB" w:eastAsia="en-GB"/>
        </w:rPr>
        <w:drawing>
          <wp:inline distT="0" distB="0" distL="0" distR="0" wp14:anchorId="3B56665A" wp14:editId="6800EE25">
            <wp:extent cx="5731510" cy="2235200"/>
            <wp:effectExtent l="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72" w:rsidRPr="00F45855" w:rsidRDefault="00D25672" w:rsidP="00D256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</w:p>
    <w:p w:rsidR="00D25672" w:rsidRPr="00F45855" w:rsidRDefault="00D25672" w:rsidP="00D256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B. Web-FFQ and </w:t>
      </w:r>
      <w:r w:rsidR="007A48D2"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3-day </w:t>
      </w: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>DR</w:t>
      </w:r>
    </w:p>
    <w:p w:rsidR="00D25672" w:rsidRPr="00F45855" w:rsidRDefault="003E1DC4" w:rsidP="00D2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noProof/>
          <w:lang w:val="en-GB" w:eastAsia="en-GB"/>
        </w:rPr>
        <w:drawing>
          <wp:inline distT="0" distB="0" distL="0" distR="0" wp14:anchorId="598D3894" wp14:editId="795934F1">
            <wp:extent cx="5731510" cy="4205605"/>
            <wp:effectExtent l="0" t="0" r="254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72" w:rsidRPr="00F45855" w:rsidRDefault="00D25672" w:rsidP="00D2567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45855"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t xml:space="preserve">    </w:t>
      </w:r>
    </w:p>
    <w:p w:rsidR="00D25672" w:rsidRPr="00F45855" w:rsidRDefault="008A2246" w:rsidP="00D2567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F45855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 xml:space="preserve">Supplementary </w:t>
      </w:r>
      <w:r w:rsidR="00D25672" w:rsidRPr="00F45855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Figure 2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: Bland–Altman plots comparing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intakes of cruciferous and dark green vegetables, and milk between paper-food frequency questionnaire (FFQ)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diet records (DR) (A), and comparing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intakes of cruciferous and dark green vegetables, milk, noodles and pasta, and fish and seafood between web-FFQ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DR (B). The x-axis represents the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average daily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intakes of paper- or web-FFQ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DR, and the y-axis represents the difference in 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>average daily intakes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between paper-or web-FFQ and </w:t>
      </w:r>
      <w:r w:rsidR="007A48D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3-day </w:t>
      </w:r>
      <w:r w:rsidR="00D25672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>DR. The solid line represents the mean difference and the dash lines represent the limits of agreements</w:t>
      </w:r>
      <w:r w:rsidR="00C07424" w:rsidRPr="00F45855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(±2SD)</w:t>
      </w:r>
      <w:r w:rsidR="00D25672" w:rsidRPr="00F45855">
        <w:rPr>
          <w:rFonts w:ascii="Times New Roman" w:eastAsia="Times New Roman" w:hAnsi="Times New Roman" w:cs="Times New Roman"/>
          <w:szCs w:val="24"/>
          <w:lang w:eastAsia="en-SG"/>
        </w:rPr>
        <w:t>.</w:t>
      </w:r>
    </w:p>
    <w:p w:rsidR="00E2733A" w:rsidRPr="00F45855" w:rsidRDefault="00E2733A" w:rsidP="00C2029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2733A" w:rsidRPr="00F45855" w:rsidSect="00C2029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B7" w:rsidRDefault="00F56BB7" w:rsidP="00E2733A">
      <w:pPr>
        <w:spacing w:after="0" w:line="240" w:lineRule="auto"/>
      </w:pPr>
      <w:r>
        <w:separator/>
      </w:r>
    </w:p>
  </w:endnote>
  <w:endnote w:type="continuationSeparator" w:id="0">
    <w:p w:rsidR="00F56BB7" w:rsidRDefault="00F56BB7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B7" w:rsidRDefault="00F56BB7" w:rsidP="00E2733A">
      <w:pPr>
        <w:spacing w:after="0" w:line="240" w:lineRule="auto"/>
      </w:pPr>
      <w:r>
        <w:separator/>
      </w:r>
    </w:p>
  </w:footnote>
  <w:footnote w:type="continuationSeparator" w:id="0">
    <w:p w:rsidR="00F56BB7" w:rsidRDefault="00F56BB7" w:rsidP="00E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E9" w:rsidRDefault="00C50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45A"/>
    <w:multiLevelType w:val="hybridMultilevel"/>
    <w:tmpl w:val="3CA4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950"/>
    <w:multiLevelType w:val="hybridMultilevel"/>
    <w:tmpl w:val="F2CC44C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F1F1E"/>
    <w:multiLevelType w:val="hybridMultilevel"/>
    <w:tmpl w:val="1BBAFBD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CE5"/>
    <w:multiLevelType w:val="hybridMultilevel"/>
    <w:tmpl w:val="7016894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62E4D"/>
    <w:multiLevelType w:val="hybridMultilevel"/>
    <w:tmpl w:val="63CAB2F0"/>
    <w:lvl w:ilvl="0" w:tplc="40206D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3986"/>
    <w:multiLevelType w:val="hybridMultilevel"/>
    <w:tmpl w:val="E2CA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0"/>
    <w:rsid w:val="000456FD"/>
    <w:rsid w:val="00081E02"/>
    <w:rsid w:val="000A5680"/>
    <w:rsid w:val="000E3CF1"/>
    <w:rsid w:val="00111012"/>
    <w:rsid w:val="00124BBD"/>
    <w:rsid w:val="00173708"/>
    <w:rsid w:val="00187E05"/>
    <w:rsid w:val="00193958"/>
    <w:rsid w:val="001A5D52"/>
    <w:rsid w:val="00216AC7"/>
    <w:rsid w:val="00281ED0"/>
    <w:rsid w:val="002870C9"/>
    <w:rsid w:val="002F48C9"/>
    <w:rsid w:val="00335EE1"/>
    <w:rsid w:val="003E1DC4"/>
    <w:rsid w:val="00442904"/>
    <w:rsid w:val="0046515B"/>
    <w:rsid w:val="00501151"/>
    <w:rsid w:val="005062A7"/>
    <w:rsid w:val="00572B20"/>
    <w:rsid w:val="005D7742"/>
    <w:rsid w:val="005E0935"/>
    <w:rsid w:val="006252B3"/>
    <w:rsid w:val="00633001"/>
    <w:rsid w:val="006378AD"/>
    <w:rsid w:val="00672D89"/>
    <w:rsid w:val="006A281E"/>
    <w:rsid w:val="006E0F9C"/>
    <w:rsid w:val="00720F3D"/>
    <w:rsid w:val="0077092A"/>
    <w:rsid w:val="007A48D2"/>
    <w:rsid w:val="007B5703"/>
    <w:rsid w:val="00826426"/>
    <w:rsid w:val="008A2246"/>
    <w:rsid w:val="008B16AE"/>
    <w:rsid w:val="008E7F75"/>
    <w:rsid w:val="00907BEA"/>
    <w:rsid w:val="00A37369"/>
    <w:rsid w:val="00A826A0"/>
    <w:rsid w:val="00AD2175"/>
    <w:rsid w:val="00AF6357"/>
    <w:rsid w:val="00B82A6F"/>
    <w:rsid w:val="00C07424"/>
    <w:rsid w:val="00C17C5E"/>
    <w:rsid w:val="00C20295"/>
    <w:rsid w:val="00C25A3E"/>
    <w:rsid w:val="00C50AE9"/>
    <w:rsid w:val="00CE4DEC"/>
    <w:rsid w:val="00D25672"/>
    <w:rsid w:val="00D74AFD"/>
    <w:rsid w:val="00DB6A90"/>
    <w:rsid w:val="00E2733A"/>
    <w:rsid w:val="00E400FC"/>
    <w:rsid w:val="00EB4165"/>
    <w:rsid w:val="00EE3839"/>
    <w:rsid w:val="00F45855"/>
    <w:rsid w:val="00F51070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CEB46-797A-474B-8B2E-47337C9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7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2733A"/>
  </w:style>
  <w:style w:type="character" w:styleId="CommentReference">
    <w:name w:val="annotation reference"/>
    <w:basedOn w:val="DefaultParagraphFont"/>
    <w:uiPriority w:val="99"/>
    <w:semiHidden/>
    <w:unhideWhenUsed/>
    <w:rsid w:val="00E2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33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33A"/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E2733A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3A"/>
    <w:rPr>
      <w:rFonts w:ascii="Segoe UI" w:eastAsia="Times New Roman" w:hAnsi="Segoe UI" w:cs="Segoe UI"/>
      <w:sz w:val="18"/>
      <w:szCs w:val="18"/>
      <w:lang w:eastAsia="en-SG"/>
    </w:rPr>
  </w:style>
  <w:style w:type="paragraph" w:customStyle="1" w:styleId="EndNoteBibliographyTitle">
    <w:name w:val="EndNote Bibliography Title"/>
    <w:basedOn w:val="Normal"/>
    <w:link w:val="EndNoteBibliographyTitleChar"/>
    <w:rsid w:val="00E2733A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733A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733A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733A"/>
    <w:rPr>
      <w:rFonts w:ascii="Times New Roman" w:hAnsi="Times New Roman" w:cs="Times New Roman"/>
      <w:noProof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3A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3A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2733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2733A"/>
    <w:pPr>
      <w:spacing w:after="0" w:line="240" w:lineRule="auto"/>
    </w:pPr>
    <w:rPr>
      <w:rFonts w:eastAsia="DengXian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LineNumber">
    <w:name w:val="line number"/>
    <w:basedOn w:val="DefaultParagraphFont"/>
    <w:uiPriority w:val="99"/>
    <w:semiHidden/>
    <w:unhideWhenUsed/>
    <w:rsid w:val="00E2733A"/>
  </w:style>
  <w:style w:type="paragraph" w:styleId="Header">
    <w:name w:val="header"/>
    <w:basedOn w:val="Normal"/>
    <w:link w:val="HeaderChar"/>
    <w:uiPriority w:val="99"/>
    <w:unhideWhenUsed/>
    <w:rsid w:val="00E273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E2733A"/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E273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E2733A"/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c">
    <w:name w:val="sc"/>
    <w:basedOn w:val="DefaultParagraphFont"/>
    <w:rsid w:val="00E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Jun Shi</dc:creator>
  <cp:keywords/>
  <dc:description/>
  <cp:lastModifiedBy>Alison Sage</cp:lastModifiedBy>
  <cp:revision>2</cp:revision>
  <dcterms:created xsi:type="dcterms:W3CDTF">2021-11-09T19:06:00Z</dcterms:created>
  <dcterms:modified xsi:type="dcterms:W3CDTF">2021-11-09T19:06:00Z</dcterms:modified>
</cp:coreProperties>
</file>