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D4" w:rsidRPr="00FF5A10" w:rsidRDefault="00DA10D4" w:rsidP="00DA10D4">
      <w:pPr>
        <w:suppressLineNumbers/>
        <w:spacing w:line="256" w:lineRule="auto"/>
        <w:ind w:left="-709"/>
        <w:jc w:val="both"/>
        <w:rPr>
          <w:rFonts w:ascii="Times New Roman" w:hAnsi="Times New Roman" w:cs="Times New Roman"/>
          <w:sz w:val="20"/>
          <w:szCs w:val="20"/>
          <w:lang w:val="en-GB"/>
        </w:rPr>
      </w:pPr>
      <w:r w:rsidRPr="00FF5A10">
        <w:rPr>
          <w:rFonts w:ascii="Times New Roman" w:hAnsi="Times New Roman" w:cs="Times New Roman"/>
          <w:b/>
          <w:sz w:val="20"/>
          <w:szCs w:val="20"/>
          <w:lang w:val="en-GB"/>
        </w:rPr>
        <w:t>Supplementary Table 1</w:t>
      </w:r>
      <w:r w:rsidRPr="00FF5A10">
        <w:rPr>
          <w:rFonts w:ascii="Times New Roman" w:hAnsi="Times New Roman" w:cs="Times New Roman"/>
          <w:sz w:val="20"/>
          <w:szCs w:val="20"/>
          <w:lang w:val="en-GB"/>
        </w:rPr>
        <w:t>. Association between baseline quintiles of PDQS and changes in depressive symptomatology after 2 year of follow-up in the PREDIMED-Plus trial (n=4079). (Sensitivity Analysis). (Longitudinal analysis).</w:t>
      </w:r>
    </w:p>
    <w:tbl>
      <w:tblPr>
        <w:tblStyle w:val="Tablaconcuadrcula22"/>
        <w:tblW w:w="5758" w:type="pct"/>
        <w:tblInd w:w="-607" w:type="dxa"/>
        <w:tblLook w:val="04A0" w:firstRow="1" w:lastRow="0" w:firstColumn="1" w:lastColumn="0" w:noHBand="0" w:noVBand="1"/>
      </w:tblPr>
      <w:tblGrid>
        <w:gridCol w:w="2107"/>
        <w:gridCol w:w="1354"/>
        <w:gridCol w:w="1655"/>
        <w:gridCol w:w="1805"/>
        <w:gridCol w:w="1655"/>
        <w:gridCol w:w="1807"/>
      </w:tblGrid>
      <w:tr w:rsidR="00DA10D4" w:rsidRPr="00FF5A10" w:rsidTr="00242A46">
        <w:trPr>
          <w:trHeight w:val="19"/>
        </w:trPr>
        <w:tc>
          <w:tcPr>
            <w:tcW w:w="1015" w:type="pct"/>
            <w:shd w:val="clear" w:color="auto" w:fill="auto"/>
          </w:tcPr>
          <w:p w:rsidR="00DA10D4" w:rsidRPr="00FF5A10" w:rsidRDefault="00DA10D4" w:rsidP="00242A46">
            <w:pPr>
              <w:suppressLineNumbers/>
              <w:autoSpaceDE w:val="0"/>
              <w:autoSpaceDN w:val="0"/>
              <w:adjustRightInd w:val="0"/>
              <w:snapToGrid w:val="0"/>
              <w:spacing w:line="256" w:lineRule="auto"/>
              <w:jc w:val="center"/>
              <w:rPr>
                <w:rFonts w:ascii="Times New Roman" w:hAnsi="Times New Roman" w:cs="Times New Roman"/>
                <w:b/>
                <w:sz w:val="18"/>
                <w:szCs w:val="18"/>
                <w:lang w:val="en-US"/>
              </w:rPr>
            </w:pPr>
          </w:p>
        </w:tc>
        <w:tc>
          <w:tcPr>
            <w:tcW w:w="652" w:type="pct"/>
            <w:shd w:val="clear" w:color="auto" w:fill="auto"/>
          </w:tcPr>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 xml:space="preserve">Q1 </w:t>
            </w:r>
          </w:p>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(n=782)</w:t>
            </w:r>
          </w:p>
        </w:tc>
        <w:tc>
          <w:tcPr>
            <w:tcW w:w="797" w:type="pct"/>
            <w:shd w:val="clear" w:color="auto" w:fill="auto"/>
          </w:tcPr>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 xml:space="preserve">Q2 </w:t>
            </w:r>
          </w:p>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(n=817)</w:t>
            </w:r>
          </w:p>
        </w:tc>
        <w:tc>
          <w:tcPr>
            <w:tcW w:w="869" w:type="pct"/>
            <w:shd w:val="clear" w:color="auto" w:fill="auto"/>
          </w:tcPr>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 xml:space="preserve">Q3 </w:t>
            </w:r>
          </w:p>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(n=836)</w:t>
            </w:r>
          </w:p>
        </w:tc>
        <w:tc>
          <w:tcPr>
            <w:tcW w:w="797" w:type="pct"/>
            <w:shd w:val="clear" w:color="auto" w:fill="auto"/>
          </w:tcPr>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 xml:space="preserve">Q4 </w:t>
            </w:r>
          </w:p>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(n=834)</w:t>
            </w:r>
          </w:p>
        </w:tc>
        <w:tc>
          <w:tcPr>
            <w:tcW w:w="870" w:type="pct"/>
          </w:tcPr>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Q5</w:t>
            </w:r>
          </w:p>
          <w:p w:rsidR="00DA10D4" w:rsidRPr="00FF5A10" w:rsidRDefault="00DA10D4" w:rsidP="00242A46">
            <w:pPr>
              <w:suppressLineNumbers/>
              <w:spacing w:line="256" w:lineRule="auto"/>
              <w:jc w:val="center"/>
              <w:rPr>
                <w:rFonts w:ascii="Times New Roman" w:hAnsi="Times New Roman" w:cs="Times New Roman"/>
                <w:b/>
                <w:sz w:val="18"/>
                <w:szCs w:val="18"/>
                <w:lang w:val="en-GB"/>
              </w:rPr>
            </w:pPr>
            <w:r w:rsidRPr="00FF5A10">
              <w:rPr>
                <w:rFonts w:ascii="Times New Roman" w:hAnsi="Times New Roman" w:cs="Times New Roman"/>
                <w:b/>
                <w:sz w:val="18"/>
                <w:szCs w:val="18"/>
                <w:lang w:val="en-GB"/>
              </w:rPr>
              <w:t>(n=810)</w:t>
            </w:r>
          </w:p>
        </w:tc>
      </w:tr>
      <w:tr w:rsidR="00DA10D4" w:rsidRPr="00FF5A10" w:rsidTr="00242A46">
        <w:trPr>
          <w:trHeight w:val="19"/>
        </w:trPr>
        <w:tc>
          <w:tcPr>
            <w:tcW w:w="4130" w:type="pct"/>
            <w:gridSpan w:val="5"/>
            <w:shd w:val="clear" w:color="auto" w:fill="auto"/>
          </w:tcPr>
          <w:p w:rsidR="00DA10D4" w:rsidRPr="00FF5A10" w:rsidRDefault="00DA10D4" w:rsidP="00242A46">
            <w:pPr>
              <w:suppressLineNumbers/>
              <w:adjustRightInd w:val="0"/>
              <w:snapToGrid w:val="0"/>
              <w:rPr>
                <w:rFonts w:ascii="Times New Roman" w:hAnsi="Times New Roman" w:cs="Times New Roman"/>
                <w:b/>
                <w:sz w:val="18"/>
                <w:szCs w:val="18"/>
              </w:rPr>
            </w:pPr>
            <w:r w:rsidRPr="00FF5A10">
              <w:rPr>
                <w:rFonts w:ascii="Times New Roman" w:hAnsi="Times New Roman" w:cs="Times New Roman"/>
                <w:b/>
                <w:sz w:val="18"/>
                <w:szCs w:val="18"/>
              </w:rPr>
              <w:t>PDQS</w:t>
            </w:r>
          </w:p>
        </w:tc>
        <w:tc>
          <w:tcPr>
            <w:tcW w:w="870" w:type="pct"/>
          </w:tcPr>
          <w:p w:rsidR="00DA10D4" w:rsidRPr="00FF5A10" w:rsidRDefault="00DA10D4" w:rsidP="00242A46">
            <w:pPr>
              <w:suppressLineNumbers/>
              <w:adjustRightInd w:val="0"/>
              <w:snapToGrid w:val="0"/>
              <w:rPr>
                <w:rFonts w:ascii="Times New Roman" w:hAnsi="Times New Roman" w:cs="Times New Roman"/>
                <w:b/>
                <w:sz w:val="18"/>
                <w:szCs w:val="18"/>
              </w:rPr>
            </w:pPr>
          </w:p>
        </w:tc>
      </w:tr>
      <w:tr w:rsidR="00DA10D4" w:rsidRPr="00FF5A10" w:rsidTr="00242A46">
        <w:trPr>
          <w:trHeight w:val="19"/>
        </w:trPr>
        <w:tc>
          <w:tcPr>
            <w:tcW w:w="1015" w:type="pct"/>
            <w:shd w:val="clear" w:color="auto" w:fill="auto"/>
          </w:tcPr>
          <w:p w:rsidR="00DA10D4" w:rsidRPr="00FF5A10" w:rsidRDefault="00DA10D4" w:rsidP="00242A46">
            <w:pPr>
              <w:suppressLineNumbers/>
              <w:autoSpaceDE w:val="0"/>
              <w:autoSpaceDN w:val="0"/>
              <w:adjustRightInd w:val="0"/>
              <w:snapToGrid w:val="0"/>
              <w:spacing w:line="256" w:lineRule="auto"/>
              <w:rPr>
                <w:rFonts w:ascii="Times New Roman" w:hAnsi="Times New Roman" w:cs="Times New Roman"/>
                <w:sz w:val="18"/>
                <w:szCs w:val="18"/>
                <w:lang w:val="en-AU"/>
              </w:rPr>
            </w:pPr>
            <w:r w:rsidRPr="00FF5A10">
              <w:rPr>
                <w:rFonts w:ascii="Times New Roman" w:hAnsi="Times New Roman" w:cs="Times New Roman"/>
                <w:sz w:val="18"/>
                <w:szCs w:val="18"/>
                <w:lang w:val="en-AU"/>
              </w:rPr>
              <w:t>Model 1</w:t>
            </w:r>
          </w:p>
        </w:tc>
        <w:tc>
          <w:tcPr>
            <w:tcW w:w="652"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rPr>
            </w:pPr>
            <w:r w:rsidRPr="00FF5A10">
              <w:rPr>
                <w:rFonts w:ascii="Times New Roman" w:hAnsi="Times New Roman" w:cs="Times New Roman"/>
                <w:sz w:val="18"/>
                <w:szCs w:val="18"/>
              </w:rPr>
              <w:t>0 (Ref.)</w:t>
            </w:r>
          </w:p>
        </w:tc>
        <w:tc>
          <w:tcPr>
            <w:tcW w:w="797" w:type="pct"/>
            <w:shd w:val="clear" w:color="auto" w:fill="auto"/>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-0.38 (-0.85,0.08)</w:t>
            </w:r>
          </w:p>
        </w:tc>
        <w:tc>
          <w:tcPr>
            <w:tcW w:w="869" w:type="pct"/>
            <w:shd w:val="clear" w:color="auto" w:fill="auto"/>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-0.17 (-0.64,0.29)</w:t>
            </w:r>
          </w:p>
        </w:tc>
        <w:tc>
          <w:tcPr>
            <w:tcW w:w="797" w:type="pct"/>
            <w:shd w:val="clear" w:color="auto" w:fill="auto"/>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-0.12 (-0.59, 0.34)</w:t>
            </w:r>
          </w:p>
        </w:tc>
        <w:tc>
          <w:tcPr>
            <w:tcW w:w="870" w:type="pct"/>
          </w:tcPr>
          <w:p w:rsidR="00DA10D4" w:rsidRPr="00FF5A10" w:rsidRDefault="00DA10D4" w:rsidP="00242A46">
            <w:pPr>
              <w:suppressLineNumbers/>
              <w:adjustRightInd w:val="0"/>
              <w:snapToGrid w:val="0"/>
              <w:rPr>
                <w:rFonts w:ascii="Times New Roman" w:hAnsi="Times New Roman" w:cs="Times New Roman"/>
                <w:b/>
                <w:sz w:val="18"/>
                <w:szCs w:val="18"/>
              </w:rPr>
            </w:pPr>
            <w:r w:rsidRPr="00FF5A10">
              <w:rPr>
                <w:rFonts w:ascii="Times New Roman" w:hAnsi="Times New Roman" w:cs="Times New Roman"/>
                <w:b/>
                <w:sz w:val="18"/>
                <w:szCs w:val="18"/>
              </w:rPr>
              <w:t>-0.58 (-1.06, -0.11)</w:t>
            </w:r>
          </w:p>
        </w:tc>
      </w:tr>
      <w:tr w:rsidR="00DA10D4" w:rsidRPr="00FF5A10" w:rsidTr="00242A46">
        <w:trPr>
          <w:trHeight w:val="19"/>
        </w:trPr>
        <w:tc>
          <w:tcPr>
            <w:tcW w:w="1015" w:type="pct"/>
            <w:shd w:val="clear" w:color="auto" w:fill="auto"/>
          </w:tcPr>
          <w:p w:rsidR="00DA10D4" w:rsidRPr="00FF5A10" w:rsidRDefault="00DA10D4" w:rsidP="00242A46">
            <w:pPr>
              <w:suppressLineNumbers/>
              <w:autoSpaceDE w:val="0"/>
              <w:autoSpaceDN w:val="0"/>
              <w:adjustRightInd w:val="0"/>
              <w:snapToGrid w:val="0"/>
              <w:spacing w:line="256" w:lineRule="auto"/>
              <w:rPr>
                <w:rFonts w:ascii="Times New Roman" w:hAnsi="Times New Roman" w:cs="Times New Roman"/>
                <w:sz w:val="18"/>
                <w:szCs w:val="18"/>
                <w:lang w:val="en-AU"/>
              </w:rPr>
            </w:pPr>
            <w:r w:rsidRPr="00FF5A10">
              <w:rPr>
                <w:rFonts w:ascii="Times New Roman" w:hAnsi="Times New Roman" w:cs="Times New Roman"/>
                <w:sz w:val="18"/>
                <w:szCs w:val="18"/>
                <w:lang w:val="en-AU"/>
              </w:rPr>
              <w:t xml:space="preserve">Mean </w:t>
            </w:r>
            <w:r w:rsidRPr="00FF5A10">
              <w:rPr>
                <w:rFonts w:ascii="Times New Roman" w:hAnsi="Times New Roman" w:cs="Times New Roman"/>
                <w:b/>
                <w:sz w:val="18"/>
                <w:szCs w:val="18"/>
                <w:lang w:val="en-GB"/>
              </w:rPr>
              <w:t>±</w:t>
            </w:r>
            <w:r w:rsidRPr="00FF5A10">
              <w:rPr>
                <w:rFonts w:ascii="Times New Roman" w:hAnsi="Times New Roman" w:cs="Times New Roman"/>
                <w:sz w:val="18"/>
                <w:szCs w:val="18"/>
                <w:lang w:val="en-GB"/>
              </w:rPr>
              <w:t>SE</w:t>
            </w:r>
          </w:p>
        </w:tc>
        <w:tc>
          <w:tcPr>
            <w:tcW w:w="652"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AU"/>
              </w:rPr>
            </w:pPr>
            <w:r w:rsidRPr="00FF5A10">
              <w:rPr>
                <w:rFonts w:ascii="Times New Roman" w:hAnsi="Times New Roman" w:cs="Times New Roman"/>
                <w:sz w:val="18"/>
                <w:szCs w:val="18"/>
                <w:lang w:val="en-AU"/>
              </w:rPr>
              <w:t>-0.92</w:t>
            </w:r>
            <w:r w:rsidRPr="00FF5A10">
              <w:rPr>
                <w:rFonts w:ascii="Times New Roman" w:hAnsi="Times New Roman" w:cs="Times New Roman"/>
                <w:sz w:val="18"/>
                <w:szCs w:val="18"/>
                <w:lang w:val="en-GB"/>
              </w:rPr>
              <w:t>±0.17</w:t>
            </w:r>
          </w:p>
        </w:tc>
        <w:tc>
          <w:tcPr>
            <w:tcW w:w="797"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-1.32±0.17</w:t>
            </w:r>
          </w:p>
        </w:tc>
        <w:tc>
          <w:tcPr>
            <w:tcW w:w="869"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-1.08±0.16</w:t>
            </w:r>
          </w:p>
        </w:tc>
        <w:tc>
          <w:tcPr>
            <w:tcW w:w="797"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-1.04±0.16</w:t>
            </w:r>
          </w:p>
        </w:tc>
        <w:tc>
          <w:tcPr>
            <w:tcW w:w="870" w:type="pct"/>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-1.50±0.17</w:t>
            </w:r>
          </w:p>
        </w:tc>
      </w:tr>
      <w:tr w:rsidR="00DA10D4" w:rsidRPr="00FF5A10" w:rsidTr="00242A46">
        <w:trPr>
          <w:trHeight w:val="19"/>
        </w:trPr>
        <w:tc>
          <w:tcPr>
            <w:tcW w:w="1015" w:type="pct"/>
            <w:shd w:val="clear" w:color="auto" w:fill="auto"/>
          </w:tcPr>
          <w:p w:rsidR="00DA10D4" w:rsidRPr="00FF5A10" w:rsidRDefault="00DA10D4" w:rsidP="00242A46">
            <w:pPr>
              <w:suppressLineNumbers/>
              <w:autoSpaceDE w:val="0"/>
              <w:autoSpaceDN w:val="0"/>
              <w:adjustRightInd w:val="0"/>
              <w:snapToGrid w:val="0"/>
              <w:spacing w:line="256" w:lineRule="auto"/>
              <w:rPr>
                <w:rFonts w:ascii="Times New Roman" w:hAnsi="Times New Roman" w:cs="Times New Roman"/>
                <w:sz w:val="18"/>
                <w:szCs w:val="18"/>
                <w:lang w:val="en-GB"/>
              </w:rPr>
            </w:pPr>
            <w:r w:rsidRPr="00FF5A10">
              <w:rPr>
                <w:rFonts w:ascii="Times New Roman" w:hAnsi="Times New Roman" w:cs="Times New Roman"/>
                <w:sz w:val="18"/>
                <w:szCs w:val="18"/>
                <w:lang w:val="en-GB"/>
              </w:rPr>
              <w:t>Model 2</w:t>
            </w:r>
          </w:p>
        </w:tc>
        <w:tc>
          <w:tcPr>
            <w:tcW w:w="652"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rPr>
            </w:pPr>
            <w:r w:rsidRPr="00FF5A10">
              <w:rPr>
                <w:rFonts w:ascii="Times New Roman" w:hAnsi="Times New Roman" w:cs="Times New Roman"/>
                <w:sz w:val="18"/>
                <w:szCs w:val="18"/>
              </w:rPr>
              <w:t>0 (Ref.)</w:t>
            </w:r>
          </w:p>
        </w:tc>
        <w:tc>
          <w:tcPr>
            <w:tcW w:w="797" w:type="pct"/>
            <w:shd w:val="clear" w:color="auto" w:fill="auto"/>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-0.30 (-0.77,0.17)</w:t>
            </w:r>
          </w:p>
        </w:tc>
        <w:tc>
          <w:tcPr>
            <w:tcW w:w="869" w:type="pct"/>
            <w:shd w:val="clear" w:color="auto" w:fill="auto"/>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-0.04 (-0.51,0.43)</w:t>
            </w:r>
          </w:p>
        </w:tc>
        <w:tc>
          <w:tcPr>
            <w:tcW w:w="797" w:type="pct"/>
            <w:shd w:val="clear" w:color="auto" w:fill="auto"/>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-0.04 (-0.51, 0.44)</w:t>
            </w:r>
          </w:p>
        </w:tc>
        <w:tc>
          <w:tcPr>
            <w:tcW w:w="870" w:type="pct"/>
          </w:tcPr>
          <w:p w:rsidR="00DA10D4" w:rsidRPr="00FF5A10" w:rsidRDefault="00DA10D4" w:rsidP="00242A46">
            <w:pPr>
              <w:suppressLineNumbers/>
              <w:adjustRightInd w:val="0"/>
              <w:snapToGrid w:val="0"/>
              <w:rPr>
                <w:rFonts w:ascii="Times New Roman" w:hAnsi="Times New Roman" w:cs="Times New Roman"/>
                <w:sz w:val="18"/>
                <w:szCs w:val="18"/>
              </w:rPr>
            </w:pPr>
            <w:r w:rsidRPr="00FF5A10">
              <w:rPr>
                <w:rFonts w:ascii="Times New Roman" w:hAnsi="Times New Roman" w:cs="Times New Roman"/>
                <w:sz w:val="18"/>
                <w:szCs w:val="18"/>
              </w:rPr>
              <w:t>-0.38 (-0.87, 0.09)</w:t>
            </w:r>
          </w:p>
        </w:tc>
      </w:tr>
      <w:tr w:rsidR="00DA10D4" w:rsidRPr="00FF5A10" w:rsidTr="00242A46">
        <w:trPr>
          <w:trHeight w:val="19"/>
        </w:trPr>
        <w:tc>
          <w:tcPr>
            <w:tcW w:w="1015" w:type="pct"/>
            <w:shd w:val="clear" w:color="auto" w:fill="auto"/>
          </w:tcPr>
          <w:p w:rsidR="00DA10D4" w:rsidRPr="00FF5A10" w:rsidRDefault="00DA10D4" w:rsidP="00242A46">
            <w:pPr>
              <w:suppressLineNumbers/>
              <w:autoSpaceDE w:val="0"/>
              <w:autoSpaceDN w:val="0"/>
              <w:adjustRightInd w:val="0"/>
              <w:snapToGrid w:val="0"/>
              <w:spacing w:line="256" w:lineRule="auto"/>
              <w:rPr>
                <w:rFonts w:ascii="Times New Roman" w:hAnsi="Times New Roman" w:cs="Times New Roman"/>
                <w:sz w:val="18"/>
                <w:szCs w:val="18"/>
                <w:lang w:val="en-GB"/>
              </w:rPr>
            </w:pPr>
            <w:r w:rsidRPr="00FF5A10">
              <w:rPr>
                <w:rFonts w:ascii="Times New Roman" w:hAnsi="Times New Roman" w:cs="Times New Roman"/>
                <w:sz w:val="18"/>
                <w:szCs w:val="18"/>
                <w:lang w:val="en-AU"/>
              </w:rPr>
              <w:t xml:space="preserve">Mean </w:t>
            </w:r>
            <w:r w:rsidRPr="00FF5A10">
              <w:rPr>
                <w:rFonts w:ascii="Times New Roman" w:hAnsi="Times New Roman" w:cs="Times New Roman"/>
                <w:b/>
                <w:sz w:val="18"/>
                <w:szCs w:val="18"/>
                <w:lang w:val="en-GB"/>
              </w:rPr>
              <w:t>±</w:t>
            </w:r>
            <w:r w:rsidRPr="00FF5A10">
              <w:rPr>
                <w:rFonts w:ascii="Times New Roman" w:hAnsi="Times New Roman" w:cs="Times New Roman"/>
                <w:sz w:val="18"/>
                <w:szCs w:val="18"/>
                <w:lang w:val="en-GB"/>
              </w:rPr>
              <w:t>SE</w:t>
            </w:r>
          </w:p>
        </w:tc>
        <w:tc>
          <w:tcPr>
            <w:tcW w:w="652"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-0.86±0.17</w:t>
            </w:r>
          </w:p>
        </w:tc>
        <w:tc>
          <w:tcPr>
            <w:tcW w:w="797"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-1.25±0.17</w:t>
            </w:r>
          </w:p>
        </w:tc>
        <w:tc>
          <w:tcPr>
            <w:tcW w:w="869"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-1.00±0.16</w:t>
            </w:r>
          </w:p>
        </w:tc>
        <w:tc>
          <w:tcPr>
            <w:tcW w:w="797" w:type="pct"/>
            <w:shd w:val="clear" w:color="auto" w:fill="auto"/>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-1.02±0.16</w:t>
            </w:r>
          </w:p>
        </w:tc>
        <w:tc>
          <w:tcPr>
            <w:tcW w:w="870" w:type="pct"/>
          </w:tcPr>
          <w:p w:rsidR="00DA10D4" w:rsidRPr="00FF5A10" w:rsidRDefault="00DA10D4" w:rsidP="00242A46">
            <w:pPr>
              <w:suppressLineNumbers/>
              <w:adjustRightInd w:val="0"/>
              <w:snapToGrid w:val="0"/>
              <w:jc w:val="center"/>
              <w:rPr>
                <w:rFonts w:ascii="Times New Roman" w:hAnsi="Times New Roman" w:cs="Times New Roman"/>
                <w:sz w:val="18"/>
                <w:szCs w:val="18"/>
                <w:lang w:val="en-GB"/>
              </w:rPr>
            </w:pPr>
            <w:r w:rsidRPr="00FF5A10">
              <w:rPr>
                <w:rFonts w:ascii="Times New Roman" w:hAnsi="Times New Roman" w:cs="Times New Roman"/>
                <w:sz w:val="18"/>
                <w:szCs w:val="18"/>
                <w:lang w:val="en-GB"/>
              </w:rPr>
              <w:t>-1.39±0.17</w:t>
            </w:r>
          </w:p>
        </w:tc>
      </w:tr>
    </w:tbl>
    <w:p w:rsidR="00DA10D4" w:rsidRPr="00FF5A10" w:rsidRDefault="00DA10D4" w:rsidP="00DA10D4">
      <w:pPr>
        <w:suppressLineNumbers/>
        <w:spacing w:after="0" w:line="240" w:lineRule="auto"/>
        <w:ind w:left="-426" w:right="-710"/>
        <w:jc w:val="both"/>
        <w:rPr>
          <w:rFonts w:ascii="Times New Roman" w:hAnsi="Times New Roman" w:cs="Times New Roman"/>
          <w:sz w:val="16"/>
          <w:szCs w:val="16"/>
          <w:lang w:val="en-GB"/>
        </w:rPr>
      </w:pPr>
      <w:r w:rsidRPr="00FF5A10">
        <w:rPr>
          <w:rFonts w:ascii="Times New Roman" w:hAnsi="Times New Roman" w:cs="Times New Roman"/>
          <w:sz w:val="16"/>
          <w:szCs w:val="16"/>
          <w:lang w:val="en-AU"/>
        </w:rPr>
        <w:t xml:space="preserve">Values are presented as </w:t>
      </w:r>
      <w:r w:rsidRPr="00FF5A10">
        <w:rPr>
          <w:rFonts w:ascii="Times New Roman" w:hAnsi="Times New Roman" w:cs="Times New Roman"/>
          <w:sz w:val="16"/>
          <w:szCs w:val="16"/>
          <w:lang w:val="en-AU" w:bidi="en-US"/>
        </w:rPr>
        <w:t>adjusted means</w:t>
      </w:r>
      <w:r w:rsidRPr="00FF5A10">
        <w:rPr>
          <w:rFonts w:ascii="Times New Roman" w:hAnsi="Times New Roman" w:cs="Times New Roman"/>
          <w:sz w:val="16"/>
          <w:szCs w:val="16"/>
          <w:lang w:val="en-US"/>
        </w:rPr>
        <w:t>±SE, together with</w:t>
      </w:r>
      <w:r w:rsidRPr="00FF5A10">
        <w:rPr>
          <w:rFonts w:ascii="Times New Roman" w:hAnsi="Times New Roman" w:cs="Times New Roman"/>
          <w:sz w:val="16"/>
          <w:szCs w:val="16"/>
          <w:lang w:val="en-AU"/>
        </w:rPr>
        <w:t xml:space="preserve"> </w:t>
      </w:r>
      <w:r w:rsidRPr="00FF5A10">
        <w:rPr>
          <w:rFonts w:ascii="Times New Roman" w:hAnsi="Times New Roman" w:cs="Times New Roman"/>
          <w:sz w:val="16"/>
          <w:szCs w:val="16"/>
        </w:rPr>
        <w:t>β</w:t>
      </w:r>
      <w:r w:rsidRPr="00FF5A10">
        <w:rPr>
          <w:rFonts w:ascii="Times New Roman" w:hAnsi="Times New Roman" w:cs="Times New Roman"/>
          <w:sz w:val="16"/>
          <w:szCs w:val="16"/>
          <w:lang w:val="en-AU"/>
        </w:rPr>
        <w:t>-coefficients and 95%CI for changes in depressive symptomatology after 2-y of follow-up as continuous variable according to PDQS. Sensitivity analysis</w:t>
      </w:r>
      <w:r w:rsidRPr="00FF5A10">
        <w:rPr>
          <w:rFonts w:ascii="Times New Roman" w:hAnsi="Times New Roman" w:cs="Times New Roman"/>
          <w:sz w:val="16"/>
          <w:szCs w:val="16"/>
          <w:lang w:val="en-US"/>
        </w:rPr>
        <w:t xml:space="preserve"> excluding those subjects with a Beck punctuation higher than 18 points at baseline or with life-time prevalence of depression</w:t>
      </w:r>
      <w:r w:rsidRPr="00FF5A10">
        <w:rPr>
          <w:rFonts w:ascii="Times New Roman" w:hAnsi="Times New Roman" w:cs="Times New Roman"/>
          <w:sz w:val="16"/>
          <w:szCs w:val="16"/>
          <w:lang w:val="en-AU"/>
        </w:rPr>
        <w:t xml:space="preserve"> Model 1: Adjusted for sex and age. Model 2: Additionally adjusted for depressive symptomatology at baseline, smoking habits, physical activity, educational level, BMI, living alone, civil status, sleep duration, presence of chronic diseases, allocation group and recruitment centre. Values presented in bald showed a statistically significant association (p&lt;0.05). Abbreviations: (BMI), body mass index, (PDQS), prime dietary quality score; (Q), quintile. </w:t>
      </w:r>
      <w:r w:rsidRPr="00FF5A10">
        <w:rPr>
          <w:rFonts w:ascii="Times New Roman" w:hAnsi="Times New Roman" w:cs="Times New Roman"/>
          <w:sz w:val="16"/>
          <w:szCs w:val="16"/>
          <w:lang w:val="en-GB"/>
        </w:rPr>
        <w:t xml:space="preserve"> </w:t>
      </w:r>
    </w:p>
    <w:p w:rsidR="00DA10D4" w:rsidRPr="00FF5A10" w:rsidRDefault="00DA10D4" w:rsidP="00DA10D4">
      <w:pPr>
        <w:suppressLineNumbers/>
        <w:spacing w:line="480" w:lineRule="auto"/>
        <w:jc w:val="both"/>
        <w:rPr>
          <w:rFonts w:ascii="Times New Roman" w:hAnsi="Times New Roman" w:cs="Times New Roman"/>
          <w:sz w:val="20"/>
          <w:szCs w:val="20"/>
          <w:lang w:val="en-GB"/>
        </w:rPr>
      </w:pPr>
    </w:p>
    <w:p w:rsidR="00DA10D4" w:rsidRPr="00FF5A10" w:rsidRDefault="00DA10D4" w:rsidP="00DA10D4">
      <w:pPr>
        <w:suppressLineNumbers/>
        <w:adjustRightInd w:val="0"/>
        <w:snapToGrid w:val="0"/>
        <w:spacing w:before="240" w:after="120" w:line="260" w:lineRule="atLeast"/>
        <w:ind w:left="-567" w:right="-1"/>
        <w:jc w:val="both"/>
        <w:rPr>
          <w:rFonts w:ascii="Times New Roman" w:eastAsia="Calibri" w:hAnsi="Times New Roman" w:cs="Times New Roman"/>
          <w:sz w:val="20"/>
          <w:szCs w:val="20"/>
          <w:lang w:val="en-US" w:bidi="en-US"/>
        </w:rPr>
      </w:pPr>
      <w:r w:rsidRPr="00FF5A10">
        <w:rPr>
          <w:rFonts w:ascii="Times New Roman" w:eastAsia="Calibri" w:hAnsi="Times New Roman" w:cs="Times New Roman"/>
          <w:b/>
          <w:sz w:val="20"/>
          <w:szCs w:val="20"/>
          <w:lang w:val="en-US" w:bidi="en-US"/>
        </w:rPr>
        <w:t xml:space="preserve">Supplementary Table 2. </w:t>
      </w:r>
      <w:r w:rsidRPr="00FF5A10">
        <w:rPr>
          <w:rFonts w:ascii="Times New Roman" w:eastAsia="Calibri" w:hAnsi="Times New Roman" w:cs="Times New Roman"/>
          <w:sz w:val="20"/>
          <w:szCs w:val="20"/>
          <w:lang w:val="en-US" w:bidi="en-US"/>
        </w:rPr>
        <w:t xml:space="preserve">Multivariable linear regression models for the association between PDQS and symptomatology of depression in the PREDIMED-Plus study participants according to sex and age. Regression coefficients (95% Confidence intervals). (Cross-sectional analysis). </w:t>
      </w:r>
    </w:p>
    <w:tbl>
      <w:tblPr>
        <w:tblStyle w:val="Tablaconcuadrcula2"/>
        <w:tblW w:w="5752" w:type="pct"/>
        <w:tblInd w:w="-714" w:type="dxa"/>
        <w:tblLook w:val="04A0" w:firstRow="1" w:lastRow="0" w:firstColumn="1" w:lastColumn="0" w:noHBand="0" w:noVBand="1"/>
      </w:tblPr>
      <w:tblGrid>
        <w:gridCol w:w="1639"/>
        <w:gridCol w:w="1506"/>
        <w:gridCol w:w="1655"/>
        <w:gridCol w:w="1786"/>
        <w:gridCol w:w="1832"/>
        <w:gridCol w:w="1954"/>
      </w:tblGrid>
      <w:tr w:rsidR="00DA10D4" w:rsidRPr="00FF5A10" w:rsidTr="00242A46">
        <w:trPr>
          <w:trHeight w:val="19"/>
        </w:trPr>
        <w:tc>
          <w:tcPr>
            <w:tcW w:w="790"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4" w:lineRule="auto"/>
              <w:jc w:val="center"/>
              <w:rPr>
                <w:rFonts w:ascii="Times New Roman" w:eastAsia="Calibri" w:hAnsi="Times New Roman" w:cs="Times New Roman"/>
                <w:b/>
                <w:sz w:val="18"/>
                <w:szCs w:val="18"/>
                <w:lang w:val="en-US"/>
              </w:rPr>
            </w:pPr>
            <w:r w:rsidRPr="00FF5A10">
              <w:rPr>
                <w:rFonts w:ascii="Times New Roman" w:eastAsia="Calibri" w:hAnsi="Times New Roman" w:cs="Times New Roman"/>
                <w:b/>
                <w:sz w:val="18"/>
                <w:szCs w:val="18"/>
                <w:lang w:val="en-GB"/>
              </w:rPr>
              <w:t>PDQS</w:t>
            </w:r>
          </w:p>
        </w:tc>
        <w:tc>
          <w:tcPr>
            <w:tcW w:w="726"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Q1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798"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Q2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861"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Q3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883"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Q4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94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Q5</w:t>
            </w:r>
          </w:p>
          <w:p w:rsidR="00DA10D4" w:rsidRPr="00FF5A10" w:rsidRDefault="00DA10D4" w:rsidP="00242A46">
            <w:pPr>
              <w:suppressLineNumbers/>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r>
      <w:tr w:rsidR="00DA10D4" w:rsidRPr="00FF5A10" w:rsidTr="00242A46">
        <w:trPr>
          <w:trHeight w:val="19"/>
        </w:trPr>
        <w:tc>
          <w:tcPr>
            <w:tcW w:w="790"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4" w:lineRule="auto"/>
              <w:ind w:left="-108"/>
              <w:jc w:val="center"/>
              <w:rPr>
                <w:rFonts w:ascii="Times New Roman" w:eastAsia="Calibri" w:hAnsi="Times New Roman" w:cs="Times New Roman"/>
                <w:b/>
                <w:sz w:val="18"/>
                <w:szCs w:val="18"/>
                <w:lang w:val="en-US"/>
              </w:rPr>
            </w:pPr>
            <w:r w:rsidRPr="00FF5A10">
              <w:rPr>
                <w:rFonts w:ascii="Times New Roman" w:eastAsia="Calibri" w:hAnsi="Times New Roman" w:cs="Times New Roman"/>
                <w:b/>
                <w:sz w:val="18"/>
                <w:szCs w:val="18"/>
                <w:lang w:val="en-US"/>
              </w:rPr>
              <w:t>Women (60-65 y)</w:t>
            </w:r>
          </w:p>
        </w:tc>
        <w:tc>
          <w:tcPr>
            <w:tcW w:w="726"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spacing w:line="254" w:lineRule="auto"/>
              <w:jc w:val="center"/>
              <w:rPr>
                <w:rFonts w:ascii="Times New Roman" w:eastAsia="Calibri" w:hAnsi="Times New Roman" w:cs="Times New Roman"/>
                <w:sz w:val="18"/>
                <w:szCs w:val="18"/>
                <w:lang w:val="en-GB"/>
              </w:rPr>
            </w:pPr>
            <w:r w:rsidRPr="00FF5A10">
              <w:rPr>
                <w:rFonts w:ascii="Times New Roman" w:eastAsia="Calibri" w:hAnsi="Times New Roman" w:cs="Times New Roman"/>
                <w:sz w:val="18"/>
                <w:szCs w:val="18"/>
                <w:lang w:val="en-GB"/>
              </w:rPr>
              <w:t>0 (Ref.)</w:t>
            </w:r>
          </w:p>
        </w:tc>
        <w:tc>
          <w:tcPr>
            <w:tcW w:w="7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spacing w:line="254" w:lineRule="auto"/>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lang w:val="en-GB"/>
              </w:rPr>
              <w:t>-</w:t>
            </w:r>
            <w:r w:rsidRPr="00FF5A10">
              <w:rPr>
                <w:rFonts w:ascii="Times New Roman" w:eastAsia="Calibri" w:hAnsi="Times New Roman" w:cs="Times New Roman"/>
                <w:sz w:val="18"/>
                <w:szCs w:val="18"/>
                <w:lang w:val="en-GB"/>
              </w:rPr>
              <w:t xml:space="preserve">1.38 </w:t>
            </w:r>
            <w:r w:rsidRPr="00FF5A10">
              <w:rPr>
                <w:rFonts w:ascii="Times New Roman" w:eastAsia="Calibri" w:hAnsi="Times New Roman" w:cs="Times New Roman"/>
                <w:sz w:val="18"/>
                <w:szCs w:val="18"/>
              </w:rPr>
              <w:t>(-2.87, 0.11)</w:t>
            </w:r>
          </w:p>
        </w:tc>
        <w:tc>
          <w:tcPr>
            <w:tcW w:w="861"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spacing w:line="254" w:lineRule="auto"/>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-1.30 (-2.76, 0.16)</w:t>
            </w:r>
          </w:p>
        </w:tc>
        <w:tc>
          <w:tcPr>
            <w:tcW w:w="883"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spacing w:line="254" w:lineRule="auto"/>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-1.50 (-2.93, -0.07)</w:t>
            </w:r>
          </w:p>
        </w:tc>
        <w:tc>
          <w:tcPr>
            <w:tcW w:w="94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-0.42 (-1.83, 1.00)</w:t>
            </w:r>
          </w:p>
        </w:tc>
      </w:tr>
      <w:tr w:rsidR="00DA10D4" w:rsidRPr="00FF5A10" w:rsidTr="00242A46">
        <w:trPr>
          <w:trHeight w:val="19"/>
        </w:trPr>
        <w:tc>
          <w:tcPr>
            <w:tcW w:w="790"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sz w:val="18"/>
                <w:szCs w:val="18"/>
              </w:rPr>
            </w:pPr>
            <w:r w:rsidRPr="00FF5A10">
              <w:rPr>
                <w:rFonts w:ascii="Times New Roman" w:eastAsia="Calibri" w:hAnsi="Times New Roman" w:cs="Times New Roman"/>
                <w:b/>
                <w:sz w:val="18"/>
                <w:szCs w:val="18"/>
                <w:lang w:val="en-US"/>
              </w:rPr>
              <w:t>Women (&gt;65 y)</w:t>
            </w:r>
          </w:p>
        </w:tc>
        <w:tc>
          <w:tcPr>
            <w:tcW w:w="726"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 (Ref.)</w:t>
            </w:r>
          </w:p>
        </w:tc>
        <w:tc>
          <w:tcPr>
            <w:tcW w:w="7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-0.58 (-1.88, 0.72)</w:t>
            </w:r>
          </w:p>
        </w:tc>
        <w:tc>
          <w:tcPr>
            <w:tcW w:w="861"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-1.95 (-3.24, -0.67)</w:t>
            </w:r>
          </w:p>
        </w:tc>
        <w:tc>
          <w:tcPr>
            <w:tcW w:w="883"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-1.36 (-2.60, -0.11)</w:t>
            </w:r>
          </w:p>
        </w:tc>
        <w:tc>
          <w:tcPr>
            <w:tcW w:w="94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-1.34 (-2.57, -0.11)</w:t>
            </w:r>
          </w:p>
        </w:tc>
      </w:tr>
      <w:tr w:rsidR="00DA10D4" w:rsidRPr="00FF5A10" w:rsidTr="00242A46">
        <w:trPr>
          <w:trHeight w:val="19"/>
        </w:trPr>
        <w:tc>
          <w:tcPr>
            <w:tcW w:w="790"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sz w:val="18"/>
                <w:szCs w:val="18"/>
                <w:lang w:val="en-AU"/>
              </w:rPr>
            </w:pPr>
            <w:r w:rsidRPr="00FF5A10">
              <w:rPr>
                <w:rFonts w:ascii="Times New Roman" w:eastAsia="Calibri" w:hAnsi="Times New Roman" w:cs="Times New Roman"/>
                <w:b/>
                <w:sz w:val="18"/>
                <w:szCs w:val="18"/>
                <w:lang w:val="en-US"/>
              </w:rPr>
              <w:t>Men (55-65 y)</w:t>
            </w:r>
          </w:p>
        </w:tc>
        <w:tc>
          <w:tcPr>
            <w:tcW w:w="726"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 (Ref.)</w:t>
            </w:r>
          </w:p>
        </w:tc>
        <w:tc>
          <w:tcPr>
            <w:tcW w:w="7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0.30 (-0.51, 1.12)</w:t>
            </w:r>
          </w:p>
        </w:tc>
        <w:tc>
          <w:tcPr>
            <w:tcW w:w="861"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-0.03 (-0.86, 0.79)</w:t>
            </w:r>
          </w:p>
        </w:tc>
        <w:tc>
          <w:tcPr>
            <w:tcW w:w="883"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-0.10 (-0.96, 0.76)</w:t>
            </w:r>
          </w:p>
        </w:tc>
        <w:tc>
          <w:tcPr>
            <w:tcW w:w="94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0.49 (-0.46, 1.43)</w:t>
            </w:r>
          </w:p>
        </w:tc>
      </w:tr>
      <w:tr w:rsidR="00DA10D4" w:rsidRPr="00FF5A10" w:rsidTr="00242A46">
        <w:trPr>
          <w:trHeight w:val="19"/>
        </w:trPr>
        <w:tc>
          <w:tcPr>
            <w:tcW w:w="790"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sz w:val="18"/>
                <w:szCs w:val="18"/>
                <w:lang w:val="en-AU"/>
              </w:rPr>
            </w:pPr>
            <w:r w:rsidRPr="00FF5A10">
              <w:rPr>
                <w:rFonts w:ascii="Times New Roman" w:eastAsia="Calibri" w:hAnsi="Times New Roman" w:cs="Times New Roman"/>
                <w:b/>
                <w:sz w:val="18"/>
                <w:szCs w:val="18"/>
                <w:lang w:val="en-US"/>
              </w:rPr>
              <w:t>Men (&gt;65 y)</w:t>
            </w:r>
          </w:p>
        </w:tc>
        <w:tc>
          <w:tcPr>
            <w:tcW w:w="726"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 (Ref.)</w:t>
            </w:r>
          </w:p>
        </w:tc>
        <w:tc>
          <w:tcPr>
            <w:tcW w:w="7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0.22 (-0.79, 1.22)</w:t>
            </w:r>
          </w:p>
        </w:tc>
        <w:tc>
          <w:tcPr>
            <w:tcW w:w="861"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-0.20 (-1.24, 0.84)</w:t>
            </w:r>
          </w:p>
        </w:tc>
        <w:tc>
          <w:tcPr>
            <w:tcW w:w="883"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-0.09 (-1.15, 0.98)</w:t>
            </w:r>
          </w:p>
        </w:tc>
        <w:tc>
          <w:tcPr>
            <w:tcW w:w="94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-0.87 (-1.93, 0.20)</w:t>
            </w:r>
          </w:p>
        </w:tc>
      </w:tr>
    </w:tbl>
    <w:p w:rsidR="00DA10D4" w:rsidRPr="00FF5A10" w:rsidRDefault="00DA10D4" w:rsidP="00DA10D4">
      <w:pPr>
        <w:suppressLineNumbers/>
        <w:spacing w:line="254" w:lineRule="auto"/>
        <w:ind w:left="-426" w:right="-710"/>
        <w:jc w:val="both"/>
        <w:rPr>
          <w:rFonts w:ascii="Times New Roman" w:eastAsia="Calibri" w:hAnsi="Times New Roman" w:cs="Times New Roman"/>
          <w:sz w:val="16"/>
          <w:szCs w:val="16"/>
          <w:lang w:val="en-US"/>
        </w:rPr>
      </w:pPr>
      <w:r w:rsidRPr="00FF5A10">
        <w:rPr>
          <w:rFonts w:ascii="Times New Roman" w:eastAsia="Calibri" w:hAnsi="Times New Roman" w:cs="Times New Roman"/>
          <w:sz w:val="16"/>
          <w:szCs w:val="16"/>
          <w:lang w:val="en-US"/>
        </w:rPr>
        <w:t xml:space="preserve">Values are presented as </w:t>
      </w:r>
      <w:r w:rsidRPr="00FF5A10">
        <w:rPr>
          <w:rFonts w:ascii="Times New Roman" w:eastAsia="Calibri" w:hAnsi="Times New Roman" w:cs="Times New Roman"/>
          <w:sz w:val="16"/>
          <w:szCs w:val="16"/>
          <w:lang w:val="en-GB"/>
        </w:rPr>
        <w:t>β</w:t>
      </w:r>
      <w:r w:rsidRPr="00FF5A10">
        <w:rPr>
          <w:rFonts w:ascii="Times New Roman" w:eastAsia="Calibri" w:hAnsi="Times New Roman" w:cs="Times New Roman"/>
          <w:sz w:val="16"/>
          <w:szCs w:val="16"/>
          <w:lang w:val="en-US"/>
        </w:rPr>
        <w:t xml:space="preserve">-coefficients and 95%CI for symptomatology of depression (Beck Depression Inventory II) as continuous variable according to PDQS. The analysis has been adjusted for smoking habits, physical activity, educational level, BMI, living alone, civil status, sleep duration and presence of chronic diseases. Values presented in bald showed a statistically significant association (p&lt;0.05). Abbreviations: (BMI), Body mass index; (PDQDS), Prime diet quality score; (Q), quintile. </w:t>
      </w:r>
    </w:p>
    <w:p w:rsidR="00DA10D4" w:rsidRPr="00FF5A10" w:rsidRDefault="00DA10D4" w:rsidP="00DA10D4">
      <w:pPr>
        <w:suppressLineNumbers/>
        <w:spacing w:line="254" w:lineRule="auto"/>
        <w:ind w:right="-710"/>
        <w:jc w:val="both"/>
        <w:rPr>
          <w:rFonts w:ascii="Times New Roman" w:eastAsia="Calibri" w:hAnsi="Times New Roman" w:cs="Times New Roman"/>
          <w:sz w:val="16"/>
          <w:szCs w:val="16"/>
          <w:lang w:val="en-US"/>
        </w:rPr>
      </w:pPr>
    </w:p>
    <w:p w:rsidR="00DA10D4" w:rsidRPr="00FF5A10" w:rsidRDefault="00DA10D4" w:rsidP="00DA10D4">
      <w:pPr>
        <w:suppressLineNumbers/>
        <w:adjustRightInd w:val="0"/>
        <w:snapToGrid w:val="0"/>
        <w:spacing w:before="240" w:after="120" w:line="260" w:lineRule="atLeast"/>
        <w:ind w:left="-567" w:right="-1"/>
        <w:jc w:val="both"/>
        <w:rPr>
          <w:rFonts w:ascii="Times New Roman" w:eastAsia="Calibri" w:hAnsi="Times New Roman" w:cs="Times New Roman"/>
          <w:sz w:val="20"/>
          <w:szCs w:val="20"/>
          <w:lang w:val="en-US" w:bidi="en-US"/>
        </w:rPr>
      </w:pPr>
      <w:r w:rsidRPr="00FF5A10">
        <w:rPr>
          <w:rFonts w:ascii="Times New Roman" w:eastAsia="Calibri" w:hAnsi="Times New Roman" w:cs="Times New Roman"/>
          <w:b/>
          <w:sz w:val="20"/>
          <w:szCs w:val="20"/>
          <w:lang w:val="en-US" w:bidi="en-US"/>
        </w:rPr>
        <w:t xml:space="preserve">Supplementary Table 3. </w:t>
      </w:r>
      <w:r w:rsidRPr="00FF5A10">
        <w:rPr>
          <w:rFonts w:ascii="Times New Roman" w:eastAsia="Calibri" w:hAnsi="Times New Roman" w:cs="Times New Roman"/>
          <w:sz w:val="20"/>
          <w:szCs w:val="20"/>
          <w:lang w:val="en-US" w:bidi="en-US"/>
        </w:rPr>
        <w:t>Multivariable logistic regression models for the association between PDQS and prevalence of depression in the PREDIMED-Plus study participants according to sex and age. Odds ratios (95% Confidence intervals). (Cross-sectional analysis).</w:t>
      </w:r>
    </w:p>
    <w:tbl>
      <w:tblPr>
        <w:tblStyle w:val="Tablaconcuadrcula21"/>
        <w:tblW w:w="5739" w:type="pct"/>
        <w:tblInd w:w="-714" w:type="dxa"/>
        <w:tblLook w:val="04A0" w:firstRow="1" w:lastRow="0" w:firstColumn="1" w:lastColumn="0" w:noHBand="0" w:noVBand="1"/>
      </w:tblPr>
      <w:tblGrid>
        <w:gridCol w:w="1987"/>
        <w:gridCol w:w="1163"/>
        <w:gridCol w:w="1530"/>
        <w:gridCol w:w="1641"/>
        <w:gridCol w:w="1505"/>
        <w:gridCol w:w="1505"/>
        <w:gridCol w:w="1018"/>
      </w:tblGrid>
      <w:tr w:rsidR="00DA10D4" w:rsidRPr="00FF5A10" w:rsidTr="00242A46">
        <w:trPr>
          <w:trHeight w:val="19"/>
        </w:trPr>
        <w:tc>
          <w:tcPr>
            <w:tcW w:w="960"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4" w:lineRule="auto"/>
              <w:jc w:val="center"/>
              <w:rPr>
                <w:rFonts w:ascii="Times New Roman" w:eastAsia="Calibri" w:hAnsi="Times New Roman" w:cs="Times New Roman"/>
                <w:b/>
                <w:sz w:val="18"/>
                <w:szCs w:val="18"/>
                <w:lang w:val="en-US"/>
              </w:rPr>
            </w:pPr>
            <w:r w:rsidRPr="00FF5A10">
              <w:rPr>
                <w:rFonts w:ascii="Times New Roman" w:eastAsia="Calibri" w:hAnsi="Times New Roman" w:cs="Times New Roman"/>
                <w:b/>
                <w:sz w:val="18"/>
                <w:szCs w:val="18"/>
                <w:lang w:val="en-US"/>
              </w:rPr>
              <w:t>PDQS</w:t>
            </w:r>
          </w:p>
        </w:tc>
        <w:tc>
          <w:tcPr>
            <w:tcW w:w="56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Q1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739"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Q2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793"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Q3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 xml:space="preserve">Q4 </w:t>
            </w:r>
          </w:p>
          <w:p w:rsidR="00DA10D4" w:rsidRPr="00FF5A10" w:rsidRDefault="00DA10D4" w:rsidP="00242A46">
            <w:pPr>
              <w:suppressLineNumbers/>
              <w:spacing w:line="254" w:lineRule="auto"/>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Q5</w:t>
            </w:r>
          </w:p>
          <w:p w:rsidR="00DA10D4" w:rsidRPr="00FF5A10" w:rsidRDefault="00DA10D4" w:rsidP="00242A46">
            <w:pPr>
              <w:suppressLineNumbers/>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(n=1325)</w:t>
            </w:r>
          </w:p>
        </w:tc>
        <w:tc>
          <w:tcPr>
            <w:tcW w:w="49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jc w:val="center"/>
              <w:rPr>
                <w:rFonts w:ascii="Times New Roman" w:eastAsia="Calibri" w:hAnsi="Times New Roman" w:cs="Times New Roman"/>
                <w:b/>
                <w:sz w:val="18"/>
                <w:szCs w:val="18"/>
                <w:lang w:val="en-GB"/>
              </w:rPr>
            </w:pPr>
            <w:r w:rsidRPr="00FF5A10">
              <w:rPr>
                <w:rFonts w:ascii="Times New Roman" w:eastAsia="Calibri" w:hAnsi="Times New Roman" w:cs="Times New Roman"/>
                <w:b/>
                <w:sz w:val="18"/>
                <w:szCs w:val="18"/>
                <w:lang w:val="en-GB"/>
              </w:rPr>
              <w:t>P for trend</w:t>
            </w:r>
          </w:p>
        </w:tc>
      </w:tr>
      <w:tr w:rsidR="00DA10D4" w:rsidRPr="00FF5A10" w:rsidTr="00242A46">
        <w:trPr>
          <w:trHeight w:val="19"/>
        </w:trPr>
        <w:tc>
          <w:tcPr>
            <w:tcW w:w="960"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b/>
                <w:sz w:val="18"/>
                <w:szCs w:val="18"/>
              </w:rPr>
            </w:pPr>
            <w:r w:rsidRPr="00FF5A10">
              <w:rPr>
                <w:rFonts w:ascii="Times New Roman" w:eastAsia="Calibri" w:hAnsi="Times New Roman" w:cs="Times New Roman"/>
                <w:b/>
                <w:sz w:val="18"/>
                <w:szCs w:val="18"/>
                <w:lang w:val="en-US"/>
              </w:rPr>
              <w:t>Women (60-65 y)</w:t>
            </w:r>
          </w:p>
        </w:tc>
        <w:tc>
          <w:tcPr>
            <w:tcW w:w="56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1 (Ref.)</w:t>
            </w:r>
          </w:p>
        </w:tc>
        <w:tc>
          <w:tcPr>
            <w:tcW w:w="739"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0.75 (0.52, 1.10)</w:t>
            </w:r>
          </w:p>
        </w:tc>
        <w:tc>
          <w:tcPr>
            <w:tcW w:w="793"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0.69 (0.48, 1.00)</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0.82 (0.57, 1.17)</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0.94 (0.66, 1.34)</w:t>
            </w:r>
          </w:p>
        </w:tc>
        <w:tc>
          <w:tcPr>
            <w:tcW w:w="49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0.684</w:t>
            </w:r>
          </w:p>
        </w:tc>
      </w:tr>
      <w:tr w:rsidR="00DA10D4" w:rsidRPr="00FF5A10" w:rsidTr="00242A46">
        <w:trPr>
          <w:trHeight w:val="19"/>
        </w:trPr>
        <w:tc>
          <w:tcPr>
            <w:tcW w:w="960"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sz w:val="18"/>
                <w:szCs w:val="18"/>
              </w:rPr>
            </w:pPr>
            <w:r w:rsidRPr="00FF5A10">
              <w:rPr>
                <w:rFonts w:ascii="Times New Roman" w:eastAsia="Calibri" w:hAnsi="Times New Roman" w:cs="Times New Roman"/>
                <w:b/>
                <w:sz w:val="18"/>
                <w:szCs w:val="18"/>
                <w:lang w:val="en-US"/>
              </w:rPr>
              <w:t>Women (&gt;65 y)</w:t>
            </w:r>
          </w:p>
        </w:tc>
        <w:tc>
          <w:tcPr>
            <w:tcW w:w="56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1 (Ref.)</w:t>
            </w:r>
          </w:p>
        </w:tc>
        <w:tc>
          <w:tcPr>
            <w:tcW w:w="739"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0.72 (0.51, 1.03)</w:t>
            </w:r>
          </w:p>
        </w:tc>
        <w:tc>
          <w:tcPr>
            <w:tcW w:w="793"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0.67 (0.48, 0.95)</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0.74 80.53, 1.03)</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0.73 (0.53, 1.01)</w:t>
            </w:r>
          </w:p>
        </w:tc>
        <w:tc>
          <w:tcPr>
            <w:tcW w:w="49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0.004</w:t>
            </w:r>
          </w:p>
        </w:tc>
      </w:tr>
      <w:tr w:rsidR="00DA10D4" w:rsidRPr="00FF5A10" w:rsidTr="00242A46">
        <w:trPr>
          <w:trHeight w:val="19"/>
        </w:trPr>
        <w:tc>
          <w:tcPr>
            <w:tcW w:w="960"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b/>
                <w:sz w:val="18"/>
                <w:szCs w:val="18"/>
              </w:rPr>
            </w:pPr>
            <w:r w:rsidRPr="00FF5A10">
              <w:rPr>
                <w:rFonts w:ascii="Times New Roman" w:eastAsia="Calibri" w:hAnsi="Times New Roman" w:cs="Times New Roman"/>
                <w:b/>
                <w:sz w:val="18"/>
                <w:szCs w:val="18"/>
                <w:lang w:val="en-US"/>
              </w:rPr>
              <w:t>Men (55-65 y)</w:t>
            </w:r>
          </w:p>
        </w:tc>
        <w:tc>
          <w:tcPr>
            <w:tcW w:w="56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1 (Ref.)</w:t>
            </w:r>
          </w:p>
        </w:tc>
        <w:tc>
          <w:tcPr>
            <w:tcW w:w="739"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0.89 (0.64, 1.26)</w:t>
            </w:r>
          </w:p>
        </w:tc>
        <w:tc>
          <w:tcPr>
            <w:tcW w:w="793"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0.89 (0.62, 1.26)</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0.92 (0.64, 1.32)</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1.02 (0.69, 1.52)</w:t>
            </w:r>
          </w:p>
        </w:tc>
        <w:tc>
          <w:tcPr>
            <w:tcW w:w="49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0.736</w:t>
            </w:r>
          </w:p>
        </w:tc>
      </w:tr>
      <w:tr w:rsidR="00DA10D4" w:rsidRPr="00FF5A10" w:rsidTr="00242A46">
        <w:trPr>
          <w:trHeight w:val="19"/>
        </w:trPr>
        <w:tc>
          <w:tcPr>
            <w:tcW w:w="960"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utoSpaceDE w:val="0"/>
              <w:autoSpaceDN w:val="0"/>
              <w:adjustRightInd w:val="0"/>
              <w:snapToGrid w:val="0"/>
              <w:spacing w:line="254" w:lineRule="auto"/>
              <w:rPr>
                <w:rFonts w:ascii="Times New Roman" w:eastAsia="Calibri" w:hAnsi="Times New Roman" w:cs="Times New Roman"/>
                <w:sz w:val="18"/>
                <w:szCs w:val="18"/>
              </w:rPr>
            </w:pPr>
            <w:r w:rsidRPr="00FF5A10">
              <w:rPr>
                <w:rFonts w:ascii="Times New Roman" w:eastAsia="Calibri" w:hAnsi="Times New Roman" w:cs="Times New Roman"/>
                <w:b/>
                <w:sz w:val="18"/>
                <w:szCs w:val="18"/>
                <w:lang w:val="en-US"/>
              </w:rPr>
              <w:t>Men (&gt;65 y)</w:t>
            </w:r>
          </w:p>
        </w:tc>
        <w:tc>
          <w:tcPr>
            <w:tcW w:w="56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1 (Ref.)</w:t>
            </w:r>
          </w:p>
        </w:tc>
        <w:tc>
          <w:tcPr>
            <w:tcW w:w="739"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0.66 (0.43, 1.03)</w:t>
            </w:r>
          </w:p>
        </w:tc>
        <w:tc>
          <w:tcPr>
            <w:tcW w:w="793"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0.79 (0.50, 1.24)</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0.50 (0.30, 0.83)</w:t>
            </w:r>
          </w:p>
        </w:tc>
        <w:tc>
          <w:tcPr>
            <w:tcW w:w="727"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eastAsia="Calibri" w:hAnsi="Times New Roman" w:cs="Times New Roman"/>
                <w:b/>
                <w:sz w:val="18"/>
                <w:szCs w:val="18"/>
              </w:rPr>
            </w:pPr>
            <w:r w:rsidRPr="00FF5A10">
              <w:rPr>
                <w:rFonts w:ascii="Times New Roman" w:eastAsia="Calibri" w:hAnsi="Times New Roman" w:cs="Times New Roman"/>
                <w:b/>
                <w:sz w:val="18"/>
                <w:szCs w:val="18"/>
              </w:rPr>
              <w:t>0.52 (0.31, 0.86)</w:t>
            </w:r>
          </w:p>
        </w:tc>
        <w:tc>
          <w:tcPr>
            <w:tcW w:w="49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eastAsia="Calibri" w:hAnsi="Times New Roman" w:cs="Times New Roman"/>
                <w:sz w:val="18"/>
                <w:szCs w:val="18"/>
              </w:rPr>
            </w:pPr>
            <w:r w:rsidRPr="00FF5A10">
              <w:rPr>
                <w:rFonts w:ascii="Times New Roman" w:eastAsia="Calibri" w:hAnsi="Times New Roman" w:cs="Times New Roman"/>
                <w:sz w:val="18"/>
                <w:szCs w:val="18"/>
              </w:rPr>
              <w:t>0.103</w:t>
            </w:r>
          </w:p>
        </w:tc>
      </w:tr>
    </w:tbl>
    <w:p w:rsidR="00DA10D4" w:rsidRPr="00FF5A10" w:rsidRDefault="00DA10D4" w:rsidP="00DA10D4">
      <w:pPr>
        <w:suppressLineNumbers/>
        <w:spacing w:line="254" w:lineRule="auto"/>
        <w:ind w:left="-426"/>
        <w:jc w:val="both"/>
        <w:outlineLvl w:val="0"/>
        <w:rPr>
          <w:rFonts w:ascii="Times New Roman" w:eastAsia="Calibri" w:hAnsi="Times New Roman" w:cs="Times New Roman"/>
          <w:sz w:val="16"/>
          <w:szCs w:val="16"/>
          <w:lang w:val="en-US"/>
        </w:rPr>
      </w:pPr>
      <w:r w:rsidRPr="00FF5A10">
        <w:rPr>
          <w:rFonts w:ascii="Times New Roman" w:eastAsia="Calibri" w:hAnsi="Times New Roman" w:cs="Times New Roman"/>
          <w:sz w:val="16"/>
          <w:szCs w:val="16"/>
          <w:lang w:val="en-US"/>
        </w:rPr>
        <w:t>Values are presented as OR and 95%CI for prevalence of depression (≥18p at Beck Depression Inventory II and/or lifetime prevalence of depression) as categorical variable according to PDQS. The analysis has been adjusted for smoking habits, physical activity, educational level, BMI, living alone, civil status, sleep duration and presence of chronic diseases. Values presented in bald showed a statistically significant association (p&lt;0.05). Abbreviations: (BMI), Body mass index; (PDQS), prime dietary quality score; (Q), quintile.</w:t>
      </w:r>
    </w:p>
    <w:p w:rsidR="00DA10D4" w:rsidRPr="00FF5A10" w:rsidRDefault="00DA10D4" w:rsidP="00DA10D4">
      <w:pPr>
        <w:suppressLineNumbers/>
        <w:spacing w:line="254" w:lineRule="auto"/>
        <w:ind w:left="-426"/>
        <w:jc w:val="both"/>
        <w:outlineLvl w:val="0"/>
        <w:rPr>
          <w:rFonts w:ascii="Times New Roman" w:eastAsia="Calibri" w:hAnsi="Times New Roman" w:cs="Times New Roman"/>
          <w:sz w:val="16"/>
          <w:szCs w:val="16"/>
          <w:lang w:val="en-US"/>
        </w:rPr>
      </w:pPr>
    </w:p>
    <w:p w:rsidR="00DA10D4" w:rsidRPr="00FF5A10" w:rsidRDefault="00DA10D4" w:rsidP="00DA10D4">
      <w:pPr>
        <w:suppressLineNumbers/>
        <w:spacing w:line="254" w:lineRule="auto"/>
        <w:ind w:left="-567"/>
        <w:contextualSpacing/>
        <w:jc w:val="both"/>
        <w:rPr>
          <w:rFonts w:ascii="Times New Roman" w:eastAsia="Calibri" w:hAnsi="Times New Roman" w:cs="Times New Roman"/>
          <w:sz w:val="20"/>
          <w:szCs w:val="20"/>
          <w:lang w:val="en-GB"/>
        </w:rPr>
      </w:pPr>
      <w:r w:rsidRPr="00FF5A10">
        <w:rPr>
          <w:rFonts w:ascii="Times New Roman" w:eastAsia="Calibri" w:hAnsi="Times New Roman" w:cs="Times New Roman"/>
          <w:b/>
          <w:sz w:val="20"/>
          <w:szCs w:val="20"/>
          <w:lang w:val="en-GB"/>
        </w:rPr>
        <w:t>Supplementary Table 4</w:t>
      </w:r>
      <w:r w:rsidRPr="00FF5A10">
        <w:rPr>
          <w:rFonts w:ascii="Times New Roman" w:eastAsia="Calibri" w:hAnsi="Times New Roman" w:cs="Times New Roman"/>
          <w:sz w:val="20"/>
          <w:szCs w:val="20"/>
          <w:lang w:val="en-GB"/>
        </w:rPr>
        <w:t xml:space="preserve">. </w:t>
      </w:r>
      <w:r w:rsidRPr="00FF5A10">
        <w:rPr>
          <w:rFonts w:ascii="Times New Roman" w:eastAsia="Calibri" w:hAnsi="Times New Roman" w:cs="Times New Roman"/>
          <w:bCs/>
          <w:sz w:val="20"/>
          <w:szCs w:val="20"/>
          <w:lang w:val="en-GB"/>
        </w:rPr>
        <w:t xml:space="preserve">Association between PDQS and concurrent changes in self-reported depressive symptoms after 2 year of follow-up in the PREDIMED-Plus trial according to sex and age (n=5523). </w:t>
      </w:r>
      <w:r w:rsidRPr="00FF5A10">
        <w:rPr>
          <w:rFonts w:ascii="Times New Roman" w:eastAsia="Calibri" w:hAnsi="Times New Roman" w:cs="Times New Roman"/>
          <w:bCs/>
          <w:sz w:val="20"/>
          <w:szCs w:val="20"/>
          <w:lang w:val="en-GB" w:bidi="en-US"/>
        </w:rPr>
        <w:t>(Longitudinal analysis).</w:t>
      </w:r>
    </w:p>
    <w:tbl>
      <w:tblPr>
        <w:tblStyle w:val="Tablaconcuadrcula221"/>
        <w:tblW w:w="5862" w:type="pct"/>
        <w:tblInd w:w="-607" w:type="dxa"/>
        <w:tblLook w:val="04A0" w:firstRow="1" w:lastRow="0" w:firstColumn="1" w:lastColumn="0" w:noHBand="0" w:noVBand="1"/>
      </w:tblPr>
      <w:tblGrid>
        <w:gridCol w:w="2111"/>
        <w:gridCol w:w="1355"/>
        <w:gridCol w:w="1843"/>
        <w:gridCol w:w="1805"/>
        <w:gridCol w:w="1805"/>
        <w:gridCol w:w="1651"/>
      </w:tblGrid>
      <w:tr w:rsidR="00DA10D4" w:rsidRPr="00FF5A10" w:rsidTr="00242A46">
        <w:trPr>
          <w:trHeight w:val="19"/>
        </w:trPr>
        <w:tc>
          <w:tcPr>
            <w:tcW w:w="9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2" w:lineRule="auto"/>
              <w:jc w:val="center"/>
              <w:rPr>
                <w:rFonts w:ascii="Times New Roman" w:hAnsi="Times New Roman"/>
                <w:b/>
                <w:sz w:val="18"/>
                <w:szCs w:val="18"/>
                <w:lang w:val="en-US"/>
              </w:rPr>
            </w:pPr>
            <w:r w:rsidRPr="00FF5A10">
              <w:rPr>
                <w:rFonts w:ascii="Times New Roman" w:hAnsi="Times New Roman"/>
                <w:b/>
                <w:sz w:val="18"/>
                <w:szCs w:val="18"/>
                <w:lang w:val="en-US"/>
              </w:rPr>
              <w:t>PDQS</w:t>
            </w:r>
          </w:p>
        </w:tc>
        <w:tc>
          <w:tcPr>
            <w:tcW w:w="641"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 xml:space="preserve">Q1 </w:t>
            </w:r>
          </w:p>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(n=1069)</w:t>
            </w:r>
          </w:p>
        </w:tc>
        <w:tc>
          <w:tcPr>
            <w:tcW w:w="87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 xml:space="preserve">Q2 </w:t>
            </w:r>
          </w:p>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(n=1083)</w:t>
            </w:r>
          </w:p>
        </w:tc>
        <w:tc>
          <w:tcPr>
            <w:tcW w:w="854"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 xml:space="preserve">Q3 </w:t>
            </w:r>
          </w:p>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(n=1108)</w:t>
            </w:r>
          </w:p>
        </w:tc>
        <w:tc>
          <w:tcPr>
            <w:tcW w:w="854"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 xml:space="preserve">Q4 </w:t>
            </w:r>
          </w:p>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(n=1130)</w:t>
            </w:r>
          </w:p>
        </w:tc>
        <w:tc>
          <w:tcPr>
            <w:tcW w:w="78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Q5</w:t>
            </w:r>
          </w:p>
          <w:p w:rsidR="00DA10D4" w:rsidRPr="00FF5A10" w:rsidRDefault="00DA10D4" w:rsidP="00242A46">
            <w:pPr>
              <w:suppressLineNumbers/>
              <w:spacing w:line="252" w:lineRule="auto"/>
              <w:jc w:val="center"/>
              <w:rPr>
                <w:rFonts w:ascii="Times New Roman" w:hAnsi="Times New Roman"/>
                <w:b/>
                <w:sz w:val="18"/>
                <w:szCs w:val="18"/>
              </w:rPr>
            </w:pPr>
            <w:r w:rsidRPr="00FF5A10">
              <w:rPr>
                <w:rFonts w:ascii="Times New Roman" w:hAnsi="Times New Roman"/>
                <w:b/>
                <w:sz w:val="18"/>
                <w:szCs w:val="18"/>
              </w:rPr>
              <w:t>(n=1133)</w:t>
            </w:r>
          </w:p>
        </w:tc>
      </w:tr>
      <w:tr w:rsidR="00DA10D4" w:rsidRPr="00FF5A10" w:rsidTr="00242A46">
        <w:trPr>
          <w:trHeight w:val="19"/>
        </w:trPr>
        <w:tc>
          <w:tcPr>
            <w:tcW w:w="9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2" w:lineRule="auto"/>
              <w:rPr>
                <w:rFonts w:ascii="Times New Roman" w:hAnsi="Times New Roman"/>
                <w:sz w:val="18"/>
                <w:szCs w:val="18"/>
                <w:lang w:val="en-AU"/>
              </w:rPr>
            </w:pPr>
            <w:r w:rsidRPr="00FF5A10">
              <w:rPr>
                <w:rFonts w:ascii="Times New Roman" w:hAnsi="Times New Roman"/>
                <w:b/>
                <w:sz w:val="18"/>
                <w:szCs w:val="18"/>
                <w:lang w:val="en-US"/>
              </w:rPr>
              <w:t>Women (60-65 y)</w:t>
            </w:r>
          </w:p>
        </w:tc>
        <w:tc>
          <w:tcPr>
            <w:tcW w:w="641"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 (Ref.)</w:t>
            </w:r>
          </w:p>
        </w:tc>
        <w:tc>
          <w:tcPr>
            <w:tcW w:w="87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-0.50 (-1.85, 0.86)</w:t>
            </w:r>
          </w:p>
        </w:tc>
        <w:tc>
          <w:tcPr>
            <w:tcW w:w="854"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-0.11 (-1.42, 1.20)</w:t>
            </w:r>
          </w:p>
        </w:tc>
        <w:tc>
          <w:tcPr>
            <w:tcW w:w="854"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-0.05 (-1.35, 1.26)</w:t>
            </w:r>
          </w:p>
        </w:tc>
        <w:tc>
          <w:tcPr>
            <w:tcW w:w="78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b/>
                <w:sz w:val="18"/>
                <w:szCs w:val="18"/>
              </w:rPr>
            </w:pPr>
            <w:r w:rsidRPr="00FF5A10">
              <w:rPr>
                <w:rFonts w:ascii="Times New Roman" w:hAnsi="Times New Roman"/>
                <w:b/>
                <w:sz w:val="18"/>
                <w:szCs w:val="18"/>
              </w:rPr>
              <w:t>-0.50 (-1.82, 0.82)</w:t>
            </w:r>
          </w:p>
        </w:tc>
      </w:tr>
      <w:tr w:rsidR="00DA10D4" w:rsidRPr="00FF5A10" w:rsidTr="00242A46">
        <w:trPr>
          <w:trHeight w:val="19"/>
        </w:trPr>
        <w:tc>
          <w:tcPr>
            <w:tcW w:w="9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2" w:lineRule="auto"/>
              <w:rPr>
                <w:rFonts w:ascii="Times New Roman" w:hAnsi="Times New Roman"/>
                <w:sz w:val="18"/>
                <w:szCs w:val="18"/>
              </w:rPr>
            </w:pPr>
            <w:r w:rsidRPr="00FF5A10">
              <w:rPr>
                <w:rFonts w:ascii="Times New Roman" w:hAnsi="Times New Roman"/>
                <w:b/>
                <w:sz w:val="18"/>
                <w:szCs w:val="18"/>
                <w:lang w:val="en-US"/>
              </w:rPr>
              <w:t>Women (&gt;65 y)</w:t>
            </w:r>
          </w:p>
        </w:tc>
        <w:tc>
          <w:tcPr>
            <w:tcW w:w="641"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 (Ref.)</w:t>
            </w:r>
          </w:p>
        </w:tc>
        <w:tc>
          <w:tcPr>
            <w:tcW w:w="87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0.47 (-0.83, 1.77)</w:t>
            </w:r>
          </w:p>
        </w:tc>
        <w:tc>
          <w:tcPr>
            <w:tcW w:w="854"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0.50 (-0.78, 1.78)</w:t>
            </w:r>
          </w:p>
        </w:tc>
        <w:tc>
          <w:tcPr>
            <w:tcW w:w="854"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1.05 (-0.19, 2.30)</w:t>
            </w:r>
          </w:p>
        </w:tc>
        <w:tc>
          <w:tcPr>
            <w:tcW w:w="782" w:type="pct"/>
            <w:tcBorders>
              <w:top w:val="single" w:sz="4" w:space="0" w:color="auto"/>
              <w:left w:val="single" w:sz="4" w:space="0" w:color="auto"/>
              <w:bottom w:val="single" w:sz="4" w:space="0" w:color="auto"/>
              <w:right w:val="single" w:sz="4" w:space="0" w:color="auto"/>
            </w:tcBorders>
            <w:hideMark/>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-0.21 (-1.43, 1.02)</w:t>
            </w:r>
          </w:p>
        </w:tc>
      </w:tr>
      <w:tr w:rsidR="00DA10D4" w:rsidRPr="00FF5A10" w:rsidTr="00242A46">
        <w:trPr>
          <w:trHeight w:val="19"/>
        </w:trPr>
        <w:tc>
          <w:tcPr>
            <w:tcW w:w="9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2" w:lineRule="auto"/>
              <w:rPr>
                <w:rFonts w:ascii="Times New Roman" w:hAnsi="Times New Roman"/>
                <w:sz w:val="18"/>
                <w:szCs w:val="18"/>
              </w:rPr>
            </w:pPr>
            <w:r w:rsidRPr="00FF5A10">
              <w:rPr>
                <w:rFonts w:ascii="Times New Roman" w:hAnsi="Times New Roman"/>
                <w:b/>
                <w:sz w:val="18"/>
                <w:szCs w:val="18"/>
                <w:lang w:val="en-US"/>
              </w:rPr>
              <w:t>Men (55-65 y)</w:t>
            </w:r>
          </w:p>
        </w:tc>
        <w:tc>
          <w:tcPr>
            <w:tcW w:w="641"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 (Ref.)</w:t>
            </w:r>
          </w:p>
        </w:tc>
        <w:tc>
          <w:tcPr>
            <w:tcW w:w="87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b/>
                <w:sz w:val="18"/>
                <w:szCs w:val="18"/>
              </w:rPr>
            </w:pPr>
            <w:r w:rsidRPr="00FF5A10">
              <w:rPr>
                <w:rFonts w:ascii="Times New Roman" w:hAnsi="Times New Roman"/>
                <w:b/>
                <w:sz w:val="18"/>
                <w:szCs w:val="18"/>
              </w:rPr>
              <w:t>-0.80 (-1.44, -0.15)</w:t>
            </w:r>
          </w:p>
        </w:tc>
        <w:tc>
          <w:tcPr>
            <w:tcW w:w="854"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-0.35 (-1.00, 0.30)</w:t>
            </w:r>
          </w:p>
        </w:tc>
        <w:tc>
          <w:tcPr>
            <w:tcW w:w="854"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b/>
                <w:sz w:val="18"/>
                <w:szCs w:val="18"/>
              </w:rPr>
            </w:pPr>
            <w:r w:rsidRPr="00FF5A10">
              <w:rPr>
                <w:rFonts w:ascii="Times New Roman" w:hAnsi="Times New Roman"/>
                <w:b/>
                <w:sz w:val="18"/>
                <w:szCs w:val="18"/>
              </w:rPr>
              <w:t>-0.69 (-1.37, -0.10)</w:t>
            </w:r>
          </w:p>
        </w:tc>
        <w:tc>
          <w:tcPr>
            <w:tcW w:w="78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-0.08 (-0.82, 0.66)</w:t>
            </w:r>
          </w:p>
        </w:tc>
      </w:tr>
      <w:tr w:rsidR="00DA10D4" w:rsidRPr="00FF5A10" w:rsidTr="00242A46">
        <w:trPr>
          <w:trHeight w:val="19"/>
        </w:trPr>
        <w:tc>
          <w:tcPr>
            <w:tcW w:w="998"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utoSpaceDE w:val="0"/>
              <w:autoSpaceDN w:val="0"/>
              <w:adjustRightInd w:val="0"/>
              <w:snapToGrid w:val="0"/>
              <w:spacing w:line="252" w:lineRule="auto"/>
              <w:rPr>
                <w:rFonts w:ascii="Times New Roman" w:hAnsi="Times New Roman"/>
                <w:sz w:val="18"/>
                <w:szCs w:val="18"/>
              </w:rPr>
            </w:pPr>
            <w:r w:rsidRPr="00FF5A10">
              <w:rPr>
                <w:rFonts w:ascii="Times New Roman" w:hAnsi="Times New Roman"/>
                <w:b/>
                <w:sz w:val="18"/>
                <w:szCs w:val="18"/>
                <w:lang w:val="en-US"/>
              </w:rPr>
              <w:t>Men (&gt;65 y)</w:t>
            </w:r>
          </w:p>
        </w:tc>
        <w:tc>
          <w:tcPr>
            <w:tcW w:w="641"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 (Ref.)</w:t>
            </w:r>
          </w:p>
        </w:tc>
        <w:tc>
          <w:tcPr>
            <w:tcW w:w="87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0.41 8-0.44, 1.26)</w:t>
            </w:r>
          </w:p>
        </w:tc>
        <w:tc>
          <w:tcPr>
            <w:tcW w:w="854"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0.47 (-0.40, 1.35)</w:t>
            </w:r>
          </w:p>
        </w:tc>
        <w:tc>
          <w:tcPr>
            <w:tcW w:w="854"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0.19 (-0.68, 1.05)</w:t>
            </w:r>
          </w:p>
        </w:tc>
        <w:tc>
          <w:tcPr>
            <w:tcW w:w="782" w:type="pct"/>
            <w:tcBorders>
              <w:top w:val="single" w:sz="4" w:space="0" w:color="auto"/>
              <w:left w:val="single" w:sz="4" w:space="0" w:color="auto"/>
              <w:bottom w:val="single" w:sz="4" w:space="0" w:color="auto"/>
              <w:right w:val="single" w:sz="4" w:space="0" w:color="auto"/>
            </w:tcBorders>
          </w:tcPr>
          <w:p w:rsidR="00DA10D4" w:rsidRPr="00FF5A10" w:rsidRDefault="00DA10D4" w:rsidP="00242A46">
            <w:pPr>
              <w:suppressLineNumbers/>
              <w:adjustRightInd w:val="0"/>
              <w:snapToGrid w:val="0"/>
              <w:jc w:val="center"/>
              <w:rPr>
                <w:rFonts w:ascii="Times New Roman" w:hAnsi="Times New Roman"/>
                <w:sz w:val="18"/>
                <w:szCs w:val="18"/>
              </w:rPr>
            </w:pPr>
            <w:r w:rsidRPr="00FF5A10">
              <w:rPr>
                <w:rFonts w:ascii="Times New Roman" w:hAnsi="Times New Roman"/>
                <w:sz w:val="18"/>
                <w:szCs w:val="18"/>
              </w:rPr>
              <w:t>-0.02 (-0.90, 0.85)</w:t>
            </w:r>
          </w:p>
        </w:tc>
      </w:tr>
    </w:tbl>
    <w:p w:rsidR="00F1764B" w:rsidRDefault="00DA10D4" w:rsidP="00DA10D4">
      <w:pPr>
        <w:suppressLineNumbers/>
        <w:spacing w:after="0" w:line="252" w:lineRule="auto"/>
        <w:ind w:left="-426" w:right="-710"/>
        <w:jc w:val="both"/>
      </w:pPr>
      <w:r w:rsidRPr="00FF5A10">
        <w:rPr>
          <w:rFonts w:ascii="Times New Roman" w:eastAsia="Calibri" w:hAnsi="Times New Roman" w:cs="Times New Roman"/>
          <w:sz w:val="16"/>
          <w:szCs w:val="16"/>
          <w:lang w:val="en-GB"/>
        </w:rPr>
        <w:t>The values show the </w:t>
      </w:r>
      <w:r w:rsidRPr="00FF5A10">
        <w:rPr>
          <w:rFonts w:ascii="Times New Roman" w:eastAsia="Calibri" w:hAnsi="Times New Roman" w:cs="Times New Roman"/>
          <w:i/>
          <w:iCs/>
          <w:sz w:val="16"/>
          <w:szCs w:val="16"/>
          <w:lang w:val="en-GB"/>
        </w:rPr>
        <w:t>β</w:t>
      </w:r>
      <w:r w:rsidRPr="00FF5A10">
        <w:rPr>
          <w:rFonts w:ascii="Times New Roman" w:eastAsia="Calibri" w:hAnsi="Times New Roman" w:cs="Times New Roman"/>
          <w:sz w:val="16"/>
          <w:szCs w:val="16"/>
          <w:lang w:val="en-GB"/>
        </w:rPr>
        <w:t xml:space="preserve">-coefficients (95% CIs) </w:t>
      </w:r>
      <w:r w:rsidRPr="00FF5A10">
        <w:rPr>
          <w:rFonts w:ascii="Times New Roman" w:eastAsia="Calibri" w:hAnsi="Times New Roman" w:cs="Times New Roman"/>
          <w:sz w:val="16"/>
          <w:szCs w:val="16"/>
          <w:lang w:val="en-AU"/>
        </w:rPr>
        <w:t xml:space="preserve">for changes in depressive symptomatology after 2-y of follow-up as continuous variable according to PDQS. </w:t>
      </w:r>
      <w:r w:rsidRPr="00FF5A10">
        <w:rPr>
          <w:rFonts w:ascii="Times New Roman" w:eastAsia="Calibri" w:hAnsi="Times New Roman" w:cs="Times New Roman"/>
          <w:sz w:val="16"/>
          <w:szCs w:val="16"/>
          <w:lang w:val="en-GB"/>
        </w:rPr>
        <w:t xml:space="preserve">Mixed-effects linear models were performed. </w:t>
      </w:r>
      <w:r w:rsidRPr="00FF5A10">
        <w:rPr>
          <w:rFonts w:ascii="Times New Roman" w:eastAsia="Calibri" w:hAnsi="Times New Roman" w:cs="Times New Roman"/>
          <w:sz w:val="16"/>
          <w:szCs w:val="16"/>
          <w:lang w:val="en-AU"/>
        </w:rPr>
        <w:t xml:space="preserve">This analysis has been adjusted for depressive symptomatology at baseline, smoking habits, physical activity, educational level, BMI, living alone, civil status, sleep duration, presence of chronic diseases, allocation group and recruitment centre. Values presented in bald showed a statistically significant association (p&lt;0.05). Abbreviations: (BMI), body mass index, (PDQS), prime dietary quality score; (Q), quintile.  </w:t>
      </w:r>
      <w:bookmarkStart w:id="0" w:name="_GoBack"/>
      <w:bookmarkEnd w:id="0"/>
    </w:p>
    <w:sectPr w:rsidR="00F1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D4"/>
    <w:rsid w:val="002C31EC"/>
    <w:rsid w:val="002E01EA"/>
    <w:rsid w:val="00DA10D4"/>
    <w:rsid w:val="00DE6A23"/>
    <w:rsid w:val="00F1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3EA7-85AF-48CE-B410-62F77F07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D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concuadrcula2">
    <w:name w:val="Tabla con cuadrícula2"/>
    <w:basedOn w:val="TableNormal"/>
    <w:next w:val="TableGrid"/>
    <w:uiPriority w:val="39"/>
    <w:rsid w:val="00DA10D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next w:val="TableGrid"/>
    <w:uiPriority w:val="39"/>
    <w:rsid w:val="00DA10D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eNormal"/>
    <w:next w:val="TableGrid"/>
    <w:uiPriority w:val="39"/>
    <w:rsid w:val="00DA10D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eNormal"/>
    <w:uiPriority w:val="39"/>
    <w:rsid w:val="00DA10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2021-10-21T08:30:00Z</dcterms:created>
  <dcterms:modified xsi:type="dcterms:W3CDTF">2021-10-21T08:31:00Z</dcterms:modified>
</cp:coreProperties>
</file>