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EB" w:rsidRPr="00287119" w:rsidRDefault="00287119">
      <w:pPr>
        <w:rPr>
          <w:rFonts w:ascii="Times New Roman" w:hAnsi="Times New Roman" w:cs="Times New Roman"/>
          <w:b/>
          <w:sz w:val="24"/>
          <w:szCs w:val="24"/>
        </w:rPr>
      </w:pPr>
      <w:r w:rsidRPr="00AB2081">
        <w:rPr>
          <w:rFonts w:ascii="Times New Roman" w:hAnsi="Times New Roman" w:cs="Times New Roman"/>
          <w:b/>
          <w:sz w:val="24"/>
          <w:szCs w:val="24"/>
        </w:rPr>
        <w:t>Sup</w:t>
      </w:r>
      <w:r w:rsidR="0085265C">
        <w:rPr>
          <w:rFonts w:ascii="Times New Roman" w:hAnsi="Times New Roman" w:cs="Times New Roman"/>
          <w:b/>
          <w:sz w:val="24"/>
          <w:szCs w:val="24"/>
        </w:rPr>
        <w:t xml:space="preserve">plementary </w:t>
      </w:r>
      <w:r w:rsidR="00CE0B54">
        <w:rPr>
          <w:rFonts w:ascii="Times New Roman" w:hAnsi="Times New Roman" w:cs="Times New Roman"/>
          <w:b/>
          <w:sz w:val="24"/>
          <w:szCs w:val="24"/>
        </w:rPr>
        <w:t>Digital file 1</w:t>
      </w:r>
      <w:r w:rsidR="0085265C">
        <w:rPr>
          <w:rFonts w:ascii="Times New Roman" w:hAnsi="Times New Roman" w:cs="Times New Roman"/>
          <w:b/>
          <w:sz w:val="24"/>
          <w:szCs w:val="24"/>
        </w:rPr>
        <w:t xml:space="preserve">: Measurement </w:t>
      </w:r>
      <w:r w:rsidRPr="00AB2081">
        <w:rPr>
          <w:rFonts w:ascii="Times New Roman" w:hAnsi="Times New Roman" w:cs="Times New Roman"/>
          <w:b/>
          <w:sz w:val="24"/>
          <w:szCs w:val="24"/>
        </w:rPr>
        <w:t>o</w:t>
      </w:r>
      <w:r>
        <w:rPr>
          <w:rFonts w:ascii="Times New Roman" w:hAnsi="Times New Roman" w:cs="Times New Roman"/>
          <w:b/>
          <w:sz w:val="24"/>
          <w:szCs w:val="24"/>
        </w:rPr>
        <w:t>f anthropometric parameters</w:t>
      </w:r>
    </w:p>
    <w:tbl>
      <w:tblPr>
        <w:tblStyle w:val="TableGrid"/>
        <w:tblW w:w="0" w:type="auto"/>
        <w:tblLook w:val="04A0"/>
      </w:tblPr>
      <w:tblGrid>
        <w:gridCol w:w="9576"/>
      </w:tblGrid>
      <w:tr w:rsidR="00A270EB" w:rsidTr="00AE660C">
        <w:tc>
          <w:tcPr>
            <w:tcW w:w="9576" w:type="dxa"/>
          </w:tcPr>
          <w:p w:rsidR="00A270EB" w:rsidRPr="003F10B7" w:rsidRDefault="009916CA" w:rsidP="00AE660C">
            <w:pPr>
              <w:spacing w:before="240" w:after="240" w:line="480" w:lineRule="auto"/>
              <w:jc w:val="both"/>
              <w:rPr>
                <w:rFonts w:ascii="Times New Roman" w:hAnsi="Times New Roman" w:cs="Times New Roman"/>
                <w:sz w:val="24"/>
                <w:szCs w:val="24"/>
              </w:rPr>
            </w:pPr>
            <w:r w:rsidRPr="00881957">
              <w:rPr>
                <w:rFonts w:ascii="Times New Roman" w:hAnsi="Times New Roman" w:cs="Times New Roman"/>
                <w:sz w:val="24"/>
                <w:szCs w:val="24"/>
              </w:rPr>
              <w:t>The following anthropometric measurements were analyzed: weight for age (WFA),  height for age (HFA), body mass index (BMI), mid upper arm circumference (MUAC), triceps skinfold (TSF) and subscapular skinfold (SSF) thickness for all subjects, and weight for height (WFH) only for those betw</w:t>
            </w:r>
            <w:r>
              <w:rPr>
                <w:rFonts w:ascii="Times New Roman" w:hAnsi="Times New Roman" w:cs="Times New Roman"/>
                <w:sz w:val="24"/>
                <w:szCs w:val="24"/>
              </w:rPr>
              <w:t xml:space="preserve">een 3 months to 5 years age. </w:t>
            </w:r>
            <w:r w:rsidR="00A270EB" w:rsidRPr="003F10B7">
              <w:rPr>
                <w:rFonts w:ascii="Times New Roman" w:hAnsi="Times New Roman" w:cs="Times New Roman"/>
                <w:sz w:val="24"/>
                <w:szCs w:val="24"/>
              </w:rPr>
              <w:t xml:space="preserve">Weight was measured using electronic pan type scale (infants) and electronic scale with a digital readout for children more than 1 year or 10 kg to an accuracy of 0.01 kg with minimum clothing (without diapers). The estimated dry weight (patient’s weight without ascites or pedal edema) was estimating by subtracting 5% of the patient’s weight in the presence of non-tense ascites and 10% in the presence of tense ascites. An additional 5% was subtracted if bilateral pedal edema was present.  Length for children younger than 2 years was measured using infantometer with a fixed head piece, horizontal backboard, and an adjustable foot piece. For children older than 2 years, a manual stadiometer </w:t>
            </w:r>
            <w:r w:rsidR="00A270EB" w:rsidRPr="003F10B7">
              <w:rPr>
                <w:rFonts w:ascii="Times New Roman" w:hAnsi="Times New Roman" w:cs="Times New Roman"/>
                <w:bCs/>
                <w:iCs/>
                <w:color w:val="000000" w:themeColor="text1"/>
                <w:sz w:val="24"/>
                <w:szCs w:val="24"/>
              </w:rPr>
              <w:t>with a mobile cursor</w:t>
            </w:r>
            <w:r w:rsidR="00A270EB" w:rsidRPr="003F10B7">
              <w:rPr>
                <w:rFonts w:ascii="Times New Roman" w:hAnsi="Times New Roman" w:cs="Times New Roman"/>
                <w:sz w:val="24"/>
                <w:szCs w:val="24"/>
              </w:rPr>
              <w:t xml:space="preserve"> was used (without shoes) nearest of 0.1 cm.</w:t>
            </w:r>
            <w:r w:rsidR="00A270EB" w:rsidRPr="003F10B7">
              <w:rPr>
                <w:rFonts w:ascii="Times New Roman" w:hAnsi="Times New Roman" w:cs="Times New Roman"/>
                <w:bCs/>
                <w:iCs/>
                <w:color w:val="000000" w:themeColor="text1"/>
                <w:sz w:val="24"/>
                <w:szCs w:val="24"/>
              </w:rPr>
              <w:t xml:space="preserve"> BMI value was obtained using the Quetelet formula calculated by the weight (kg)/height</w:t>
            </w:r>
            <w:r w:rsidR="00A270EB" w:rsidRPr="003F10B7">
              <w:rPr>
                <w:rFonts w:ascii="Times New Roman" w:hAnsi="Times New Roman" w:cs="Times New Roman"/>
                <w:bCs/>
                <w:iCs/>
                <w:color w:val="000000" w:themeColor="text1"/>
                <w:sz w:val="24"/>
                <w:szCs w:val="24"/>
                <w:vertAlign w:val="superscript"/>
              </w:rPr>
              <w:t xml:space="preserve">2 </w:t>
            </w:r>
            <w:r w:rsidR="00A270EB" w:rsidRPr="003F10B7">
              <w:rPr>
                <w:rFonts w:ascii="Times New Roman" w:hAnsi="Times New Roman" w:cs="Times New Roman"/>
                <w:bCs/>
                <w:iCs/>
                <w:color w:val="000000" w:themeColor="text1"/>
                <w:sz w:val="24"/>
                <w:szCs w:val="24"/>
              </w:rPr>
              <w:t>(m</w:t>
            </w:r>
            <w:r w:rsidR="00A270EB" w:rsidRPr="003F10B7">
              <w:rPr>
                <w:rFonts w:ascii="Times New Roman" w:hAnsi="Times New Roman" w:cs="Times New Roman"/>
                <w:bCs/>
                <w:iCs/>
                <w:color w:val="000000" w:themeColor="text1"/>
                <w:sz w:val="24"/>
                <w:szCs w:val="24"/>
                <w:vertAlign w:val="superscript"/>
              </w:rPr>
              <w:t>2</w:t>
            </w:r>
            <w:r w:rsidR="00A270EB" w:rsidRPr="003F10B7">
              <w:rPr>
                <w:rFonts w:ascii="Times New Roman" w:hAnsi="Times New Roman" w:cs="Times New Roman"/>
                <w:bCs/>
                <w:iCs/>
                <w:color w:val="000000" w:themeColor="text1"/>
                <w:sz w:val="24"/>
                <w:szCs w:val="24"/>
              </w:rPr>
              <w:t>). Premature children were assessed at their respective corrected age up to 2 years of age</w:t>
            </w:r>
            <w:r w:rsidR="00A270EB" w:rsidRPr="003F10B7">
              <w:rPr>
                <w:rFonts w:ascii="Times New Roman" w:hAnsi="Times New Roman" w:cs="Times New Roman"/>
                <w:bCs/>
                <w:color w:val="000000" w:themeColor="text1"/>
                <w:sz w:val="24"/>
                <w:szCs w:val="24"/>
              </w:rPr>
              <w:t xml:space="preserve">. </w:t>
            </w:r>
            <w:r w:rsidR="00A270EB" w:rsidRPr="003F10B7">
              <w:rPr>
                <w:rFonts w:ascii="Times New Roman" w:hAnsi="Times New Roman" w:cs="Times New Roman"/>
                <w:sz w:val="24"/>
                <w:szCs w:val="24"/>
              </w:rPr>
              <w:t xml:space="preserve">An inelastic non-stretchable tape was used to measure the MUAC to an accuracy of 0.1 cm at midway between the acromion and olecranon process on the non-dominant side with the flexed arm. Patients younger than 2 years were evaluated in sitting position, on the lap of the mother or guardian.  TSF and SSF thickness was measured using Harpenden’s calipers. TSF thickness was measured at the same position of MUAC (non-dominant arm) along longitudinal axis of the limb with arm extended on the sides. SSF thickness was measured two centimeters below the lower angle of the scapula obliquely to the longitudinal axis, following the orientation of the ribs. Three readings were performed at the same position, and the mean of the values was noted to avoid possible errors, as recommended.  </w:t>
            </w:r>
            <w:r w:rsidR="00A270EB" w:rsidRPr="003F10B7">
              <w:rPr>
                <w:rFonts w:ascii="Times New Roman" w:hAnsi="Times New Roman" w:cs="Times New Roman"/>
                <w:sz w:val="24"/>
                <w:szCs w:val="24"/>
              </w:rPr>
              <w:lastRenderedPageBreak/>
              <w:t xml:space="preserve">From MUAC and TSF, MAMC, MAFA and MAMA were calculated using the established equations. </w:t>
            </w:r>
          </w:p>
          <w:p w:rsidR="00A270EB" w:rsidRPr="003F10B7" w:rsidRDefault="00A270EB" w:rsidP="00AE660C">
            <w:pPr>
              <w:spacing w:before="120" w:after="120" w:line="480" w:lineRule="auto"/>
              <w:ind w:left="720"/>
              <w:jc w:val="both"/>
              <w:rPr>
                <w:rFonts w:ascii="Times New Roman" w:hAnsi="Times New Roman" w:cs="Times New Roman"/>
                <w:sz w:val="24"/>
                <w:szCs w:val="24"/>
              </w:rPr>
            </w:pPr>
            <w:r w:rsidRPr="003F10B7">
              <w:rPr>
                <w:rFonts w:ascii="Times New Roman" w:hAnsi="Times New Roman" w:cs="Times New Roman"/>
                <w:sz w:val="24"/>
                <w:szCs w:val="24"/>
              </w:rPr>
              <w:t>MAMC (cm) = MUAC – (TSF × 0.314)</w:t>
            </w:r>
          </w:p>
          <w:p w:rsidR="00A270EB" w:rsidRPr="003F10B7" w:rsidRDefault="00A270EB" w:rsidP="00AE660C">
            <w:pPr>
              <w:spacing w:before="120" w:after="120" w:line="480" w:lineRule="auto"/>
              <w:ind w:left="720"/>
              <w:jc w:val="both"/>
              <w:rPr>
                <w:rFonts w:ascii="Times New Roman" w:hAnsi="Times New Roman" w:cs="Times New Roman"/>
                <w:sz w:val="24"/>
                <w:szCs w:val="24"/>
              </w:rPr>
            </w:pPr>
            <w:r w:rsidRPr="003F10B7">
              <w:rPr>
                <w:rFonts w:ascii="Times New Roman" w:hAnsi="Times New Roman" w:cs="Times New Roman"/>
                <w:sz w:val="24"/>
                <w:szCs w:val="24"/>
              </w:rPr>
              <w:t>MAMA (cm</w:t>
            </w:r>
            <w:r w:rsidRPr="003F10B7">
              <w:rPr>
                <w:rFonts w:ascii="Times New Roman" w:hAnsi="Times New Roman" w:cs="Times New Roman"/>
                <w:sz w:val="24"/>
                <w:szCs w:val="24"/>
                <w:vertAlign w:val="superscript"/>
              </w:rPr>
              <w:t>2</w:t>
            </w:r>
            <w:r w:rsidRPr="003F10B7">
              <w:rPr>
                <w:rFonts w:ascii="Times New Roman" w:hAnsi="Times New Roman" w:cs="Times New Roman"/>
                <w:sz w:val="24"/>
                <w:szCs w:val="24"/>
              </w:rPr>
              <w:t>) = [MAC (cm) – (TSF × 3.14)]</w:t>
            </w:r>
            <w:r w:rsidRPr="003F10B7">
              <w:rPr>
                <w:rFonts w:ascii="Times New Roman" w:hAnsi="Times New Roman" w:cs="Times New Roman"/>
                <w:sz w:val="24"/>
                <w:szCs w:val="24"/>
                <w:vertAlign w:val="superscript"/>
              </w:rPr>
              <w:t xml:space="preserve">2 </w:t>
            </w:r>
            <w:r w:rsidRPr="003F10B7">
              <w:rPr>
                <w:rFonts w:ascii="Times New Roman" w:hAnsi="Times New Roman" w:cs="Times New Roman"/>
                <w:sz w:val="24"/>
                <w:szCs w:val="24"/>
              </w:rPr>
              <w:t>/ (4 × 3.14)</w:t>
            </w:r>
          </w:p>
          <w:p w:rsidR="00A270EB" w:rsidRPr="003F10B7" w:rsidRDefault="00A270EB" w:rsidP="00AE660C">
            <w:pPr>
              <w:spacing w:before="120" w:after="120" w:line="480" w:lineRule="auto"/>
              <w:ind w:left="720"/>
              <w:jc w:val="both"/>
              <w:rPr>
                <w:rFonts w:ascii="Times New Roman" w:hAnsi="Times New Roman" w:cs="Times New Roman"/>
                <w:sz w:val="24"/>
                <w:szCs w:val="24"/>
              </w:rPr>
            </w:pPr>
            <w:r w:rsidRPr="003F10B7">
              <w:rPr>
                <w:rFonts w:ascii="Times New Roman" w:hAnsi="Times New Roman" w:cs="Times New Roman"/>
                <w:sz w:val="24"/>
                <w:szCs w:val="24"/>
              </w:rPr>
              <w:t>MAFA (cm</w:t>
            </w:r>
            <w:r w:rsidRPr="003F10B7">
              <w:rPr>
                <w:rFonts w:ascii="Times New Roman" w:hAnsi="Times New Roman" w:cs="Times New Roman"/>
                <w:sz w:val="24"/>
                <w:szCs w:val="24"/>
                <w:vertAlign w:val="superscript"/>
              </w:rPr>
              <w:t>2</w:t>
            </w:r>
            <w:r w:rsidRPr="003F10B7">
              <w:rPr>
                <w:rFonts w:ascii="Times New Roman" w:hAnsi="Times New Roman" w:cs="Times New Roman"/>
                <w:sz w:val="24"/>
                <w:szCs w:val="24"/>
              </w:rPr>
              <w:t xml:space="preserve">) = mid upper arm area − MAMA, </w:t>
            </w:r>
          </w:p>
          <w:p w:rsidR="00A270EB" w:rsidRPr="003F10B7" w:rsidRDefault="00A270EB" w:rsidP="00AE660C">
            <w:pPr>
              <w:spacing w:before="120" w:after="120" w:line="480" w:lineRule="auto"/>
              <w:ind w:left="720"/>
              <w:jc w:val="both"/>
              <w:rPr>
                <w:rFonts w:ascii="Times New Roman" w:hAnsi="Times New Roman" w:cs="Times New Roman"/>
                <w:sz w:val="24"/>
                <w:szCs w:val="24"/>
              </w:rPr>
            </w:pPr>
            <w:r w:rsidRPr="003F10B7">
              <w:rPr>
                <w:rFonts w:ascii="Times New Roman" w:hAnsi="Times New Roman" w:cs="Times New Roman"/>
                <w:sz w:val="24"/>
                <w:szCs w:val="24"/>
              </w:rPr>
              <w:t>where, mid upper arm area = MUAC</w:t>
            </w:r>
            <w:r w:rsidRPr="003F10B7">
              <w:rPr>
                <w:rFonts w:ascii="Times New Roman" w:hAnsi="Times New Roman" w:cs="Times New Roman"/>
                <w:sz w:val="24"/>
                <w:szCs w:val="24"/>
                <w:vertAlign w:val="superscript"/>
              </w:rPr>
              <w:t>2</w:t>
            </w:r>
            <w:r w:rsidRPr="003F10B7">
              <w:rPr>
                <w:rFonts w:ascii="Times New Roman" w:hAnsi="Times New Roman" w:cs="Times New Roman"/>
                <w:sz w:val="24"/>
                <w:szCs w:val="24"/>
              </w:rPr>
              <w:t xml:space="preserve"> (cm)/(4 × 3.14)</w:t>
            </w:r>
          </w:p>
          <w:p w:rsidR="00287119" w:rsidRPr="00192CE9" w:rsidRDefault="007C1908" w:rsidP="00AE660C">
            <w:pPr>
              <w:autoSpaceDE w:val="0"/>
              <w:autoSpaceDN w:val="0"/>
              <w:adjustRightInd w:val="0"/>
              <w:spacing w:line="480" w:lineRule="auto"/>
              <w:jc w:val="both"/>
              <w:rPr>
                <w:rFonts w:ascii="Times New Roman" w:hAnsi="Times New Roman" w:cs="Times New Roman"/>
                <w:sz w:val="24"/>
                <w:szCs w:val="24"/>
              </w:rPr>
            </w:pPr>
            <w:r w:rsidRPr="007C1908">
              <w:rPr>
                <w:rFonts w:ascii="Times New Roman" w:eastAsia="Times New Roman" w:hAnsi="Times New Roman" w:cs="Times New Roman"/>
                <w:sz w:val="24"/>
                <w:szCs w:val="24"/>
              </w:rPr>
              <w:t>All anthropometric parameters were classified based on WHO standards and Z</w:t>
            </w:r>
            <w:r w:rsidRPr="007C1908">
              <w:rPr>
                <w:rFonts w:ascii="Times New Roman" w:hAnsi="Times New Roman" w:cs="Times New Roman"/>
                <w:sz w:val="24"/>
                <w:szCs w:val="24"/>
              </w:rPr>
              <w:t xml:space="preserve"> scores for weight for age (WFA), height for age (HFA), body mass index (BMI) and weight for height (WFH) were calculated by the WHO Anthro, version 3.2.2 for less than 5 years and WHO Anthroplus</w:t>
            </w:r>
            <w:r w:rsidRPr="007C1908">
              <w:rPr>
                <w:rFonts w:ascii="Times New Roman" w:hAnsi="Times New Roman" w:cs="Times New Roman"/>
                <w:bCs/>
                <w:iCs/>
                <w:color w:val="000000" w:themeColor="text1"/>
                <w:sz w:val="24"/>
                <w:szCs w:val="24"/>
              </w:rPr>
              <w:t xml:space="preserve"> personal computers software computer programs </w:t>
            </w:r>
            <w:r w:rsidRPr="007C1908">
              <w:rPr>
                <w:rFonts w:ascii="Times New Roman" w:hAnsi="Times New Roman" w:cs="Times New Roman"/>
                <w:sz w:val="24"/>
                <w:szCs w:val="24"/>
              </w:rPr>
              <w:t xml:space="preserve">for 5-19 years respectively </w:t>
            </w:r>
            <w:r w:rsidRPr="007C1908">
              <w:rPr>
                <w:rFonts w:ascii="Times New Roman" w:hAnsi="Times New Roman" w:cs="Times New Roman"/>
                <w:bCs/>
                <w:iCs/>
                <w:color w:val="000000" w:themeColor="text1"/>
                <w:sz w:val="24"/>
                <w:szCs w:val="24"/>
              </w:rPr>
              <w:t>(World Health Organization, Geneva, Switzerland; 0-19 years)</w:t>
            </w:r>
            <w:r w:rsidRPr="007C1908">
              <w:rPr>
                <w:rFonts w:ascii="Times New Roman" w:hAnsi="Times New Roman" w:cs="Times New Roman"/>
                <w:sz w:val="24"/>
                <w:szCs w:val="24"/>
              </w:rPr>
              <w:t xml:space="preserve"> </w:t>
            </w:r>
            <w:r w:rsidR="003A5A70" w:rsidRPr="007C1908">
              <w:rPr>
                <w:rFonts w:ascii="Times New Roman" w:hAnsi="Times New Roman" w:cs="Times New Roman"/>
                <w:sz w:val="24"/>
                <w:szCs w:val="24"/>
              </w:rPr>
              <w:t>Additionally</w:t>
            </w:r>
            <w:r w:rsidR="003A5A70" w:rsidRPr="00AB5FC0">
              <w:rPr>
                <w:rFonts w:ascii="Times New Roman" w:hAnsi="Times New Roman" w:cs="Times New Roman"/>
                <w:sz w:val="24"/>
                <w:szCs w:val="24"/>
              </w:rPr>
              <w:t xml:space="preserve"> mid arm muscle circumference (MAMC), mid arm fat area (MAFA) and mid arm muscle area (MAMC) were derived from TSF and MUAC using the formulas mentioned below</w:t>
            </w:r>
            <w:r w:rsidR="003A5A70">
              <w:rPr>
                <w:rFonts w:ascii="Times New Roman" w:hAnsi="Times New Roman" w:cs="Times New Roman"/>
                <w:sz w:val="24"/>
                <w:szCs w:val="24"/>
              </w:rPr>
              <w:t>.</w:t>
            </w:r>
            <w:r w:rsidR="00B9792D">
              <w:rPr>
                <w:rFonts w:ascii="Times New Roman" w:hAnsi="Times New Roman" w:cs="Times New Roman"/>
                <w:sz w:val="24"/>
                <w:szCs w:val="24"/>
              </w:rPr>
              <w:t xml:space="preserve"> </w:t>
            </w:r>
            <w:r w:rsidR="00A270EB" w:rsidRPr="003F10B7">
              <w:rPr>
                <w:rFonts w:ascii="Times New Roman" w:eastAsia="Times New Roman" w:hAnsi="Times New Roman" w:cs="Times New Roman"/>
                <w:sz w:val="24"/>
                <w:szCs w:val="24"/>
              </w:rPr>
              <w:t xml:space="preserve">For the purpose of analysis, the z scores (continuous data) of various anthropometric measurements was divided into 3 categories: no malnutrition i.e z scores &gt; -2, moderate malnutrition i.e z score between -2 to -3, and severe malnutrition i.e z score &lt; -3 z scores. </w:t>
            </w:r>
            <w:r w:rsidR="00287119" w:rsidRPr="00287119">
              <w:rPr>
                <w:rFonts w:ascii="Times New Roman" w:eastAsia="Times New Roman" w:hAnsi="Times New Roman" w:cs="Times New Roman"/>
                <w:sz w:val="24"/>
                <w:szCs w:val="24"/>
              </w:rPr>
              <w:t>As WFH z scores are available only till 5 years of age, only children under 5 years were included (n=57) for analyzing this parameter.</w:t>
            </w:r>
          </w:p>
          <w:p w:rsidR="00A270EB" w:rsidRDefault="00AE660C" w:rsidP="00EE5367">
            <w:pPr>
              <w:autoSpaceDE w:val="0"/>
              <w:autoSpaceDN w:val="0"/>
              <w:adjustRightInd w:val="0"/>
              <w:spacing w:line="480" w:lineRule="auto"/>
              <w:jc w:val="both"/>
              <w:rPr>
                <w:rFonts w:ascii="Times New Roman" w:eastAsia="Times New Roman" w:hAnsi="Times New Roman" w:cs="Times New Roman"/>
                <w:sz w:val="24"/>
                <w:szCs w:val="24"/>
              </w:rPr>
            </w:pPr>
            <w:r w:rsidRPr="00AE660C">
              <w:rPr>
                <w:rFonts w:ascii="Times New Roman" w:hAnsi="Times New Roman" w:cs="Times New Roman"/>
                <w:sz w:val="24"/>
                <w:szCs w:val="24"/>
              </w:rPr>
              <w:t>All m</w:t>
            </w:r>
            <w:r w:rsidRPr="00AE660C">
              <w:rPr>
                <w:rFonts w:ascii="Times New Roman" w:hAnsi="Times New Roman" w:cs="Times New Roman"/>
                <w:bCs/>
                <w:color w:val="000000" w:themeColor="text1"/>
                <w:sz w:val="24"/>
                <w:szCs w:val="24"/>
              </w:rPr>
              <w:t xml:space="preserve">easurements were performed within 24 hours of hospital admission with the use of calibrated equipment and standardized techniques. </w:t>
            </w:r>
            <w:r w:rsidRPr="00AE660C">
              <w:rPr>
                <w:rFonts w:ascii="Times New Roman" w:hAnsi="Times New Roman" w:cs="Times New Roman"/>
                <w:sz w:val="24"/>
                <w:szCs w:val="18"/>
              </w:rPr>
              <w:t xml:space="preserve">The collection of anthropometric data for all patients, as well as their classification according to the WHO curves was performed by the first author trained for this purpose. </w:t>
            </w:r>
          </w:p>
          <w:p w:rsidR="00A270EB" w:rsidRDefault="00A270EB"/>
        </w:tc>
      </w:tr>
    </w:tbl>
    <w:p w:rsidR="00A270EB" w:rsidRDefault="00A270EB"/>
    <w:sectPr w:rsidR="00A270EB" w:rsidSect="007E25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646" w:rsidRDefault="00273646" w:rsidP="003F10B7">
      <w:pPr>
        <w:spacing w:after="0" w:line="240" w:lineRule="auto"/>
      </w:pPr>
      <w:r>
        <w:separator/>
      </w:r>
    </w:p>
  </w:endnote>
  <w:endnote w:type="continuationSeparator" w:id="1">
    <w:p w:rsidR="00273646" w:rsidRDefault="00273646" w:rsidP="003F1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646" w:rsidRDefault="00273646" w:rsidP="003F10B7">
      <w:pPr>
        <w:spacing w:after="0" w:line="240" w:lineRule="auto"/>
      </w:pPr>
      <w:r>
        <w:separator/>
      </w:r>
    </w:p>
  </w:footnote>
  <w:footnote w:type="continuationSeparator" w:id="1">
    <w:p w:rsidR="00273646" w:rsidRDefault="00273646" w:rsidP="003F10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502BA"/>
    <w:rsid w:val="0003254B"/>
    <w:rsid w:val="00081CAB"/>
    <w:rsid w:val="00092563"/>
    <w:rsid w:val="000A3FE7"/>
    <w:rsid w:val="000A5227"/>
    <w:rsid w:val="00192CE9"/>
    <w:rsid w:val="0020164B"/>
    <w:rsid w:val="0020630A"/>
    <w:rsid w:val="002573D6"/>
    <w:rsid w:val="00273646"/>
    <w:rsid w:val="00280F27"/>
    <w:rsid w:val="00287119"/>
    <w:rsid w:val="003173AB"/>
    <w:rsid w:val="003A5A70"/>
    <w:rsid w:val="003D3FB1"/>
    <w:rsid w:val="003D69C6"/>
    <w:rsid w:val="003E4421"/>
    <w:rsid w:val="003F10B7"/>
    <w:rsid w:val="00425ED2"/>
    <w:rsid w:val="00491107"/>
    <w:rsid w:val="00495430"/>
    <w:rsid w:val="004B3C50"/>
    <w:rsid w:val="0055532B"/>
    <w:rsid w:val="00663995"/>
    <w:rsid w:val="006815B7"/>
    <w:rsid w:val="00685630"/>
    <w:rsid w:val="00687E52"/>
    <w:rsid w:val="00695B55"/>
    <w:rsid w:val="006D5795"/>
    <w:rsid w:val="006D705F"/>
    <w:rsid w:val="00766959"/>
    <w:rsid w:val="007C1908"/>
    <w:rsid w:val="007E253A"/>
    <w:rsid w:val="007E7F15"/>
    <w:rsid w:val="008502BA"/>
    <w:rsid w:val="0085265C"/>
    <w:rsid w:val="00974638"/>
    <w:rsid w:val="009766B1"/>
    <w:rsid w:val="009916CA"/>
    <w:rsid w:val="009B1370"/>
    <w:rsid w:val="009B5C86"/>
    <w:rsid w:val="009C69DD"/>
    <w:rsid w:val="009D4099"/>
    <w:rsid w:val="00A21687"/>
    <w:rsid w:val="00A270EB"/>
    <w:rsid w:val="00A91288"/>
    <w:rsid w:val="00A91C39"/>
    <w:rsid w:val="00AC103F"/>
    <w:rsid w:val="00AE660C"/>
    <w:rsid w:val="00AF4818"/>
    <w:rsid w:val="00B15450"/>
    <w:rsid w:val="00B86021"/>
    <w:rsid w:val="00B9792D"/>
    <w:rsid w:val="00C03674"/>
    <w:rsid w:val="00C24BE5"/>
    <w:rsid w:val="00C32759"/>
    <w:rsid w:val="00C504D2"/>
    <w:rsid w:val="00C95023"/>
    <w:rsid w:val="00CD466E"/>
    <w:rsid w:val="00CE0B54"/>
    <w:rsid w:val="00D23680"/>
    <w:rsid w:val="00D85D35"/>
    <w:rsid w:val="00DA4BE5"/>
    <w:rsid w:val="00DC2196"/>
    <w:rsid w:val="00E6534B"/>
    <w:rsid w:val="00E67310"/>
    <w:rsid w:val="00E853EE"/>
    <w:rsid w:val="00EE5367"/>
    <w:rsid w:val="00F7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10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0B7"/>
  </w:style>
  <w:style w:type="paragraph" w:styleId="Footer">
    <w:name w:val="footer"/>
    <w:basedOn w:val="Normal"/>
    <w:link w:val="FooterChar"/>
    <w:uiPriority w:val="99"/>
    <w:semiHidden/>
    <w:unhideWhenUsed/>
    <w:rsid w:val="003F10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0B7"/>
  </w:style>
  <w:style w:type="paragraph" w:styleId="BalloonText">
    <w:name w:val="Balloon Text"/>
    <w:basedOn w:val="Normal"/>
    <w:link w:val="BalloonTextChar"/>
    <w:uiPriority w:val="99"/>
    <w:semiHidden/>
    <w:unhideWhenUsed/>
    <w:rsid w:val="00A2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87"/>
    <w:rPr>
      <w:rFonts w:ascii="Tahoma" w:hAnsi="Tahoma" w:cs="Tahoma"/>
      <w:sz w:val="16"/>
      <w:szCs w:val="16"/>
    </w:rPr>
  </w:style>
  <w:style w:type="character" w:styleId="CommentReference">
    <w:name w:val="annotation reference"/>
    <w:basedOn w:val="DefaultParagraphFont"/>
    <w:uiPriority w:val="99"/>
    <w:semiHidden/>
    <w:unhideWhenUsed/>
    <w:rsid w:val="00425ED2"/>
    <w:rPr>
      <w:sz w:val="16"/>
      <w:szCs w:val="16"/>
    </w:rPr>
  </w:style>
  <w:style w:type="paragraph" w:styleId="CommentText">
    <w:name w:val="annotation text"/>
    <w:basedOn w:val="Normal"/>
    <w:link w:val="CommentTextChar"/>
    <w:uiPriority w:val="99"/>
    <w:semiHidden/>
    <w:unhideWhenUsed/>
    <w:rsid w:val="00425ED2"/>
    <w:pPr>
      <w:spacing w:line="240" w:lineRule="auto"/>
    </w:pPr>
    <w:rPr>
      <w:sz w:val="20"/>
      <w:szCs w:val="20"/>
    </w:rPr>
  </w:style>
  <w:style w:type="character" w:customStyle="1" w:styleId="CommentTextChar">
    <w:name w:val="Comment Text Char"/>
    <w:basedOn w:val="DefaultParagraphFont"/>
    <w:link w:val="CommentText"/>
    <w:uiPriority w:val="99"/>
    <w:semiHidden/>
    <w:rsid w:val="00425ED2"/>
    <w:rPr>
      <w:sz w:val="20"/>
      <w:szCs w:val="20"/>
    </w:rPr>
  </w:style>
  <w:style w:type="paragraph" w:styleId="CommentSubject">
    <w:name w:val="annotation subject"/>
    <w:basedOn w:val="CommentText"/>
    <w:next w:val="CommentText"/>
    <w:link w:val="CommentSubjectChar"/>
    <w:uiPriority w:val="99"/>
    <w:semiHidden/>
    <w:unhideWhenUsed/>
    <w:rsid w:val="00425ED2"/>
    <w:rPr>
      <w:b/>
      <w:bCs/>
    </w:rPr>
  </w:style>
  <w:style w:type="character" w:customStyle="1" w:styleId="CommentSubjectChar">
    <w:name w:val="Comment Subject Char"/>
    <w:basedOn w:val="CommentTextChar"/>
    <w:link w:val="CommentSubject"/>
    <w:uiPriority w:val="99"/>
    <w:semiHidden/>
    <w:rsid w:val="00425ED2"/>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1235-E2C2-48C8-9808-D7C748A4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Arti</dc:creator>
  <cp:lastModifiedBy>Administrator</cp:lastModifiedBy>
  <cp:revision>8</cp:revision>
  <dcterms:created xsi:type="dcterms:W3CDTF">2020-10-08T12:31:00Z</dcterms:created>
  <dcterms:modified xsi:type="dcterms:W3CDTF">2021-01-30T05:38:00Z</dcterms:modified>
</cp:coreProperties>
</file>