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92" w:rsidRPr="00311502" w:rsidRDefault="00831492" w:rsidP="00831492">
      <w:pPr>
        <w:spacing w:line="480" w:lineRule="auto"/>
        <w:jc w:val="left"/>
        <w:rPr>
          <w:rFonts w:asciiTheme="majorHAnsi" w:hAnsiTheme="majorHAnsi" w:cstheme="majorHAnsi"/>
          <w:sz w:val="22"/>
        </w:rPr>
      </w:pPr>
      <w:r w:rsidRPr="00831492">
        <w:rPr>
          <w:rFonts w:ascii="Arial" w:hAnsi="Arial" w:cs="Arial"/>
          <w:b/>
          <w:sz w:val="22"/>
        </w:rPr>
        <w:t>Suppleme</w:t>
      </w:r>
      <w:bookmarkStart w:id="0" w:name="_GoBack"/>
      <w:bookmarkEnd w:id="0"/>
      <w:r w:rsidRPr="00831492">
        <w:rPr>
          <w:rFonts w:ascii="Arial" w:hAnsi="Arial" w:cs="Arial"/>
          <w:b/>
          <w:sz w:val="22"/>
        </w:rPr>
        <w:t>ntal material</w:t>
      </w:r>
      <w:r w:rsidRPr="00311502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7C8897EF" wp14:editId="1F39ABCE">
            <wp:extent cx="5683250" cy="385483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770" cy="385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92" w:rsidRPr="00311502" w:rsidRDefault="00831492" w:rsidP="00831492">
      <w:pPr>
        <w:spacing w:line="480" w:lineRule="auto"/>
        <w:ind w:firstLineChars="1" w:firstLine="2"/>
        <w:jc w:val="left"/>
        <w:rPr>
          <w:rFonts w:asciiTheme="majorHAnsi" w:hAnsiTheme="majorHAnsi" w:cstheme="majorHAnsi"/>
          <w:sz w:val="22"/>
        </w:rPr>
      </w:pPr>
    </w:p>
    <w:p w:rsidR="00831492" w:rsidRPr="00831492" w:rsidRDefault="00831492" w:rsidP="00831492">
      <w:pPr>
        <w:spacing w:line="480" w:lineRule="auto"/>
        <w:ind w:firstLineChars="1" w:firstLine="2"/>
        <w:jc w:val="left"/>
        <w:rPr>
          <w:rFonts w:ascii="Arial" w:hAnsi="Arial" w:cs="Arial"/>
          <w:sz w:val="22"/>
        </w:rPr>
      </w:pPr>
      <w:r w:rsidRPr="00831492">
        <w:rPr>
          <w:rFonts w:ascii="Arial" w:hAnsi="Arial" w:cs="Arial"/>
          <w:sz w:val="22"/>
        </w:rPr>
        <w:t>The x-axis represents chromosomal positions near the IFT81-RPH3A gene, and the y-axis represents -log10 P-values. Dot color for a variant represents the degree of linkage disequilibrium (R</w:t>
      </w:r>
      <w:r w:rsidRPr="00831492">
        <w:rPr>
          <w:rFonts w:ascii="Arial" w:hAnsi="Arial" w:cs="Arial"/>
          <w:sz w:val="22"/>
          <w:vertAlign w:val="superscript"/>
        </w:rPr>
        <w:t>2</w:t>
      </w:r>
      <w:r w:rsidRPr="00831492">
        <w:rPr>
          <w:rFonts w:ascii="Arial" w:hAnsi="Arial" w:cs="Arial"/>
          <w:sz w:val="22"/>
        </w:rPr>
        <w:t>) estimates between each variant. The LD (r2) was calculated based on the 1000 genomes phase 3 ASN individuals. We used the LocusZoom program online [27].</w:t>
      </w:r>
    </w:p>
    <w:p w:rsidR="0020576B" w:rsidRDefault="0020576B"/>
    <w:sectPr w:rsidR="0020576B" w:rsidSect="00A12A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92"/>
    <w:rsid w:val="0020576B"/>
    <w:rsid w:val="008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1E0EF-376F-463F-B6CA-848B8FD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9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1</cp:revision>
  <dcterms:created xsi:type="dcterms:W3CDTF">2020-08-26T01:11:00Z</dcterms:created>
  <dcterms:modified xsi:type="dcterms:W3CDTF">2020-08-26T01:12:00Z</dcterms:modified>
</cp:coreProperties>
</file>