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Times New Roman" w:hAnsi="Times New Roman"/>
          <w:color w:val="auto"/>
        </w:rPr>
      </w:pPr>
      <w:r>
        <w:rPr>
          <w:rFonts w:hint="eastAsia" w:ascii="Times New Roman" w:hAnsi="Times New Roman"/>
          <w:b/>
          <w:bCs/>
          <w:color w:val="auto"/>
        </w:rPr>
        <w:t>Supplement Table 1.</w:t>
      </w:r>
      <w:r>
        <w:rPr>
          <w:rFonts w:hint="eastAsia"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Association</w:t>
      </w:r>
      <w:r>
        <w:rPr>
          <w:rFonts w:hint="eastAsia"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of vitamin D status</w:t>
      </w:r>
      <w:r>
        <w:rPr>
          <w:rFonts w:hint="eastAsia"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and</w:t>
      </w:r>
      <w:r>
        <w:rPr>
          <w:rFonts w:hint="eastAsia" w:ascii="Times New Roman" w:hAnsi="Times New Roman"/>
          <w:color w:val="auto"/>
        </w:rPr>
        <w:t xml:space="preserve"> calcium supplement frequency </w:t>
      </w:r>
      <w:r>
        <w:rPr>
          <w:rFonts w:ascii="Times New Roman" w:hAnsi="Times New Roman"/>
          <w:color w:val="auto"/>
        </w:rPr>
        <w:t>with</w:t>
      </w:r>
      <w:r>
        <w:rPr>
          <w:rFonts w:hint="eastAsia" w:ascii="Times New Roman" w:hAnsi="Times New Roman"/>
          <w:color w:val="auto"/>
        </w:rPr>
        <w:t xml:space="preserve"> PTH</w:t>
      </w:r>
      <w:r>
        <w:rPr>
          <w:rFonts w:ascii="Times New Roman" w:hAnsi="Times New Roman"/>
          <w:color w:val="auto"/>
        </w:rPr>
        <w:t xml:space="preserve"> levels</w:t>
      </w:r>
      <w:r>
        <w:rPr>
          <w:rFonts w:hint="eastAsia" w:ascii="Times New Roman" w:hAnsi="Times New Roman"/>
          <w:color w:val="auto"/>
        </w:rPr>
        <w:t xml:space="preserve"> in </w:t>
      </w:r>
      <w:r>
        <w:rPr>
          <w:rFonts w:ascii="Times New Roman" w:hAnsi="Times New Roman"/>
          <w:color w:val="auto"/>
        </w:rPr>
        <w:t xml:space="preserve">the </w:t>
      </w:r>
      <w:r>
        <w:rPr>
          <w:rFonts w:hint="eastAsia" w:ascii="Times New Roman" w:hAnsi="Times New Roman"/>
          <w:color w:val="auto"/>
        </w:rPr>
        <w:t>second trimester of pregna</w:t>
      </w:r>
      <w:r>
        <w:rPr>
          <w:rFonts w:ascii="Times New Roman" w:hAnsi="Times New Roman"/>
          <w:color w:val="auto"/>
        </w:rPr>
        <w:t>n</w:t>
      </w:r>
      <w:r>
        <w:rPr>
          <w:rFonts w:hint="eastAsia" w:ascii="Times New Roman" w:hAnsi="Times New Roman"/>
          <w:color w:val="auto"/>
        </w:rPr>
        <w:t>cy.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736"/>
        <w:gridCol w:w="709"/>
        <w:gridCol w:w="729"/>
        <w:gridCol w:w="1114"/>
        <w:gridCol w:w="709"/>
        <w:gridCol w:w="283"/>
        <w:gridCol w:w="1134"/>
        <w:gridCol w:w="709"/>
        <w:gridCol w:w="1134"/>
        <w:gridCol w:w="70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9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Groups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n</w:t>
            </w:r>
          </w:p>
        </w:tc>
        <w:tc>
          <w:tcPr>
            <w:tcW w:w="2552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PTH(ng/L)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686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Elevated PTH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912" w:type="dxa"/>
            <w:gridSpan w:val="2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2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i/>
                <w:iCs/>
                <w:color w:val="auto"/>
                <w:szCs w:val="21"/>
              </w:rPr>
              <w:sym w:font="Symbol" w:char="F062"/>
            </w:r>
          </w:p>
        </w:tc>
        <w:tc>
          <w:tcPr>
            <w:tcW w:w="111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95%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i/>
                <w:iCs/>
                <w:color w:val="auto"/>
                <w:szCs w:val="21"/>
              </w:rPr>
              <w:t>CI</w:t>
            </w:r>
          </w:p>
        </w:tc>
        <w:tc>
          <w:tcPr>
            <w:tcW w:w="70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i/>
                <w:iCs/>
                <w:color w:val="auto"/>
                <w:szCs w:val="21"/>
              </w:rPr>
              <w:t>P</w:t>
            </w:r>
          </w:p>
        </w:tc>
        <w:tc>
          <w:tcPr>
            <w:tcW w:w="28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n(%)</w:t>
            </w:r>
          </w:p>
        </w:tc>
        <w:tc>
          <w:tcPr>
            <w:tcW w:w="709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i/>
                <w:iCs/>
                <w:color w:val="auto"/>
                <w:szCs w:val="21"/>
              </w:rPr>
              <w:t xml:space="preserve">RR </w:t>
            </w:r>
          </w:p>
        </w:tc>
        <w:tc>
          <w:tcPr>
            <w:tcW w:w="113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95%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i/>
                <w:iCs/>
                <w:color w:val="auto"/>
                <w:szCs w:val="21"/>
              </w:rPr>
              <w:t>CI</w:t>
            </w:r>
          </w:p>
        </w:tc>
        <w:tc>
          <w:tcPr>
            <w:tcW w:w="709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i/>
                <w:iCs/>
                <w:color w:val="auto"/>
                <w:szCs w:val="21"/>
              </w:rPr>
              <w:t>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91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25(OH)D status</w:t>
            </w:r>
          </w:p>
        </w:tc>
        <w:tc>
          <w:tcPr>
            <w:tcW w:w="709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29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14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auto"/>
                <w:szCs w:val="21"/>
              </w:rPr>
            </w:pPr>
          </w:p>
        </w:tc>
        <w:tc>
          <w:tcPr>
            <w:tcW w:w="283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176" w:type="dxa"/>
            <w:vMerge w:val="restart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736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&lt;30 nmol/L</w:t>
            </w:r>
          </w:p>
        </w:tc>
        <w:tc>
          <w:tcPr>
            <w:tcW w:w="709" w:type="dxa"/>
            <w:tcBorders>
              <w:top w:val="nil"/>
            </w:tcBorders>
            <w:noWrap w:val="0"/>
            <w:vAlign w:val="top"/>
          </w:tcPr>
          <w:p>
            <w:pPr>
              <w:tabs>
                <w:tab w:val="left" w:pos="6043"/>
              </w:tabs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445</w:t>
            </w:r>
          </w:p>
        </w:tc>
        <w:tc>
          <w:tcPr>
            <w:tcW w:w="729" w:type="dxa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1.69</w:t>
            </w:r>
          </w:p>
        </w:tc>
        <w:tc>
          <w:tcPr>
            <w:tcW w:w="1114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0.63,2.74</w:t>
            </w:r>
          </w:p>
        </w:tc>
        <w:tc>
          <w:tcPr>
            <w:tcW w:w="709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0.002</w:t>
            </w:r>
          </w:p>
        </w:tc>
        <w:tc>
          <w:tcPr>
            <w:tcW w:w="283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131</w:t>
            </w:r>
            <w:r>
              <w:rPr>
                <w:rFonts w:ascii="Times New Roman" w:hAnsi="Times New Roman"/>
                <w:color w:val="auto"/>
                <w:szCs w:val="21"/>
              </w:rPr>
              <w:t>(29.4)</w:t>
            </w:r>
          </w:p>
        </w:tc>
        <w:tc>
          <w:tcPr>
            <w:tcW w:w="709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1.66</w:t>
            </w:r>
          </w:p>
        </w:tc>
        <w:tc>
          <w:tcPr>
            <w:tcW w:w="1134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1.20,2.31</w:t>
            </w:r>
          </w:p>
        </w:tc>
        <w:tc>
          <w:tcPr>
            <w:tcW w:w="709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176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 xml:space="preserve">≥30-&lt;50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nmol/L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tabs>
                <w:tab w:val="left" w:pos="6043"/>
              </w:tabs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732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1.09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0.13,2.05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0.026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180</w:t>
            </w:r>
            <w:r>
              <w:rPr>
                <w:rFonts w:ascii="Times New Roman" w:hAnsi="Times New Roman"/>
                <w:color w:val="auto"/>
                <w:szCs w:val="21"/>
              </w:rPr>
              <w:t>(24.6)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1.30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0.96,1.77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0.095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176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≥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50nmol/L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tabs>
                <w:tab w:val="left" w:pos="6043"/>
              </w:tabs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359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Ref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Ref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Ref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72</w:t>
            </w:r>
            <w:r>
              <w:rPr>
                <w:rFonts w:ascii="Times New Roman" w:hAnsi="Times New Roman"/>
                <w:color w:val="auto"/>
                <w:szCs w:val="21"/>
              </w:rPr>
              <w:t>(20.1)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Ref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Ref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Ref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912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Calcium supplement frequency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tabs>
                <w:tab w:val="left" w:pos="6043"/>
              </w:tabs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176" w:type="dxa"/>
            <w:vMerge w:val="restart"/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0-2 times/w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tabs>
                <w:tab w:val="left" w:pos="6043"/>
              </w:tabs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363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1.09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0.24,1.94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0.012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108</w:t>
            </w:r>
            <w:r>
              <w:rPr>
                <w:rFonts w:ascii="Times New Roman" w:hAnsi="Times New Roman"/>
                <w:color w:val="auto"/>
                <w:szCs w:val="21"/>
              </w:rPr>
              <w:t>(29.8)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1.41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1.08,1.85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0.011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176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3-4 times/w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tabs>
                <w:tab w:val="left" w:pos="6043"/>
              </w:tabs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154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0.34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-0.86,1.54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0.582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40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(26.0)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1.18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0.79,1.73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0.427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76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≥5 times/w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tabs>
                <w:tab w:val="left" w:pos="6043"/>
              </w:tabs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1019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Ref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Ref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Ref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235</w:t>
            </w:r>
            <w:r>
              <w:rPr>
                <w:rFonts w:ascii="Times New Roman" w:hAnsi="Times New Roman"/>
                <w:color w:val="auto"/>
                <w:szCs w:val="21"/>
              </w:rPr>
              <w:t>(23.1)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Ref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Ref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Ref</w:t>
            </w:r>
          </w:p>
        </w:tc>
      </w:tr>
    </w:tbl>
    <w:p>
      <w:pPr>
        <w:spacing w:line="48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</w:rPr>
        <w:t>PTH, parathyroid hormone;</w:t>
      </w:r>
      <w:bookmarkStart w:id="0" w:name="OLE_LINK2"/>
      <w:r>
        <w:rPr>
          <w:rFonts w:ascii="Times New Roman" w:hAnsi="Times New Roman"/>
          <w:color w:val="auto"/>
        </w:rPr>
        <w:t xml:space="preserve"> </w:t>
      </w:r>
      <w:r>
        <w:rPr>
          <w:rFonts w:hint="eastAsia" w:ascii="Times New Roman" w:hAnsi="Times New Roman"/>
          <w:color w:val="auto"/>
        </w:rPr>
        <w:t>25(OH)D</w:t>
      </w:r>
      <w:bookmarkEnd w:id="0"/>
      <w:r>
        <w:rPr>
          <w:rFonts w:hint="eastAsia" w:ascii="Times New Roman" w:hAnsi="Times New Roman"/>
          <w:color w:val="auto"/>
        </w:rPr>
        <w:t>, 25-hydroxyvitamin D.</w:t>
      </w:r>
      <w:bookmarkStart w:id="1" w:name="_GoBack"/>
      <w:bookmarkEnd w:id="1"/>
      <w:r>
        <w:rPr>
          <w:rFonts w:ascii="Times New Roman" w:hAnsi="Times New Roman"/>
          <w:b/>
          <w:bCs/>
          <w:color w:val="auto"/>
        </w:rPr>
        <w:br w:type="page"/>
      </w:r>
      <w:r>
        <w:rPr>
          <w:rFonts w:hint="eastAsia" w:ascii="Times New Roman" w:hAnsi="Times New Roman"/>
          <w:b/>
          <w:bCs/>
          <w:color w:val="auto"/>
        </w:rPr>
        <w:t>Supplement Table</w:t>
      </w:r>
      <w:r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hint="eastAsia" w:ascii="Times New Roman" w:hAnsi="Times New Roman"/>
          <w:b/>
          <w:bCs/>
          <w:color w:val="auto"/>
        </w:rPr>
        <w:t>2.</w:t>
      </w:r>
      <w:r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Association </w:t>
      </w:r>
      <w:r>
        <w:rPr>
          <w:rFonts w:hint="eastAsia" w:ascii="Times New Roman" w:hAnsi="Times New Roman"/>
          <w:color w:val="auto"/>
        </w:rPr>
        <w:t xml:space="preserve">of </w:t>
      </w:r>
      <w:r>
        <w:rPr>
          <w:rFonts w:ascii="Times New Roman" w:hAnsi="Times New Roman"/>
          <w:color w:val="auto"/>
        </w:rPr>
        <w:t>combined status of VD and PTH with neonatal</w:t>
      </w:r>
      <w:r>
        <w:rPr>
          <w:rFonts w:hint="eastAsia" w:ascii="Times New Roman" w:hAnsi="Times New Roman"/>
          <w:color w:val="auto"/>
        </w:rPr>
        <w:t xml:space="preserve"> birth weight or SGA </w:t>
      </w:r>
      <w:r>
        <w:rPr>
          <w:rFonts w:ascii="Times New Roman" w:hAnsi="Times New Roman"/>
          <w:color w:val="auto"/>
        </w:rPr>
        <w:t>risk</w:t>
      </w:r>
      <w:r>
        <w:rPr>
          <w:rFonts w:hint="eastAsia" w:ascii="Times New Roman" w:hAnsi="Times New Roman"/>
          <w:color w:val="auto"/>
        </w:rPr>
        <w:t>*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682"/>
        <w:gridCol w:w="764"/>
        <w:gridCol w:w="1486"/>
        <w:gridCol w:w="1110"/>
        <w:gridCol w:w="240"/>
        <w:gridCol w:w="1021"/>
        <w:gridCol w:w="850"/>
        <w:gridCol w:w="1184"/>
        <w:gridCol w:w="113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Groups</w:t>
            </w:r>
          </w:p>
        </w:tc>
        <w:tc>
          <w:tcPr>
            <w:tcW w:w="6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N</w:t>
            </w:r>
          </w:p>
        </w:tc>
        <w:tc>
          <w:tcPr>
            <w:tcW w:w="3360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Birth weight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194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 xml:space="preserve">SGA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330" w:type="dxa"/>
            <w:vMerge w:val="continue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682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6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i/>
                <w:iCs/>
                <w:color w:val="auto"/>
                <w:szCs w:val="21"/>
              </w:rPr>
              <w:sym w:font="Symbol" w:char="F062"/>
            </w:r>
          </w:p>
        </w:tc>
        <w:tc>
          <w:tcPr>
            <w:tcW w:w="148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auto"/>
                <w:szCs w:val="21"/>
                <w:vertAlign w:val="superscript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 xml:space="preserve">95% </w:t>
            </w:r>
            <w:r>
              <w:rPr>
                <w:rFonts w:ascii="Times New Roman" w:hAnsi="Times New Roman"/>
                <w:i/>
                <w:iCs/>
                <w:color w:val="auto"/>
                <w:szCs w:val="21"/>
              </w:rPr>
              <w:t>CI</w:t>
            </w: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auto"/>
                <w:szCs w:val="21"/>
              </w:rPr>
            </w:pPr>
            <w:r>
              <w:rPr>
                <w:rFonts w:ascii="Times New Roman" w:hAnsi="Times New Roman"/>
                <w:i/>
                <w:iCs/>
                <w:color w:val="auto"/>
                <w:szCs w:val="21"/>
              </w:rPr>
              <w:t>P</w:t>
            </w:r>
          </w:p>
        </w:tc>
        <w:tc>
          <w:tcPr>
            <w:tcW w:w="24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auto"/>
                <w:szCs w:val="21"/>
              </w:rPr>
            </w:pPr>
          </w:p>
        </w:tc>
        <w:tc>
          <w:tcPr>
            <w:tcW w:w="1021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n(%)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auto"/>
                <w:szCs w:val="21"/>
              </w:rPr>
              <w:t>RR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auto"/>
                <w:szCs w:val="21"/>
                <w:vertAlign w:val="superscript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 xml:space="preserve">95% </w:t>
            </w:r>
            <w:r>
              <w:rPr>
                <w:rFonts w:ascii="Times New Roman" w:hAnsi="Times New Roman"/>
                <w:i/>
                <w:iCs/>
                <w:color w:val="auto"/>
                <w:szCs w:val="21"/>
              </w:rPr>
              <w:t>CI</w:t>
            </w: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auto"/>
                <w:szCs w:val="21"/>
              </w:rPr>
            </w:pPr>
            <w:r>
              <w:rPr>
                <w:rFonts w:ascii="Times New Roman" w:hAnsi="Times New Roman"/>
                <w:i/>
                <w:iCs/>
                <w:color w:val="auto"/>
              </w:rPr>
              <w:t>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330" w:type="dxa"/>
            <w:tcBorders>
              <w:top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VD&lt;30</w:t>
            </w:r>
          </w:p>
        </w:tc>
        <w:tc>
          <w:tcPr>
            <w:tcW w:w="682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64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86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auto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auto"/>
                <w:szCs w:val="21"/>
              </w:rPr>
            </w:pPr>
          </w:p>
        </w:tc>
        <w:tc>
          <w:tcPr>
            <w:tcW w:w="240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auto"/>
                <w:szCs w:val="21"/>
              </w:rPr>
            </w:pPr>
          </w:p>
        </w:tc>
        <w:tc>
          <w:tcPr>
            <w:tcW w:w="1021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auto"/>
                <w:szCs w:val="21"/>
              </w:rPr>
            </w:pPr>
          </w:p>
        </w:tc>
        <w:tc>
          <w:tcPr>
            <w:tcW w:w="1184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auto"/>
                <w:szCs w:val="21"/>
              </w:rPr>
            </w:pPr>
          </w:p>
        </w:tc>
        <w:tc>
          <w:tcPr>
            <w:tcW w:w="1139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  <w:noWrap w:val="0"/>
            <w:vAlign w:val="top"/>
          </w:tcPr>
          <w:p>
            <w:pPr>
              <w:tabs>
                <w:tab w:val="left" w:pos="6043"/>
              </w:tabs>
              <w:ind w:firstLine="210" w:firstLineChars="100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PTH≥P</w:t>
            </w:r>
            <w:r>
              <w:rPr>
                <w:rFonts w:ascii="Times New Roman" w:hAnsi="Times New Roman"/>
                <w:color w:val="auto"/>
                <w:szCs w:val="21"/>
                <w:vertAlign w:val="subscript"/>
              </w:rPr>
              <w:t>80</w:t>
            </w:r>
          </w:p>
        </w:tc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101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-94.7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-170.4,-19.1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0.014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jc w:val="righ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10</w:t>
            </w:r>
            <w:r>
              <w:rPr>
                <w:rFonts w:ascii="Times New Roman" w:hAnsi="Times New Roman"/>
                <w:color w:val="auto"/>
                <w:szCs w:val="21"/>
              </w:rPr>
              <w:t>(9.9)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3.53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1.44,8.62</w:t>
            </w: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0.006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330" w:type="dxa"/>
            <w:noWrap w:val="0"/>
            <w:vAlign w:val="top"/>
          </w:tcPr>
          <w:p>
            <w:pPr>
              <w:tabs>
                <w:tab w:val="left" w:pos="6043"/>
              </w:tabs>
              <w:ind w:firstLine="210" w:firstLineChars="100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PTH&lt;P</w:t>
            </w:r>
            <w:r>
              <w:rPr>
                <w:rFonts w:ascii="Times New Roman" w:hAnsi="Times New Roman"/>
                <w:color w:val="auto"/>
                <w:szCs w:val="21"/>
                <w:vertAlign w:val="subscript"/>
              </w:rPr>
              <w:t>80</w:t>
            </w:r>
          </w:p>
        </w:tc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344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-88.4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-140.5,-36.3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0.001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jc w:val="righ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30</w:t>
            </w:r>
            <w:r>
              <w:rPr>
                <w:rFonts w:ascii="Times New Roman" w:hAnsi="Times New Roman"/>
                <w:color w:val="auto"/>
                <w:szCs w:val="21"/>
              </w:rPr>
              <w:t>(29.7)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2.44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1.23,4.83</w:t>
            </w: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0.010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  <w:noWrap w:val="0"/>
            <w:vAlign w:val="top"/>
          </w:tcPr>
          <w:p>
            <w:pPr>
              <w:tabs>
                <w:tab w:val="left" w:pos="6043"/>
              </w:tabs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≥30-&lt;50</w:t>
            </w:r>
          </w:p>
        </w:tc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48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jc w:val="righ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  <w:noWrap w:val="0"/>
            <w:vAlign w:val="top"/>
          </w:tcPr>
          <w:p>
            <w:pPr>
              <w:tabs>
                <w:tab w:val="left" w:pos="6043"/>
              </w:tabs>
              <w:ind w:firstLine="210" w:firstLineChars="100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PTH≥P</w:t>
            </w:r>
            <w:r>
              <w:rPr>
                <w:rFonts w:ascii="Times New Roman" w:hAnsi="Times New Roman"/>
                <w:color w:val="auto"/>
                <w:szCs w:val="21"/>
                <w:vertAlign w:val="subscript"/>
              </w:rPr>
              <w:t>80</w:t>
            </w:r>
          </w:p>
        </w:tc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148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-95.4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-159.9,-30.8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0.004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jc w:val="righ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13(8.8)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2.40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1.07,5.40</w:t>
            </w: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0.034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  <w:noWrap w:val="0"/>
            <w:vAlign w:val="top"/>
          </w:tcPr>
          <w:p>
            <w:pPr>
              <w:tabs>
                <w:tab w:val="left" w:pos="6043"/>
              </w:tabs>
              <w:ind w:firstLine="210" w:firstLineChars="100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PTH&lt;P</w:t>
            </w:r>
            <w:r>
              <w:rPr>
                <w:rFonts w:ascii="Times New Roman" w:hAnsi="Times New Roman"/>
                <w:color w:val="auto"/>
                <w:szCs w:val="21"/>
                <w:vertAlign w:val="subscript"/>
              </w:rPr>
              <w:t>80</w:t>
            </w:r>
          </w:p>
        </w:tc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584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-47.7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-93.4,-1.9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0.041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jc w:val="righ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46(7.9)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1.89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1.01,3.55</w:t>
            </w: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0.048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  <w:noWrap w:val="0"/>
            <w:vAlign w:val="top"/>
          </w:tcPr>
          <w:p>
            <w:pPr>
              <w:tabs>
                <w:tab w:val="left" w:pos="6043"/>
              </w:tabs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VD≥50</w:t>
            </w:r>
          </w:p>
        </w:tc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48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jc w:val="righ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  <w:noWrap w:val="0"/>
            <w:vAlign w:val="top"/>
          </w:tcPr>
          <w:p>
            <w:pPr>
              <w:tabs>
                <w:tab w:val="left" w:pos="6043"/>
              </w:tabs>
              <w:ind w:firstLine="210" w:firstLineChars="100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PTH≥P</w:t>
            </w:r>
            <w:r>
              <w:rPr>
                <w:rFonts w:ascii="Times New Roman" w:hAnsi="Times New Roman"/>
                <w:color w:val="auto"/>
                <w:szCs w:val="21"/>
                <w:vertAlign w:val="subscript"/>
              </w:rPr>
              <w:t>80</w:t>
            </w:r>
          </w:p>
        </w:tc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59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-29.0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-119.3,61.3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0.528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jc w:val="righ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5</w:t>
            </w:r>
            <w:r>
              <w:rPr>
                <w:rFonts w:ascii="Times New Roman" w:hAnsi="Times New Roman"/>
                <w:color w:val="auto"/>
                <w:szCs w:val="21"/>
              </w:rPr>
              <w:t>(8.5)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2.63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0.93,7.46</w:t>
            </w: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0.068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  <w:noWrap w:val="0"/>
            <w:vAlign w:val="top"/>
          </w:tcPr>
          <w:p>
            <w:pPr>
              <w:tabs>
                <w:tab w:val="left" w:pos="6043"/>
              </w:tabs>
              <w:ind w:firstLine="210" w:firstLineChars="100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PTH&lt;P</w:t>
            </w:r>
            <w:r>
              <w:rPr>
                <w:rFonts w:ascii="Times New Roman" w:hAnsi="Times New Roman"/>
                <w:color w:val="auto"/>
                <w:szCs w:val="21"/>
                <w:vertAlign w:val="subscript"/>
              </w:rPr>
              <w:t>80</w:t>
            </w:r>
          </w:p>
        </w:tc>
        <w:tc>
          <w:tcPr>
            <w:tcW w:w="68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300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Ref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Ref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Ref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jc w:val="righ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6</w:t>
            </w:r>
            <w:r>
              <w:rPr>
                <w:rFonts w:ascii="Times New Roman" w:hAnsi="Times New Roman"/>
                <w:color w:val="auto"/>
                <w:szCs w:val="21"/>
              </w:rPr>
              <w:t>(5.3)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Ref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Ref</w:t>
            </w:r>
          </w:p>
        </w:tc>
        <w:tc>
          <w:tcPr>
            <w:tcW w:w="113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Ref</w:t>
            </w:r>
          </w:p>
        </w:tc>
      </w:tr>
    </w:tbl>
    <w:p>
      <w:pPr>
        <w:spacing w:line="480" w:lineRule="auto"/>
        <w:rPr>
          <w:rFonts w:ascii="Times New Roman" w:hAnsi="Times New Roman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PTH, parathyroid hormone; 25(OH)D, 25-hydroxyvitamin D</w:t>
      </w:r>
      <w:r>
        <w:rPr>
          <w:rFonts w:hint="eastAsia" w:ascii="Times New Roman" w:hAnsi="Times New Roman"/>
          <w:color w:val="auto"/>
          <w:szCs w:val="21"/>
        </w:rPr>
        <w:t>; VD, vitamin D</w:t>
      </w:r>
      <w:r>
        <w:rPr>
          <w:rFonts w:ascii="Times New Roman" w:hAnsi="Times New Roman"/>
          <w:color w:val="auto"/>
          <w:szCs w:val="21"/>
        </w:rPr>
        <w:t>.</w:t>
      </w:r>
    </w:p>
    <w:p>
      <w:pPr>
        <w:spacing w:line="480" w:lineRule="auto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*</w:t>
      </w:r>
      <w:r>
        <w:rPr>
          <w:rFonts w:ascii="Times New Roman" w:hAnsi="Times New Roman"/>
          <w:color w:val="auto"/>
          <w:szCs w:val="21"/>
        </w:rPr>
        <w:t xml:space="preserve">Adjusted for gestational age at delivery, gestational age at enrollment, </w:t>
      </w:r>
      <w:r>
        <w:rPr>
          <w:rFonts w:ascii="Times New Roman" w:hAnsi="Times New Roman"/>
          <w:color w:val="auto"/>
        </w:rPr>
        <w:t xml:space="preserve">maternal age at enrollment, </w:t>
      </w:r>
      <w:r>
        <w:rPr>
          <w:rFonts w:ascii="Times New Roman" w:hAnsi="Times New Roman"/>
          <w:color w:val="auto"/>
          <w:szCs w:val="21"/>
        </w:rPr>
        <w:t>household income, nulliparous, pre-pregnancy BMI, gestational diabetes, GWG, vitamin D supplement,</w:t>
      </w:r>
      <w:r>
        <w:rPr>
          <w:rFonts w:hint="eastAsia" w:ascii="Times New Roman" w:hAnsi="Times New Roman"/>
          <w:color w:val="auto"/>
          <w:szCs w:val="21"/>
        </w:rPr>
        <w:t xml:space="preserve"> calcium supplement, </w:t>
      </w:r>
      <w:r>
        <w:rPr>
          <w:rFonts w:ascii="Times New Roman" w:hAnsi="Times New Roman"/>
          <w:color w:val="auto"/>
          <w:szCs w:val="21"/>
        </w:rPr>
        <w:t xml:space="preserve">milk supplement, sunshine exposure, blood sampling season, gender </w:t>
      </w:r>
      <w:r>
        <w:rPr>
          <w:rFonts w:hint="eastAsia" w:ascii="Times New Roman" w:hAnsi="Times New Roman"/>
          <w:color w:val="auto"/>
          <w:szCs w:val="21"/>
        </w:rPr>
        <w:t>and</w:t>
      </w:r>
      <w:r>
        <w:rPr>
          <w:rFonts w:ascii="Times New Roman" w:hAnsi="Times New Roman"/>
          <w:color w:val="auto"/>
          <w:szCs w:val="21"/>
        </w:rPr>
        <w:t xml:space="preserve"> </w:t>
      </w:r>
      <w:r>
        <w:rPr>
          <w:rFonts w:ascii="Times New Roman" w:hAnsi="Times New Roman"/>
          <w:color w:val="auto"/>
        </w:rPr>
        <w:t>anemia</w:t>
      </w:r>
      <w:r>
        <w:rPr>
          <w:rFonts w:ascii="Times New Roman" w:hAnsi="Times New Roman"/>
          <w:color w:val="auto"/>
          <w:szCs w:val="21"/>
        </w:rPr>
        <w:t>.</w:t>
      </w:r>
      <w:r>
        <w:rPr>
          <w:rFonts w:ascii="Times New Roman" w:hAnsi="Times New Roman"/>
          <w:color w:val="auto"/>
        </w:rPr>
        <w:br w:type="page"/>
      </w:r>
      <w:r>
        <w:rPr>
          <w:rFonts w:hint="eastAsia" w:ascii="Times New Roman" w:hAnsi="Times New Roman"/>
          <w:b/>
          <w:bCs/>
          <w:color w:val="auto"/>
        </w:rPr>
        <w:t>Supplement Table</w:t>
      </w:r>
      <w:r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hint="eastAsia" w:ascii="Times New Roman" w:hAnsi="Times New Roman"/>
          <w:b/>
          <w:bCs/>
          <w:color w:val="auto"/>
        </w:rPr>
        <w:t>3.</w:t>
      </w:r>
      <w:r>
        <w:rPr>
          <w:rFonts w:ascii="Times New Roman" w:hAnsi="Times New Roman"/>
          <w:color w:val="auto"/>
        </w:rPr>
        <w:t xml:space="preserve"> </w:t>
      </w:r>
      <w:r>
        <w:rPr>
          <w:rFonts w:hint="eastAsia" w:ascii="Times New Roman" w:hAnsi="Times New Roman"/>
          <w:color w:val="auto"/>
          <w:szCs w:val="21"/>
        </w:rPr>
        <w:t>A</w:t>
      </w:r>
      <w:r>
        <w:rPr>
          <w:rFonts w:ascii="Times New Roman" w:hAnsi="Times New Roman"/>
          <w:color w:val="auto"/>
          <w:szCs w:val="21"/>
        </w:rPr>
        <w:t>ssociations</w:t>
      </w:r>
      <w:r>
        <w:rPr>
          <w:rFonts w:hint="eastAsia" w:ascii="Times New Roman" w:hAnsi="Times New Roman"/>
          <w:color w:val="auto"/>
          <w:szCs w:val="21"/>
        </w:rPr>
        <w:t xml:space="preserve"> of </w:t>
      </w:r>
      <w:r>
        <w:rPr>
          <w:rFonts w:ascii="Times New Roman" w:hAnsi="Times New Roman"/>
          <w:color w:val="auto"/>
          <w:szCs w:val="21"/>
        </w:rPr>
        <w:t xml:space="preserve">combined status of VD and PTH on serum </w:t>
      </w:r>
      <w:r>
        <w:rPr>
          <w:rFonts w:hint="eastAsia" w:ascii="Times New Roman" w:hAnsi="Times New Roman"/>
          <w:color w:val="auto"/>
          <w:szCs w:val="21"/>
        </w:rPr>
        <w:t>calcium metabolism and less frequency of calcium supplement</w:t>
      </w:r>
      <w:r>
        <w:rPr>
          <w:rFonts w:ascii="Times New Roman" w:hAnsi="Times New Roman"/>
          <w:color w:val="auto"/>
          <w:szCs w:val="21"/>
        </w:rPr>
        <w:t xml:space="preserve"> during pregnancy</w:t>
      </w:r>
      <w:r>
        <w:rPr>
          <w:rFonts w:hint="eastAsia" w:ascii="Times New Roman" w:hAnsi="Times New Roman"/>
          <w:color w:val="auto"/>
          <w:szCs w:val="21"/>
        </w:rPr>
        <w:t>*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18"/>
        <w:gridCol w:w="859"/>
        <w:gridCol w:w="1377"/>
        <w:gridCol w:w="729"/>
        <w:gridCol w:w="240"/>
        <w:gridCol w:w="1121"/>
        <w:gridCol w:w="865"/>
        <w:gridCol w:w="1488"/>
        <w:gridCol w:w="89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tabs>
                <w:tab w:val="left" w:pos="6043"/>
              </w:tabs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Groups</w:t>
            </w:r>
          </w:p>
        </w:tc>
        <w:tc>
          <w:tcPr>
            <w:tcW w:w="8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N</w:t>
            </w:r>
          </w:p>
        </w:tc>
        <w:tc>
          <w:tcPr>
            <w:tcW w:w="2965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auto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 xml:space="preserve">Serum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calcium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(μmol/L)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4372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iCs/>
                <w:color w:val="auto"/>
                <w:vertAlign w:val="superscript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L</w:t>
            </w:r>
            <w:r>
              <w:rPr>
                <w:rFonts w:ascii="Times New Roman" w:hAnsi="Times New Roman"/>
                <w:color w:val="auto"/>
                <w:szCs w:val="21"/>
              </w:rPr>
              <w:t>ess frequency of c</w:t>
            </w:r>
            <w:r>
              <w:rPr>
                <w:rFonts w:ascii="Times New Roman" w:hAnsi="Times New Roman"/>
                <w:color w:val="auto"/>
              </w:rPr>
              <w:t>alcium supplement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†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continue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2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818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i/>
                <w:iCs/>
                <w:color w:val="auto"/>
                <w:szCs w:val="21"/>
              </w:rPr>
              <w:sym w:font="Symbol" w:char="F062"/>
            </w:r>
          </w:p>
        </w:tc>
        <w:tc>
          <w:tcPr>
            <w:tcW w:w="1377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vertAlign w:val="superscript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 xml:space="preserve">95% </w:t>
            </w:r>
            <w:r>
              <w:rPr>
                <w:rFonts w:ascii="Times New Roman" w:hAnsi="Times New Roman"/>
                <w:i/>
                <w:iCs/>
                <w:color w:val="auto"/>
                <w:szCs w:val="21"/>
              </w:rPr>
              <w:t>CI</w:t>
            </w:r>
          </w:p>
        </w:tc>
        <w:tc>
          <w:tcPr>
            <w:tcW w:w="729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i/>
                <w:iCs/>
                <w:color w:val="auto"/>
              </w:rPr>
              <w:t>P</w:t>
            </w:r>
          </w:p>
        </w:tc>
        <w:tc>
          <w:tcPr>
            <w:tcW w:w="24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21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n(%)</w:t>
            </w:r>
          </w:p>
        </w:tc>
        <w:tc>
          <w:tcPr>
            <w:tcW w:w="8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i/>
                <w:iCs/>
                <w:color w:val="auto"/>
              </w:rPr>
              <w:t>RR</w:t>
            </w:r>
          </w:p>
        </w:tc>
        <w:tc>
          <w:tcPr>
            <w:tcW w:w="148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vertAlign w:val="superscript"/>
              </w:rPr>
            </w:pPr>
            <w:r>
              <w:rPr>
                <w:rFonts w:ascii="Times New Roman" w:hAnsi="Times New Roman"/>
                <w:color w:val="auto"/>
              </w:rPr>
              <w:t xml:space="preserve">95% </w:t>
            </w:r>
            <w:r>
              <w:rPr>
                <w:rFonts w:ascii="Times New Roman" w:hAnsi="Times New Roman"/>
                <w:i/>
                <w:iCs/>
                <w:color w:val="auto"/>
              </w:rPr>
              <w:t>CI</w:t>
            </w:r>
          </w:p>
        </w:tc>
        <w:tc>
          <w:tcPr>
            <w:tcW w:w="89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i/>
                <w:iCs/>
                <w:color w:val="auto"/>
              </w:rPr>
              <w:t>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000000" w:sz="4" w:space="0"/>
            </w:tcBorders>
            <w:noWrap w:val="0"/>
            <w:vAlign w:val="top"/>
          </w:tcPr>
          <w:p>
            <w:pPr>
              <w:tabs>
                <w:tab w:val="left" w:pos="6043"/>
              </w:tabs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VD&lt;30</w:t>
            </w:r>
          </w:p>
        </w:tc>
        <w:tc>
          <w:tcPr>
            <w:tcW w:w="818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377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40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21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865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488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898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top"/>
          </w:tcPr>
          <w:p>
            <w:pPr>
              <w:tabs>
                <w:tab w:val="left" w:pos="6043"/>
              </w:tabs>
              <w:ind w:firstLine="315" w:firstLineChars="150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PTH≥P</w:t>
            </w:r>
            <w:r>
              <w:rPr>
                <w:rFonts w:ascii="Times New Roman" w:hAnsi="Times New Roman"/>
                <w:color w:val="auto"/>
                <w:szCs w:val="21"/>
                <w:vertAlign w:val="subscript"/>
              </w:rPr>
              <w:t>80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101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0.043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0.005,0.085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0.035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38(37.6)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4.58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2.64,7.94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top"/>
          </w:tcPr>
          <w:p>
            <w:pPr>
              <w:tabs>
                <w:tab w:val="left" w:pos="6043"/>
              </w:tabs>
              <w:ind w:firstLine="315" w:firstLineChars="150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PTH&lt;P</w:t>
            </w:r>
            <w:r>
              <w:rPr>
                <w:rFonts w:ascii="Times New Roman" w:hAnsi="Times New Roman"/>
                <w:color w:val="auto"/>
                <w:szCs w:val="21"/>
                <w:vertAlign w:val="subscript"/>
              </w:rPr>
              <w:t>80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344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0.036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0.008,0.070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0.013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113(32.8)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3.14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2.06,4.78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top"/>
          </w:tcPr>
          <w:p>
            <w:pPr>
              <w:tabs>
                <w:tab w:val="left" w:pos="6043"/>
              </w:tabs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≥30-&lt;50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top"/>
          </w:tcPr>
          <w:p>
            <w:pPr>
              <w:tabs>
                <w:tab w:val="left" w:pos="6043"/>
              </w:tabs>
              <w:ind w:firstLine="315" w:firstLineChars="150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PTH≥P</w:t>
            </w:r>
            <w:r>
              <w:rPr>
                <w:rFonts w:ascii="Times New Roman" w:hAnsi="Times New Roman"/>
                <w:color w:val="auto"/>
                <w:szCs w:val="21"/>
                <w:vertAlign w:val="subscript"/>
              </w:rPr>
              <w:t>80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148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0.032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0.005,0.064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0.045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37(25.0)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2.22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1.33,3.72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top"/>
          </w:tcPr>
          <w:p>
            <w:pPr>
              <w:tabs>
                <w:tab w:val="left" w:pos="6043"/>
              </w:tabs>
              <w:ind w:firstLine="315" w:firstLineChars="150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PTH&lt;P</w:t>
            </w:r>
            <w:r>
              <w:rPr>
                <w:rFonts w:ascii="Times New Roman" w:hAnsi="Times New Roman"/>
                <w:color w:val="auto"/>
                <w:szCs w:val="21"/>
                <w:vertAlign w:val="subscript"/>
              </w:rPr>
              <w:t>80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584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0.021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0.006,0.037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0.007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125(21.4)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1.81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1.21,2.70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top"/>
          </w:tcPr>
          <w:p>
            <w:pPr>
              <w:tabs>
                <w:tab w:val="left" w:pos="6043"/>
              </w:tabs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VD≥50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top"/>
          </w:tcPr>
          <w:p>
            <w:pPr>
              <w:tabs>
                <w:tab w:val="left" w:pos="6043"/>
              </w:tabs>
              <w:ind w:firstLine="315" w:firstLineChars="150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PTH≥P</w:t>
            </w:r>
            <w:r>
              <w:rPr>
                <w:rFonts w:ascii="Times New Roman" w:hAnsi="Times New Roman"/>
                <w:color w:val="auto"/>
                <w:szCs w:val="21"/>
                <w:vertAlign w:val="subscript"/>
              </w:rPr>
              <w:t>80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59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0.028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-0.024,0.079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0.151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10(16.9)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1.39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0.65,2.99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0.400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top"/>
          </w:tcPr>
          <w:p>
            <w:pPr>
              <w:tabs>
                <w:tab w:val="left" w:pos="6043"/>
              </w:tabs>
              <w:ind w:firstLine="315" w:firstLineChars="150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PTH&lt;P</w:t>
            </w:r>
            <w:r>
              <w:rPr>
                <w:rFonts w:ascii="Times New Roman" w:hAnsi="Times New Roman"/>
                <w:color w:val="auto"/>
                <w:szCs w:val="21"/>
                <w:vertAlign w:val="subscript"/>
              </w:rPr>
              <w:t>80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300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Ref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Ref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40(13.3)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Ref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Ref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</w:tbl>
    <w:p>
      <w:pPr>
        <w:spacing w:line="480" w:lineRule="auto"/>
        <w:rPr>
          <w:rFonts w:ascii="Times New Roman" w:hAnsi="Times New Roman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PTH, parathyroid hormone; 25(OH)D, 25-hydroxyvitamin D.</w:t>
      </w:r>
    </w:p>
    <w:p>
      <w:pPr>
        <w:spacing w:line="480" w:lineRule="auto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*</w:t>
      </w:r>
      <w:r>
        <w:rPr>
          <w:rFonts w:ascii="Times New Roman" w:hAnsi="Times New Roman"/>
          <w:color w:val="auto"/>
          <w:szCs w:val="21"/>
        </w:rPr>
        <w:t xml:space="preserve">Adjusted for gestational age at delivery, gestational age at enrollment, maternal age at enrollment, household income, nulliparous, pre-pregnancy BMI, gestational diabetes, GWG, vitamin D supplement, milk supplement, sunshine exposure, blood sampling season, gender and </w:t>
      </w:r>
      <w:r>
        <w:rPr>
          <w:rFonts w:ascii="Times New Roman" w:hAnsi="Times New Roman"/>
          <w:color w:val="auto"/>
        </w:rPr>
        <w:t>anemia</w:t>
      </w:r>
      <w:r>
        <w:rPr>
          <w:rFonts w:ascii="Times New Roman" w:hAnsi="Times New Roman"/>
          <w:color w:val="auto"/>
          <w:szCs w:val="21"/>
        </w:rPr>
        <w:t>.</w:t>
      </w:r>
    </w:p>
    <w:p>
      <w:pPr>
        <w:spacing w:line="480" w:lineRule="auto"/>
        <w:jc w:val="left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† L</w:t>
      </w:r>
      <w:r>
        <w:rPr>
          <w:rFonts w:ascii="Times New Roman" w:hAnsi="Times New Roman"/>
          <w:color w:val="auto"/>
        </w:rPr>
        <w:t xml:space="preserve">ess frequency of </w:t>
      </w:r>
      <w:r>
        <w:rPr>
          <w:rFonts w:ascii="Times New Roman" w:hAnsi="Times New Roman"/>
          <w:color w:val="auto"/>
          <w:szCs w:val="21"/>
        </w:rPr>
        <w:t>calcium supplement</w:t>
      </w:r>
      <w:r>
        <w:rPr>
          <w:rFonts w:hint="eastAsia" w:ascii="Times New Roman" w:hAnsi="Times New Roman"/>
          <w:color w:val="auto"/>
          <w:szCs w:val="21"/>
        </w:rPr>
        <w:t>: calcium supplement &lt;3 times/w.</w:t>
      </w:r>
    </w:p>
    <w:p>
      <w:pPr>
        <w:spacing w:line="480" w:lineRule="auto"/>
        <w:jc w:val="left"/>
        <w:rPr>
          <w:rFonts w:hint="eastAsia" w:ascii="Times New Roman" w:hAnsi="Times New Roman"/>
          <w:color w:val="auto"/>
          <w:sz w:val="24"/>
        </w:rPr>
      </w:pPr>
    </w:p>
    <w:p>
      <w:pPr>
        <w:spacing w:line="480" w:lineRule="auto"/>
        <w:jc w:val="left"/>
        <w:rPr>
          <w:rFonts w:hint="eastAsia" w:ascii="Times New Roman" w:hAnsi="Times New Roman"/>
          <w:color w:val="auto"/>
          <w:sz w:val="24"/>
        </w:rPr>
      </w:pPr>
    </w:p>
    <w:p/>
    <w:sectPr>
      <w:headerReference r:id="rId3" w:type="default"/>
      <w:pgSz w:w="11906" w:h="16838"/>
      <w:pgMar w:top="1440" w:right="1020" w:bottom="1440" w:left="1020" w:header="851" w:footer="992" w:gutter="0"/>
      <w:lnNumType w:countBy="0" w:restart="continuous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235E3"/>
    <w:rsid w:val="283235E3"/>
    <w:rsid w:val="5C05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Tahoma" w:hAnsi="Tahoma" w:cs="Tahoma"/>
      <w:sz w:val="16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2020-03-31T06:09:00Z</dcterms:created>
  <dc:creator>又又又又</dc:creator>
  <cp:lastModifiedBy>又又又又</cp:lastModifiedBy>
  <dcterms:modified xsi:type="dcterms:W3CDTF">2020-03-31T06:11:22Z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