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A8F0" w14:textId="06589160" w:rsidR="00526838" w:rsidRPr="00526838" w:rsidRDefault="00526838" w:rsidP="00E057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26838">
        <w:rPr>
          <w:rFonts w:ascii="Arial" w:hAnsi="Arial" w:cs="Arial"/>
          <w:b/>
          <w:sz w:val="16"/>
          <w:szCs w:val="16"/>
        </w:rPr>
        <w:t xml:space="preserve">Table </w:t>
      </w:r>
      <w:r w:rsidR="00695000">
        <w:rPr>
          <w:rFonts w:ascii="Arial" w:hAnsi="Arial" w:cs="Arial"/>
          <w:b/>
          <w:sz w:val="16"/>
          <w:szCs w:val="16"/>
        </w:rPr>
        <w:t>S</w:t>
      </w:r>
      <w:bookmarkStart w:id="0" w:name="_GoBack"/>
      <w:bookmarkEnd w:id="0"/>
      <w:r w:rsidRPr="00526838">
        <w:rPr>
          <w:rFonts w:ascii="Arial" w:hAnsi="Arial" w:cs="Arial"/>
          <w:b/>
          <w:sz w:val="16"/>
          <w:szCs w:val="16"/>
        </w:rPr>
        <w:t xml:space="preserve">1: </w:t>
      </w:r>
      <w:r w:rsidRPr="00526838">
        <w:rPr>
          <w:rFonts w:ascii="Arial" w:hAnsi="Arial" w:cs="Arial"/>
          <w:b/>
          <w:sz w:val="16"/>
          <w:szCs w:val="14"/>
        </w:rPr>
        <w:t>Calcium supplementation, other nutrient supplementation or no supp</w:t>
      </w:r>
      <w:r>
        <w:rPr>
          <w:rFonts w:ascii="Arial" w:hAnsi="Arial" w:cs="Arial"/>
          <w:b/>
          <w:sz w:val="16"/>
          <w:szCs w:val="14"/>
        </w:rPr>
        <w:t>lementation and mortality risk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33"/>
        <w:gridCol w:w="1666"/>
        <w:gridCol w:w="1346"/>
        <w:gridCol w:w="1371"/>
        <w:gridCol w:w="777"/>
        <w:gridCol w:w="1355"/>
        <w:gridCol w:w="777"/>
        <w:gridCol w:w="1346"/>
        <w:gridCol w:w="1371"/>
        <w:gridCol w:w="777"/>
        <w:gridCol w:w="1355"/>
        <w:gridCol w:w="777"/>
        <w:gridCol w:w="1346"/>
        <w:gridCol w:w="1371"/>
        <w:gridCol w:w="777"/>
        <w:gridCol w:w="1355"/>
        <w:gridCol w:w="777"/>
      </w:tblGrid>
      <w:tr w:rsidR="00526838" w:rsidRPr="00526838" w14:paraId="3D9D5CAB" w14:textId="77777777" w:rsidTr="00595915">
        <w:trPr>
          <w:trHeight w:val="74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17484C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D8F7C" w14:textId="77777777" w:rsidR="00526838" w:rsidRPr="00526838" w:rsidRDefault="00526838" w:rsidP="00595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B655E6" w14:textId="77777777" w:rsidR="00526838" w:rsidRPr="00526838" w:rsidRDefault="00526838" w:rsidP="00595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Total sample</w:t>
            </w: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vAlign w:val="center"/>
          </w:tcPr>
          <w:p w14:paraId="6B0A27D4" w14:textId="77777777" w:rsidR="00526838" w:rsidRPr="00526838" w:rsidRDefault="00526838" w:rsidP="00595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Participants &lt;65 years</w:t>
            </w: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vAlign w:val="center"/>
          </w:tcPr>
          <w:p w14:paraId="7FA6D098" w14:textId="77777777" w:rsidR="00526838" w:rsidRPr="00526838" w:rsidRDefault="00526838" w:rsidP="00595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Participants ≥65 years</w:t>
            </w:r>
          </w:p>
        </w:tc>
      </w:tr>
      <w:tr w:rsidR="00526838" w:rsidRPr="00526838" w14:paraId="12824ECA" w14:textId="77777777" w:rsidTr="00595915">
        <w:trPr>
          <w:trHeight w:val="59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F8D2ED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CC0C0E3" w14:textId="77777777" w:rsidR="00526838" w:rsidRPr="00526838" w:rsidRDefault="00526838" w:rsidP="00595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B4A8CB" w14:textId="77777777" w:rsidR="00526838" w:rsidRPr="00526838" w:rsidRDefault="00526838" w:rsidP="0059591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Case/non-case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BC55E7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OR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  <w:vertAlign w:val="subscript"/>
              </w:rPr>
              <w:t>crude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(95%CI)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3856D0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671F82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OR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  <w:vertAlign w:val="subscript"/>
              </w:rPr>
              <w:t>adj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(95%CI)</w:t>
            </w:r>
            <w:r w:rsidRPr="00526838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30B609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CC46231" w14:textId="77777777" w:rsidR="00526838" w:rsidRPr="00526838" w:rsidRDefault="00526838" w:rsidP="0059591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Case/non-case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7D36E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OR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  <w:vertAlign w:val="subscript"/>
              </w:rPr>
              <w:t>crude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(95%CI)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7716CC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2896C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OR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  <w:vertAlign w:val="subscript"/>
              </w:rPr>
              <w:t>adj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(95%CI)</w:t>
            </w:r>
            <w:r w:rsidRPr="00526838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4EAAA3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5F4DDC0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Case/non-case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EBBA83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OR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  <w:vertAlign w:val="subscript"/>
              </w:rPr>
              <w:t>crude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(95%CI)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5EEA0F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4643AE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OR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  <w:vertAlign w:val="subscript"/>
              </w:rPr>
              <w:t>adj</w:t>
            </w:r>
            <w:r w:rsidRPr="0052683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(95%CI)</w:t>
            </w:r>
            <w:r w:rsidRPr="00526838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F1200" w14:textId="77777777" w:rsidR="00526838" w:rsidRPr="00526838" w:rsidRDefault="00526838" w:rsidP="00595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83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526838" w:rsidRPr="00526838" w14:paraId="5974E64E" w14:textId="77777777" w:rsidTr="00595915">
        <w:trPr>
          <w:trHeight w:val="1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451F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All-cause 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9706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A1DD2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477,099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6EB89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D657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98CEB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C786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6235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386,987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9B45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F77AA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872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C20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584D4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90,112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588AA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BED2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D48B1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964D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838" w:rsidRPr="00526838" w14:paraId="6CC025BF" w14:textId="77777777" w:rsidTr="00595915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43279" w14:textId="77777777" w:rsidR="00526838" w:rsidRPr="00526838" w:rsidRDefault="0052683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13AA0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2F0E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6,424/234,584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0B385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3DAD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F6F07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3423A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06702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4,130/198,330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CC3EC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4E284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BB1F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4D96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A253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36,254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3ACBD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BA1B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89C7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8DAD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838" w:rsidRPr="00526838" w14:paraId="52A6219F" w14:textId="77777777" w:rsidTr="00595915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512FD" w14:textId="77777777" w:rsidR="00526838" w:rsidRPr="00526838" w:rsidRDefault="0052683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63E78" w14:textId="18F0EE41" w:rsidR="00526838" w:rsidRPr="00526838" w:rsidRDefault="002F0748" w:rsidP="002F07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supplements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72ACD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5,705/209,166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1F6EF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0.87 (0.84-0.91)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E573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9.2E-13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3036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0.90 (0.86-0.93)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73BD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2.3E-08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BBF7B3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3,328/163,402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3FE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0.89 (0.85-0.94)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6640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2.4E-06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8875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0.87 (0.83-0.92)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DB6DC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3.0E-08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D0543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2,377/45,764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D88C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0.84 (0.79-0.90)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3A6A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2.2E-08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E042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0.88 (0.83-0.94)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FF19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8.0E-05</w:t>
            </w:r>
          </w:p>
        </w:tc>
      </w:tr>
      <w:tr w:rsidR="00526838" w:rsidRPr="00526838" w14:paraId="4D74926F" w14:textId="77777777" w:rsidTr="00595915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ABCD" w14:textId="77777777" w:rsidR="00526838" w:rsidRPr="00526838" w:rsidRDefault="0052683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FA58D" w14:textId="6DEE0B9F" w:rsidR="0052683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>lcium supplement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1ED00A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953/33,346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E3D9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1.04 (0.97-1.12)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0254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72C27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0.96 (0.89-1.03)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B3A0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18EAB4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579/25,255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0AC3F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1.12 (1.02-1.23)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CB0D9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4502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0.85 (0.78-0.93)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1ED7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4.0E-04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F0F207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374/8,094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BAC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0.94 (0.84-1.06)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83685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634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0.89 (0.79-1.00)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A31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</w:tr>
      <w:tr w:rsidR="00526838" w:rsidRPr="00526838" w14:paraId="7C9F42E2" w14:textId="77777777" w:rsidTr="00595915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92A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Cancer 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1D556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1F99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471,799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FC4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3B9D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A744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9C24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5F302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383,755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7D13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2A94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4016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816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93E75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80,044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F9E1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EB61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BC63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D4C4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748" w:rsidRPr="00526838" w14:paraId="4B6E986B" w14:textId="77777777" w:rsidTr="00595915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D696" w14:textId="77777777" w:rsidR="002F0748" w:rsidRPr="00526838" w:rsidRDefault="002F074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5DCFC" w14:textId="1F485464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B74A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3,813/231,973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307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EEE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2915F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FBC9B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43710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2,484/196,684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266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42A1C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049F7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261BE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CAE2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1,329/35,289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12EC8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A62A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8EAB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282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748" w:rsidRPr="00526838" w14:paraId="6F6A023B" w14:textId="77777777" w:rsidTr="00595915">
        <w:trPr>
          <w:trHeight w:val="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A0D72" w14:textId="77777777" w:rsidR="002F0748" w:rsidRPr="00526838" w:rsidRDefault="002F074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2C0AF" w14:textId="3643A67F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supplements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6AD34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3,408/206,869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5D2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0.86 (0.82-0.90)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D8DC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3.3E-10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654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0.88 (0.84-0.93)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9800C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6.1E-07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A23BD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1,977/162,051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FED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0.85 (0.80-0.91)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BC6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2.2E-07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3D10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0.87 (0.82-0.93)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8EDE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1.0E-5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E9E7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1,431/44,818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D71B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0.87 (0.80-0.94)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F02B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3.0E-04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4E6E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0.91 (0.84-0.98)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C9D4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2F0748" w:rsidRPr="00526838" w14:paraId="29A46EAE" w14:textId="77777777" w:rsidTr="00595915">
        <w:trPr>
          <w:trHeight w:val="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8B0B" w14:textId="77777777" w:rsidR="002F0748" w:rsidRPr="00526838" w:rsidRDefault="002F074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B6F757" w14:textId="13ADEB7A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>lcium supplement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BB65A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561/32,957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43D4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0.93 (0.85-1.02)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118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E548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0.90 (0.82-0.99)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CE67A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2BBB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344/25,020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792A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0.97 (0.86-1.09)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D53A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F3B4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0.93 (0.83-1.05)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0DF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2B05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217/7,937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DE22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0.89 (0.76-1.03)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07580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7D5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0.88 (0.84-0.98)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DB4F7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526838" w:rsidRPr="00526838" w14:paraId="0B04E7E7" w14:textId="77777777" w:rsidTr="00595915">
        <w:trPr>
          <w:trHeight w:val="167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436C1EF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Cardiovascular 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AB48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D9769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466,584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593A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0E36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2F7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E031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A8A39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380,455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7F0D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077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2FBC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E80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55A1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86,129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31F9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DC9F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9E53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9277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748" w:rsidRPr="00526838" w14:paraId="50EEDCBA" w14:textId="77777777" w:rsidTr="00595915">
        <w:trPr>
          <w:trHeight w:val="51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14:paraId="56414862" w14:textId="77777777" w:rsidR="002F0748" w:rsidRPr="00526838" w:rsidRDefault="002F074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2ABAC" w14:textId="142DA872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0B7AF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1,332/229,492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37205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DB32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DB8B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16D2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9606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822/195,022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979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B960F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903F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8FB7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0164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510/34,470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28CFD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8EE4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9785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EA93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748" w:rsidRPr="00526838" w14:paraId="13730681" w14:textId="77777777" w:rsidTr="00595915">
        <w:trPr>
          <w:trHeight w:val="51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96B07F" w14:textId="77777777" w:rsidR="002F0748" w:rsidRPr="00526838" w:rsidRDefault="002F074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DEBAE" w14:textId="46E1DD5E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supplements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472948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1,093/204,554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79C68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0.83 (0.76-0.90)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EECF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3.8E-06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181C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0.84 (0.78-0.92)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C5C2C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6.0E-05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8FC9F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599/160,673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245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0.84 (0.75-0.93)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3F58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1.0E-03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FFD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0.84 (0.76-0.94)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3B205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2.0E-03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15EA0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494/43,881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8272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0.81 (0.71-0.92)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9C9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1.0E-03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569E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0.84 (0.74-0.96)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EA8D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2F0748" w:rsidRPr="00526838" w14:paraId="2BFACC31" w14:textId="77777777" w:rsidTr="00595915">
        <w:trPr>
          <w:trHeight w:val="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5031" w14:textId="77777777" w:rsidR="002F0748" w:rsidRPr="00526838" w:rsidRDefault="002F074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A2CA8" w14:textId="405F17C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>lcium supplement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02677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142/32,538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594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0.95 (0.80-1.14)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CEB0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5DC5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0.84 (0.70-1.00)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382D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30432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84/24,760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B0BC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1.10 (0.87-1.39)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C31C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5E675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0.94 (0.75-1.19)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F5D0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1083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58/7,778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46BFC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0.79 (0.60-1.04)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F8C1F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587A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0.71 (0.53-0.94)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22AA5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526838" w:rsidRPr="00526838" w14:paraId="07EF309D" w14:textId="77777777" w:rsidTr="00595915">
        <w:trPr>
          <w:trHeight w:val="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3BE2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Respiratory 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E1CE6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78E8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453,685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9FC0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4B23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5502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60428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A4D3C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369,763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1B8BC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D825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C0BB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B619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4DA11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83,922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E70C2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66E4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1D4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1296E" w14:textId="77777777" w:rsidR="00526838" w:rsidRPr="00526838" w:rsidRDefault="0052683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748" w:rsidRPr="00526838" w14:paraId="6D4C32D4" w14:textId="77777777" w:rsidTr="00595915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8ADBB" w14:textId="77777777" w:rsidR="002F0748" w:rsidRPr="00526838" w:rsidRDefault="002F074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DCFB3" w14:textId="6C6327A0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5EE1B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238/223,536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40D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FAF4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FB5A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8D4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DBD1E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121/189,956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252E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8242A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198E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1C3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3B28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117/33,580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4FBBA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CCC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1258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EAA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748" w:rsidRPr="00526838" w14:paraId="292FB5D4" w14:textId="77777777" w:rsidTr="00595915">
        <w:trPr>
          <w:trHeight w:val="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DC43" w14:textId="77777777" w:rsidR="002F0748" w:rsidRPr="00526838" w:rsidRDefault="002F074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CC9E2" w14:textId="58661A93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supplements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9D13F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192/198,656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D385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0.77 (0.64-0.93)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AB34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8.0E-3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EF0B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0.80 (0.66-0.98)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23EE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43E5F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105/155,908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9A557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0.96 (0.74-1.25)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EAD8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646B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0.97 (0.74-1.27)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31C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CFE53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87/42,748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592FD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0.61 (0.46-0.80)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4CFC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5.0E-04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ACEE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0.66 (0.49-0.88)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03AB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4.0E-03</w:t>
            </w:r>
          </w:p>
        </w:tc>
      </w:tr>
      <w:tr w:rsidR="002F0748" w:rsidRPr="00526838" w14:paraId="146C6914" w14:textId="77777777" w:rsidTr="00595915">
        <w:trPr>
          <w:trHeight w:val="6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F3F7D" w14:textId="77777777" w:rsidR="002F0748" w:rsidRPr="00526838" w:rsidRDefault="002F0748" w:rsidP="00595915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35E1A" w14:textId="5347E5E9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>lcium supplement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DCE0F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58/31,493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6DB48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1.75 (1.30-2.37)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73E1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2.0E-4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59F2C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1.21 (0.89-1.64)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811E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3D097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35/23,899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60C7E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2.57 (1.73-3.82)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A1D3B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2.7E-06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04A0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1.71 (1.14-2.56)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405F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4D8E1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23/7,594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0D98C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1.12 (0.71-1.79)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6B756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43229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0.78 (0.48-1.27)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53985" w14:textId="77777777" w:rsidR="002F0748" w:rsidRPr="00526838" w:rsidRDefault="002F0748" w:rsidP="00595915">
            <w:pPr>
              <w:rPr>
                <w:rFonts w:ascii="Arial" w:hAnsi="Arial" w:cs="Arial"/>
                <w:sz w:val="16"/>
                <w:szCs w:val="16"/>
              </w:rPr>
            </w:pPr>
            <w:r w:rsidRPr="00526838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</w:tbl>
    <w:p w14:paraId="05666C1E" w14:textId="77777777" w:rsidR="00526838" w:rsidRPr="009918E8" w:rsidRDefault="00E05765" w:rsidP="00E057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18E8">
        <w:rPr>
          <w:rFonts w:ascii="Arial" w:hAnsi="Arial" w:cs="Arial"/>
          <w:sz w:val="16"/>
          <w:szCs w:val="16"/>
        </w:rPr>
        <w:t>OR, odds ratio. 95% CI, 95% confidence interval;</w:t>
      </w:r>
    </w:p>
    <w:p w14:paraId="19B0064C" w14:textId="77777777" w:rsidR="00526838" w:rsidRPr="009918E8" w:rsidRDefault="00526838" w:rsidP="005268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918E8">
        <w:rPr>
          <w:rFonts w:ascii="Arial" w:hAnsi="Arial" w:cs="Arial"/>
          <w:sz w:val="16"/>
          <w:szCs w:val="16"/>
          <w:vertAlign w:val="superscript"/>
          <w:lang w:val="en"/>
        </w:rPr>
        <w:t>†</w:t>
      </w:r>
      <w:r w:rsidRPr="009918E8">
        <w:rPr>
          <w:rFonts w:ascii="Arial" w:eastAsia="Times New Roman" w:hAnsi="Arial" w:cs="Arial"/>
          <w:bCs/>
          <w:sz w:val="16"/>
          <w:szCs w:val="16"/>
        </w:rPr>
        <w:t>Crude odds ratio</w:t>
      </w:r>
      <w:r w:rsidRPr="009918E8">
        <w:rPr>
          <w:rFonts w:ascii="Arial" w:hAnsi="Arial" w:cs="Arial"/>
          <w:sz w:val="16"/>
          <w:szCs w:val="16"/>
        </w:rPr>
        <w:t xml:space="preserve"> with the adjustment of age, sex, ethnicity, and assessment centre.</w:t>
      </w:r>
    </w:p>
    <w:p w14:paraId="700B5986" w14:textId="4025C60F" w:rsidR="00526838" w:rsidRPr="00526838" w:rsidRDefault="00526838" w:rsidP="005268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918E8">
        <w:rPr>
          <w:rFonts w:ascii="Arial" w:hAnsi="Arial" w:cs="Arial"/>
          <w:sz w:val="16"/>
          <w:szCs w:val="16"/>
          <w:shd w:val="clear" w:color="auto" w:fill="FFFFFF"/>
          <w:vertAlign w:val="superscript"/>
        </w:rPr>
        <w:t>‡</w:t>
      </w:r>
      <w:r w:rsidRPr="009918E8">
        <w:rPr>
          <w:rFonts w:ascii="Arial" w:hAnsi="Arial" w:cs="Arial"/>
          <w:sz w:val="16"/>
          <w:szCs w:val="16"/>
          <w:lang w:val="en"/>
        </w:rPr>
        <w:t xml:space="preserve">Adjusted odds ratio with the adjustment of </w:t>
      </w:r>
      <w:r w:rsidRPr="009918E8">
        <w:rPr>
          <w:rFonts w:ascii="Arial" w:hAnsi="Arial" w:cs="Arial"/>
          <w:sz w:val="16"/>
          <w:szCs w:val="16"/>
        </w:rPr>
        <w:t>age, sex, ethnicity, assessment centre, education level, deprivation index quintile, smoking, alcohol use, physical activity intensity,</w:t>
      </w:r>
      <w:r w:rsidRPr="009918E8">
        <w:rPr>
          <w:rFonts w:ascii="Arial" w:hAnsi="Arial" w:cs="Arial"/>
          <w:sz w:val="16"/>
          <w:szCs w:val="16"/>
        </w:rPr>
        <w:t xml:space="preserve"> </w:t>
      </w:r>
      <w:r w:rsidRPr="009918E8">
        <w:rPr>
          <w:rFonts w:ascii="Arial" w:hAnsi="Arial" w:cs="Arial"/>
          <w:sz w:val="16"/>
          <w:szCs w:val="16"/>
        </w:rPr>
        <w:t>body mass index, number of treatments or medications taken and self-reported heal</w:t>
      </w:r>
      <w:r w:rsidRPr="009918E8">
        <w:rPr>
          <w:rFonts w:ascii="Arial" w:hAnsi="Arial" w:cs="Arial"/>
          <w:sz w:val="16"/>
          <w:szCs w:val="16"/>
        </w:rPr>
        <w:t>th</w:t>
      </w:r>
    </w:p>
    <w:sectPr w:rsidR="00526838" w:rsidRPr="00526838" w:rsidSect="00526838">
      <w:pgSz w:w="23820" w:h="16840" w:orient="landscape" w:code="8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49"/>
    <w:rsid w:val="00031106"/>
    <w:rsid w:val="00046356"/>
    <w:rsid w:val="000505B6"/>
    <w:rsid w:val="00054D61"/>
    <w:rsid w:val="00060877"/>
    <w:rsid w:val="0006461F"/>
    <w:rsid w:val="000759F6"/>
    <w:rsid w:val="00092880"/>
    <w:rsid w:val="00095D6A"/>
    <w:rsid w:val="000A2EBA"/>
    <w:rsid w:val="000B1D83"/>
    <w:rsid w:val="000C1BA6"/>
    <w:rsid w:val="000C6040"/>
    <w:rsid w:val="000D20D5"/>
    <w:rsid w:val="000F3995"/>
    <w:rsid w:val="00140E49"/>
    <w:rsid w:val="0018740C"/>
    <w:rsid w:val="001C1764"/>
    <w:rsid w:val="001C2C20"/>
    <w:rsid w:val="001D1790"/>
    <w:rsid w:val="001D783E"/>
    <w:rsid w:val="00240CF3"/>
    <w:rsid w:val="00281E73"/>
    <w:rsid w:val="002A5AB6"/>
    <w:rsid w:val="002A5BE1"/>
    <w:rsid w:val="002B28E1"/>
    <w:rsid w:val="002D48D8"/>
    <w:rsid w:val="002D7937"/>
    <w:rsid w:val="002E1F1B"/>
    <w:rsid w:val="002E7817"/>
    <w:rsid w:val="002F0748"/>
    <w:rsid w:val="00300C21"/>
    <w:rsid w:val="00322704"/>
    <w:rsid w:val="00323975"/>
    <w:rsid w:val="00324647"/>
    <w:rsid w:val="00341B90"/>
    <w:rsid w:val="0035050C"/>
    <w:rsid w:val="00353A1E"/>
    <w:rsid w:val="003777E1"/>
    <w:rsid w:val="003A2B77"/>
    <w:rsid w:val="003D21C5"/>
    <w:rsid w:val="003D3D91"/>
    <w:rsid w:val="003D6079"/>
    <w:rsid w:val="003D6CAB"/>
    <w:rsid w:val="003E0ED9"/>
    <w:rsid w:val="003F1342"/>
    <w:rsid w:val="00406DC4"/>
    <w:rsid w:val="0041620D"/>
    <w:rsid w:val="004506A0"/>
    <w:rsid w:val="00471D59"/>
    <w:rsid w:val="004A26A9"/>
    <w:rsid w:val="004B640A"/>
    <w:rsid w:val="004B70C1"/>
    <w:rsid w:val="004D3EC1"/>
    <w:rsid w:val="00501549"/>
    <w:rsid w:val="00512B79"/>
    <w:rsid w:val="00526838"/>
    <w:rsid w:val="00530506"/>
    <w:rsid w:val="00544349"/>
    <w:rsid w:val="0057035A"/>
    <w:rsid w:val="005A6607"/>
    <w:rsid w:val="005B072E"/>
    <w:rsid w:val="005B221D"/>
    <w:rsid w:val="005D2105"/>
    <w:rsid w:val="005E0F27"/>
    <w:rsid w:val="005E3D89"/>
    <w:rsid w:val="005E41B6"/>
    <w:rsid w:val="00603FCA"/>
    <w:rsid w:val="0060487D"/>
    <w:rsid w:val="00615DD5"/>
    <w:rsid w:val="006736F1"/>
    <w:rsid w:val="006878E9"/>
    <w:rsid w:val="00695000"/>
    <w:rsid w:val="006A7B8A"/>
    <w:rsid w:val="006C26AC"/>
    <w:rsid w:val="006D074D"/>
    <w:rsid w:val="0071003B"/>
    <w:rsid w:val="00720E12"/>
    <w:rsid w:val="00753E0B"/>
    <w:rsid w:val="007B0101"/>
    <w:rsid w:val="007D3EAA"/>
    <w:rsid w:val="00805653"/>
    <w:rsid w:val="0080668E"/>
    <w:rsid w:val="00847637"/>
    <w:rsid w:val="00865EAD"/>
    <w:rsid w:val="0087171B"/>
    <w:rsid w:val="00885818"/>
    <w:rsid w:val="008B69D9"/>
    <w:rsid w:val="008C6217"/>
    <w:rsid w:val="008D5E83"/>
    <w:rsid w:val="008F055F"/>
    <w:rsid w:val="009023C3"/>
    <w:rsid w:val="009077ED"/>
    <w:rsid w:val="00915BF2"/>
    <w:rsid w:val="009214F7"/>
    <w:rsid w:val="00925C99"/>
    <w:rsid w:val="009414B5"/>
    <w:rsid w:val="009423A1"/>
    <w:rsid w:val="0095471F"/>
    <w:rsid w:val="00973558"/>
    <w:rsid w:val="009867D0"/>
    <w:rsid w:val="009918E8"/>
    <w:rsid w:val="009B2E25"/>
    <w:rsid w:val="009D65C5"/>
    <w:rsid w:val="009E02E2"/>
    <w:rsid w:val="009F4296"/>
    <w:rsid w:val="00A164B8"/>
    <w:rsid w:val="00A20617"/>
    <w:rsid w:val="00A350C2"/>
    <w:rsid w:val="00A46090"/>
    <w:rsid w:val="00AD12E4"/>
    <w:rsid w:val="00AD32B9"/>
    <w:rsid w:val="00AE0B6D"/>
    <w:rsid w:val="00B058F0"/>
    <w:rsid w:val="00B15D20"/>
    <w:rsid w:val="00B231AF"/>
    <w:rsid w:val="00B31357"/>
    <w:rsid w:val="00B319A7"/>
    <w:rsid w:val="00B533D9"/>
    <w:rsid w:val="00B871A5"/>
    <w:rsid w:val="00B95673"/>
    <w:rsid w:val="00BA0026"/>
    <w:rsid w:val="00BD7DD6"/>
    <w:rsid w:val="00BE2A8F"/>
    <w:rsid w:val="00BE41DF"/>
    <w:rsid w:val="00BF7C46"/>
    <w:rsid w:val="00C464F4"/>
    <w:rsid w:val="00C726C5"/>
    <w:rsid w:val="00CA6741"/>
    <w:rsid w:val="00CC13F7"/>
    <w:rsid w:val="00CD77CA"/>
    <w:rsid w:val="00D004D4"/>
    <w:rsid w:val="00D10CED"/>
    <w:rsid w:val="00D310B9"/>
    <w:rsid w:val="00D33A9E"/>
    <w:rsid w:val="00D45A97"/>
    <w:rsid w:val="00D5090E"/>
    <w:rsid w:val="00D50A98"/>
    <w:rsid w:val="00D84CEA"/>
    <w:rsid w:val="00DB0A7C"/>
    <w:rsid w:val="00E05765"/>
    <w:rsid w:val="00E2270C"/>
    <w:rsid w:val="00E27D9B"/>
    <w:rsid w:val="00E43B38"/>
    <w:rsid w:val="00E660A9"/>
    <w:rsid w:val="00EA0474"/>
    <w:rsid w:val="00EA1AF6"/>
    <w:rsid w:val="00EC74B8"/>
    <w:rsid w:val="00F06736"/>
    <w:rsid w:val="00F07EA7"/>
    <w:rsid w:val="00F13870"/>
    <w:rsid w:val="00F304F4"/>
    <w:rsid w:val="00F3403D"/>
    <w:rsid w:val="00F77493"/>
    <w:rsid w:val="00F80ED8"/>
    <w:rsid w:val="00F95E0B"/>
    <w:rsid w:val="00FB14D7"/>
    <w:rsid w:val="00FD68C6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33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Stasinopoulos, Labrie Constance - stalc005</dc:creator>
  <cp:keywords/>
  <dc:description/>
  <cp:lastModifiedBy>Ang Zhou</cp:lastModifiedBy>
  <cp:revision>11</cp:revision>
  <cp:lastPrinted>2018-08-09T01:08:00Z</cp:lastPrinted>
  <dcterms:created xsi:type="dcterms:W3CDTF">2019-12-10T01:10:00Z</dcterms:created>
  <dcterms:modified xsi:type="dcterms:W3CDTF">2019-12-10T01:52:00Z</dcterms:modified>
</cp:coreProperties>
</file>