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3C" w:rsidRDefault="00797B3C" w:rsidP="00797B3C">
      <w:r>
        <w:t>Online Supplementary Materials</w:t>
      </w:r>
    </w:p>
    <w:p w:rsidR="00797B3C" w:rsidRPr="000F2EFF" w:rsidRDefault="00797B3C" w:rsidP="00797B3C">
      <w:proofErr w:type="gramStart"/>
      <w:r>
        <w:rPr>
          <w:bCs/>
        </w:rPr>
        <w:t xml:space="preserve">Supplementary </w:t>
      </w:r>
      <w:r w:rsidRPr="00DB7EE2">
        <w:t>Table 1.</w:t>
      </w:r>
      <w:proofErr w:type="gramEnd"/>
      <w:r>
        <w:rPr>
          <w:bCs/>
        </w:rPr>
        <w:t xml:space="preserve"> Descriptive Statistics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0"/>
        <w:gridCol w:w="960"/>
        <w:gridCol w:w="960"/>
        <w:gridCol w:w="960"/>
        <w:gridCol w:w="960"/>
        <w:gridCol w:w="960"/>
        <w:gridCol w:w="960"/>
      </w:tblGrid>
      <w:tr w:rsidR="00797B3C" w:rsidRPr="000F2EFF" w:rsidTr="00E35D7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797B3C" w:rsidRPr="000F2EFF" w:rsidRDefault="00797B3C" w:rsidP="00E35D76">
            <w:pPr>
              <w:pStyle w:val="thead"/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  <w:hideMark/>
          </w:tcPr>
          <w:p w:rsidR="00797B3C" w:rsidRPr="000F2EFF" w:rsidRDefault="00797B3C" w:rsidP="00E35D76">
            <w:pPr>
              <w:pStyle w:val="thead"/>
            </w:pPr>
            <w:r>
              <w:t>2006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  <w:hideMark/>
          </w:tcPr>
          <w:p w:rsidR="00797B3C" w:rsidRPr="000F2EFF" w:rsidRDefault="00797B3C" w:rsidP="00E35D76">
            <w:pPr>
              <w:pStyle w:val="thead"/>
            </w:pPr>
            <w:r>
              <w:t>2012</w:t>
            </w:r>
          </w:p>
        </w:tc>
      </w:tr>
      <w:tr w:rsidR="00797B3C" w:rsidRPr="000F2EFF" w:rsidTr="00E35D7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797B3C" w:rsidRPr="000F2EFF" w:rsidRDefault="00797B3C" w:rsidP="00E35D76">
            <w:pPr>
              <w:pStyle w:val="thead"/>
            </w:pPr>
            <w:r>
              <w:rPr>
                <w:b/>
              </w:rPr>
              <w:t>Variables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97B3C" w:rsidRPr="000F2EFF" w:rsidRDefault="00797B3C" w:rsidP="00E35D76">
            <w:pPr>
              <w:pStyle w:val="thead"/>
            </w:pPr>
            <w:r>
              <w:t>Mean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97B3C" w:rsidRPr="000F2EFF" w:rsidRDefault="00797B3C" w:rsidP="00E35D76">
            <w:pPr>
              <w:pStyle w:val="thead"/>
            </w:pPr>
            <w:r>
              <w:t>SD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97B3C" w:rsidRPr="000F2EFF" w:rsidRDefault="00797B3C" w:rsidP="00E35D76">
            <w:pPr>
              <w:pStyle w:val="thead"/>
            </w:pPr>
            <w:r>
              <w:t>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97B3C" w:rsidRPr="000F2EFF" w:rsidRDefault="00797B3C" w:rsidP="00E35D76">
            <w:pPr>
              <w:pStyle w:val="thead"/>
            </w:pPr>
            <w:r>
              <w:t>Mean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97B3C" w:rsidRPr="000F2EFF" w:rsidRDefault="00797B3C" w:rsidP="00E35D76">
            <w:pPr>
              <w:pStyle w:val="thead"/>
            </w:pPr>
            <w:r>
              <w:t>SD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97B3C" w:rsidRPr="000F2EFF" w:rsidRDefault="00797B3C" w:rsidP="00E35D76">
            <w:pPr>
              <w:pStyle w:val="thead"/>
            </w:pPr>
            <w:r>
              <w:t>N</w:t>
            </w:r>
          </w:p>
        </w:tc>
      </w:tr>
      <w:tr w:rsidR="00797B3C" w:rsidRPr="000F2EFF" w:rsidTr="00E35D76">
        <w:trPr>
          <w:trHeight w:val="300"/>
        </w:trPr>
        <w:tc>
          <w:tcPr>
            <w:tcW w:w="9820" w:type="dxa"/>
            <w:gridSpan w:val="7"/>
            <w:shd w:val="clear" w:color="auto" w:fill="auto"/>
            <w:vAlign w:val="center"/>
            <w:hideMark/>
          </w:tcPr>
          <w:p w:rsidR="00797B3C" w:rsidRPr="000F2EFF" w:rsidRDefault="00797B3C" w:rsidP="00E35D76">
            <w:pPr>
              <w:rPr>
                <w:bCs/>
              </w:rPr>
            </w:pPr>
            <w:r>
              <w:rPr>
                <w:b/>
                <w:bCs/>
              </w:rPr>
              <w:t>Characteristics, All Children under 5</w:t>
            </w:r>
          </w:p>
        </w:tc>
      </w:tr>
      <w:tr w:rsidR="00797B3C" w:rsidRPr="000F2EFF" w:rsidTr="00E35D7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797B3C" w:rsidRPr="000F2EFF" w:rsidRDefault="00797B3C" w:rsidP="00E35D76">
            <w:r>
              <w:t>Male (1=yes)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0.53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0.50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386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0.46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0.50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641</w:t>
            </w:r>
          </w:p>
        </w:tc>
      </w:tr>
      <w:tr w:rsidR="00797B3C" w:rsidRPr="000F2EFF" w:rsidTr="00E35D7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797B3C" w:rsidRPr="000F2EFF" w:rsidRDefault="00797B3C" w:rsidP="00E35D76">
            <w:r>
              <w:t>Child age in months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22.49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8.74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385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40.09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19.95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641</w:t>
            </w:r>
          </w:p>
        </w:tc>
      </w:tr>
      <w:tr w:rsidR="00797B3C" w:rsidRPr="000F2EFF" w:rsidTr="00E35D7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797B3C" w:rsidRPr="000F2EFF" w:rsidRDefault="00797B3C" w:rsidP="00E35D76">
            <w:r>
              <w:t>Child is breastfeeding (1=yes)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0.52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0.50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388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0.18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0.38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418</w:t>
            </w:r>
          </w:p>
        </w:tc>
      </w:tr>
      <w:tr w:rsidR="00797B3C" w:rsidRPr="000F2EFF" w:rsidTr="00E35D76">
        <w:trPr>
          <w:trHeight w:val="600"/>
        </w:trPr>
        <w:tc>
          <w:tcPr>
            <w:tcW w:w="4060" w:type="dxa"/>
            <w:shd w:val="clear" w:color="auto" w:fill="auto"/>
            <w:vAlign w:val="center"/>
            <w:hideMark/>
          </w:tcPr>
          <w:p w:rsidR="00797B3C" w:rsidRPr="000F2EFF" w:rsidRDefault="00797B3C" w:rsidP="00E35D76">
            <w:r>
              <w:t>Child received Vitamin A capsule in last 6 months (1=yes)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0.31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0.46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316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0.63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0.48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333</w:t>
            </w:r>
          </w:p>
        </w:tc>
      </w:tr>
      <w:tr w:rsidR="00797B3C" w:rsidRPr="000F2EFF" w:rsidTr="00E35D7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797B3C" w:rsidRPr="000F2EFF" w:rsidRDefault="00797B3C" w:rsidP="00E35D76">
            <w:r>
              <w:t>Diarrhea incidence, past 14 days (1=yes)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0.40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0.49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346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0.25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0.60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416</w:t>
            </w:r>
          </w:p>
        </w:tc>
      </w:tr>
      <w:tr w:rsidR="00797B3C" w:rsidRPr="000F2EFF" w:rsidTr="00E35D7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797B3C" w:rsidRPr="000F2EFF" w:rsidRDefault="00797B3C" w:rsidP="00E35D76">
            <w:r>
              <w:t>Respiratory infection, past 2 weeks (1=yes)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0.25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0.44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346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0.16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0.37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414</w:t>
            </w:r>
          </w:p>
        </w:tc>
      </w:tr>
      <w:tr w:rsidR="00797B3C" w:rsidRPr="000F2EFF" w:rsidTr="00E35D76">
        <w:trPr>
          <w:trHeight w:val="600"/>
        </w:trPr>
        <w:tc>
          <w:tcPr>
            <w:tcW w:w="4060" w:type="dxa"/>
            <w:shd w:val="clear" w:color="auto" w:fill="auto"/>
            <w:vAlign w:val="center"/>
            <w:hideMark/>
          </w:tcPr>
          <w:p w:rsidR="00797B3C" w:rsidRPr="000F2EFF" w:rsidRDefault="00797B3C" w:rsidP="00E35D76">
            <w:r>
              <w:t>Having diarrhea or respiratory infection in past 2 weeks (1=yes)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0.52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0.50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346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0.33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0.47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414</w:t>
            </w:r>
          </w:p>
        </w:tc>
      </w:tr>
      <w:tr w:rsidR="00797B3C" w:rsidRPr="000F2EFF" w:rsidTr="00E35D76">
        <w:trPr>
          <w:trHeight w:val="300"/>
        </w:trPr>
        <w:tc>
          <w:tcPr>
            <w:tcW w:w="9820" w:type="dxa"/>
            <w:gridSpan w:val="7"/>
            <w:shd w:val="clear" w:color="auto" w:fill="auto"/>
            <w:vAlign w:val="center"/>
            <w:hideMark/>
          </w:tcPr>
          <w:p w:rsidR="00797B3C" w:rsidRPr="000F2EFF" w:rsidRDefault="00797B3C" w:rsidP="00E35D76">
            <w:pPr>
              <w:rPr>
                <w:bCs/>
              </w:rPr>
            </w:pPr>
            <w:r>
              <w:rPr>
                <w:b/>
                <w:bCs/>
              </w:rPr>
              <w:t>Mother and Household Characteristics</w:t>
            </w:r>
          </w:p>
        </w:tc>
      </w:tr>
      <w:tr w:rsidR="00797B3C" w:rsidRPr="000F2EFF" w:rsidTr="00E35D7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797B3C" w:rsidRPr="000F2EFF" w:rsidRDefault="00797B3C" w:rsidP="00E35D76">
            <w:r>
              <w:t>Mother’s years of schooling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1.33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1.79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393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1.49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1.92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346</w:t>
            </w:r>
          </w:p>
        </w:tc>
      </w:tr>
      <w:tr w:rsidR="00797B3C" w:rsidRPr="000F2EFF" w:rsidTr="00E35D7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797B3C" w:rsidRPr="000F2EFF" w:rsidRDefault="00797B3C" w:rsidP="00E35D76">
            <w:r>
              <w:t>Nutrition promoter? (1=yes)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0.36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381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0.17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0.37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279</w:t>
            </w:r>
          </w:p>
        </w:tc>
      </w:tr>
      <w:tr w:rsidR="00797B3C" w:rsidRPr="000F2EFF" w:rsidTr="00E35D76">
        <w:trPr>
          <w:trHeight w:val="600"/>
        </w:trPr>
        <w:tc>
          <w:tcPr>
            <w:tcW w:w="4060" w:type="dxa"/>
            <w:shd w:val="clear" w:color="auto" w:fill="auto"/>
            <w:vAlign w:val="center"/>
            <w:hideMark/>
          </w:tcPr>
          <w:p w:rsidR="00797B3C" w:rsidRPr="000F2EFF" w:rsidRDefault="00797B3C" w:rsidP="00E35D76">
            <w:r>
              <w:t>Household has access to wage employment (1=yes)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0.35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393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0.16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0.37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342</w:t>
            </w:r>
          </w:p>
        </w:tc>
      </w:tr>
      <w:tr w:rsidR="00797B3C" w:rsidRPr="000F2EFF" w:rsidTr="00E35D7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797B3C" w:rsidRPr="000F2EFF" w:rsidRDefault="00797B3C" w:rsidP="00E35D76">
            <w:r>
              <w:t>Head is male (1=yes)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0.94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0.24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393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0.93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0.26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342</w:t>
            </w:r>
          </w:p>
        </w:tc>
      </w:tr>
      <w:tr w:rsidR="00797B3C" w:rsidRPr="000F2EFF" w:rsidTr="00E35D7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797B3C" w:rsidRPr="000F2EFF" w:rsidRDefault="00797B3C" w:rsidP="00E35D76">
            <w:r>
              <w:t>Age of household head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35.41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9.46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324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39.14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9.02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326</w:t>
            </w:r>
          </w:p>
        </w:tc>
      </w:tr>
      <w:tr w:rsidR="00797B3C" w:rsidRPr="000F2EFF" w:rsidTr="00E35D7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797B3C" w:rsidRPr="000F2EFF" w:rsidRDefault="00797B3C" w:rsidP="00E35D76">
            <w:r>
              <w:t>Years of schooling, head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3.10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2.40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393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2.76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2.56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346</w:t>
            </w:r>
          </w:p>
        </w:tc>
      </w:tr>
      <w:tr w:rsidR="00797B3C" w:rsidRPr="000F2EFF" w:rsidTr="00E35D7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797B3C" w:rsidRPr="000F2EFF" w:rsidRDefault="00797B3C" w:rsidP="00E35D76">
            <w:r>
              <w:t>Head speaks Portuguese? (1=yes)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0.54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0.50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393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0.68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0.47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339</w:t>
            </w:r>
          </w:p>
        </w:tc>
      </w:tr>
      <w:tr w:rsidR="00797B3C" w:rsidRPr="000F2EFF" w:rsidTr="00E35D7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797B3C" w:rsidRPr="000F2EFF" w:rsidRDefault="00797B3C" w:rsidP="00E35D76">
            <w:r>
              <w:t>Household size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5.85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1.82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393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7.09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2.14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342</w:t>
            </w:r>
          </w:p>
        </w:tc>
      </w:tr>
      <w:tr w:rsidR="00797B3C" w:rsidRPr="000F2EFF" w:rsidTr="00E35D7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797B3C" w:rsidRPr="000F2EFF" w:rsidRDefault="00797B3C" w:rsidP="00E35D76">
            <w:r>
              <w:t>Asset Index (PCA)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-0.50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1.57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393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0.58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1.58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B3C" w:rsidRPr="000F2EFF" w:rsidRDefault="00797B3C" w:rsidP="00E35D76">
            <w:pPr>
              <w:jc w:val="right"/>
            </w:pPr>
            <w:r>
              <w:t>341</w:t>
            </w:r>
          </w:p>
        </w:tc>
      </w:tr>
    </w:tbl>
    <w:p w:rsidR="00797B3C" w:rsidRPr="000F2EFF" w:rsidRDefault="00797B3C" w:rsidP="00797B3C">
      <w:pPr>
        <w:rPr>
          <w:sz w:val="24"/>
        </w:rPr>
      </w:pPr>
      <w:proofErr w:type="gramStart"/>
      <w:r>
        <w:rPr>
          <w:b/>
          <w:sz w:val="24"/>
        </w:rPr>
        <w:lastRenderedPageBreak/>
        <w:t xml:space="preserve">Supplementary </w:t>
      </w:r>
      <w:r w:rsidRPr="00DB7EE2">
        <w:rPr>
          <w:b/>
        </w:rPr>
        <w:t>Table 2</w:t>
      </w:r>
      <w:r>
        <w:rPr>
          <w:b/>
          <w:sz w:val="24"/>
        </w:rPr>
        <w:t>.</w:t>
      </w:r>
      <w:proofErr w:type="gramEnd"/>
      <w:r>
        <w:rPr>
          <w:sz w:val="24"/>
        </w:rPr>
        <w:t xml:space="preserve"> (</w:t>
      </w:r>
      <w:r>
        <w:rPr>
          <w:rStyle w:val="tabCite"/>
          <w:sz w:val="24"/>
        </w:rPr>
        <w:t>Table 4</w:t>
      </w:r>
      <w:r>
        <w:rPr>
          <w:sz w:val="24"/>
        </w:rPr>
        <w:t xml:space="preserve"> in </w:t>
      </w:r>
      <w:r>
        <w:rPr>
          <w:i/>
          <w:sz w:val="24"/>
        </w:rPr>
        <w:t>4</w:t>
      </w:r>
      <w:r>
        <w:rPr>
          <w:sz w:val="24"/>
        </w:rPr>
        <w:t xml:space="preserve">) Effectiveness of an intervention introducing orange sweet potato in rural Mozambique on mean intakes of vitamin A </w:t>
      </w:r>
      <w:proofErr w:type="spellStart"/>
      <w:r>
        <w:rPr>
          <w:sz w:val="24"/>
        </w:rPr>
        <w:t>μg</w:t>
      </w:r>
      <w:proofErr w:type="spellEnd"/>
      <w:r>
        <w:rPr>
          <w:sz w:val="24"/>
        </w:rPr>
        <w:t xml:space="preserve"> RAE, by source: analyses for within-round group comparisons and impact estimates accounted for the complex survey design by clustering at the community level and stratifying by district. Impact estimates represent intention-to-treat effects and were calculated as change in Model 1 or Model 2 group means minus change in control group mean, or change in Model 1 minus change in Model 2 group means (Means (SE)).</w:t>
      </w:r>
    </w:p>
    <w:tbl>
      <w:tblPr>
        <w:tblStyle w:val="TableGrid"/>
        <w:tblW w:w="5000" w:type="pct"/>
        <w:tblLook w:val="04A0"/>
      </w:tblPr>
      <w:tblGrid>
        <w:gridCol w:w="1388"/>
        <w:gridCol w:w="829"/>
        <w:gridCol w:w="781"/>
        <w:gridCol w:w="822"/>
        <w:gridCol w:w="222"/>
        <w:gridCol w:w="823"/>
        <w:gridCol w:w="823"/>
        <w:gridCol w:w="822"/>
        <w:gridCol w:w="222"/>
        <w:gridCol w:w="944"/>
        <w:gridCol w:w="944"/>
        <w:gridCol w:w="956"/>
      </w:tblGrid>
      <w:tr w:rsidR="00797B3C" w:rsidRPr="000F2EFF" w:rsidTr="00E35D76">
        <w:tc>
          <w:tcPr>
            <w:tcW w:w="740" w:type="pct"/>
          </w:tcPr>
          <w:p w:rsidR="00797B3C" w:rsidRPr="000F2EFF" w:rsidRDefault="00797B3C" w:rsidP="00E35D76">
            <w:pPr>
              <w:pStyle w:val="thead"/>
            </w:pPr>
          </w:p>
        </w:tc>
        <w:tc>
          <w:tcPr>
            <w:tcW w:w="1262" w:type="pct"/>
            <w:gridSpan w:val="3"/>
          </w:tcPr>
          <w:p w:rsidR="00797B3C" w:rsidRPr="000F2EFF" w:rsidRDefault="00797B3C" w:rsidP="00E35D76">
            <w:pPr>
              <w:pStyle w:val="thead"/>
            </w:pPr>
            <w:r>
              <w:t>Baseline†</w:t>
            </w:r>
          </w:p>
        </w:tc>
        <w:tc>
          <w:tcPr>
            <w:tcW w:w="79" w:type="pct"/>
          </w:tcPr>
          <w:p w:rsidR="00797B3C" w:rsidRPr="000F2EFF" w:rsidRDefault="00797B3C" w:rsidP="00E35D76">
            <w:pPr>
              <w:pStyle w:val="thead"/>
            </w:pPr>
          </w:p>
        </w:tc>
        <w:tc>
          <w:tcPr>
            <w:tcW w:w="1310" w:type="pct"/>
            <w:gridSpan w:val="3"/>
          </w:tcPr>
          <w:p w:rsidR="00797B3C" w:rsidRPr="000F2EFF" w:rsidRDefault="00797B3C" w:rsidP="00E35D76">
            <w:pPr>
              <w:pStyle w:val="thead"/>
            </w:pPr>
            <w:r>
              <w:t>Follow up†</w:t>
            </w:r>
          </w:p>
        </w:tc>
        <w:tc>
          <w:tcPr>
            <w:tcW w:w="79" w:type="pct"/>
          </w:tcPr>
          <w:p w:rsidR="00797B3C" w:rsidRPr="000F2EFF" w:rsidRDefault="00797B3C" w:rsidP="00E35D76">
            <w:pPr>
              <w:pStyle w:val="thead"/>
            </w:pPr>
          </w:p>
        </w:tc>
        <w:tc>
          <w:tcPr>
            <w:tcW w:w="1530" w:type="pct"/>
            <w:gridSpan w:val="3"/>
          </w:tcPr>
          <w:p w:rsidR="00797B3C" w:rsidRPr="000F2EFF" w:rsidRDefault="00797B3C" w:rsidP="00E35D76">
            <w:pPr>
              <w:pStyle w:val="thead"/>
            </w:pPr>
            <w:r>
              <w:t>Impact estimates‡</w:t>
            </w:r>
          </w:p>
        </w:tc>
      </w:tr>
      <w:tr w:rsidR="00797B3C" w:rsidRPr="000F2EFF" w:rsidTr="00E35D76">
        <w:tc>
          <w:tcPr>
            <w:tcW w:w="740" w:type="pct"/>
          </w:tcPr>
          <w:p w:rsidR="00797B3C" w:rsidRPr="000F2EFF" w:rsidRDefault="00797B3C" w:rsidP="00E35D76">
            <w:pPr>
              <w:pStyle w:val="thead"/>
            </w:pPr>
          </w:p>
        </w:tc>
        <w:tc>
          <w:tcPr>
            <w:tcW w:w="448" w:type="pct"/>
          </w:tcPr>
          <w:p w:rsidR="00797B3C" w:rsidRPr="000F2EFF" w:rsidRDefault="00797B3C" w:rsidP="00E35D76">
            <w:pPr>
              <w:pStyle w:val="thead"/>
            </w:pPr>
            <w:r>
              <w:t>Model 1</w:t>
            </w:r>
          </w:p>
        </w:tc>
        <w:tc>
          <w:tcPr>
            <w:tcW w:w="423" w:type="pct"/>
          </w:tcPr>
          <w:p w:rsidR="00797B3C" w:rsidRPr="000F2EFF" w:rsidRDefault="00797B3C" w:rsidP="00E35D76">
            <w:pPr>
              <w:pStyle w:val="thead"/>
            </w:pPr>
            <w:r>
              <w:t>Model 2</w:t>
            </w:r>
          </w:p>
        </w:tc>
        <w:tc>
          <w:tcPr>
            <w:tcW w:w="391" w:type="pct"/>
          </w:tcPr>
          <w:p w:rsidR="00797B3C" w:rsidRPr="000F2EFF" w:rsidRDefault="00797B3C" w:rsidP="00E35D76">
            <w:pPr>
              <w:pStyle w:val="thead"/>
            </w:pPr>
            <w:r>
              <w:t>Control</w:t>
            </w:r>
          </w:p>
        </w:tc>
        <w:tc>
          <w:tcPr>
            <w:tcW w:w="79" w:type="pct"/>
          </w:tcPr>
          <w:p w:rsidR="00797B3C" w:rsidRPr="000F2EFF" w:rsidRDefault="00797B3C" w:rsidP="00E35D76">
            <w:pPr>
              <w:pStyle w:val="thead"/>
            </w:pPr>
          </w:p>
        </w:tc>
        <w:tc>
          <w:tcPr>
            <w:tcW w:w="445" w:type="pct"/>
          </w:tcPr>
          <w:p w:rsidR="00797B3C" w:rsidRPr="000F2EFF" w:rsidRDefault="00797B3C" w:rsidP="00E35D76">
            <w:pPr>
              <w:pStyle w:val="thead"/>
            </w:pPr>
            <w:r>
              <w:t>Model 1</w:t>
            </w:r>
          </w:p>
        </w:tc>
        <w:tc>
          <w:tcPr>
            <w:tcW w:w="445" w:type="pct"/>
          </w:tcPr>
          <w:p w:rsidR="00797B3C" w:rsidRPr="000F2EFF" w:rsidRDefault="00797B3C" w:rsidP="00E35D76">
            <w:pPr>
              <w:pStyle w:val="thead"/>
            </w:pPr>
            <w:r>
              <w:t>Model 2</w:t>
            </w:r>
          </w:p>
        </w:tc>
        <w:tc>
          <w:tcPr>
            <w:tcW w:w="420" w:type="pct"/>
          </w:tcPr>
          <w:p w:rsidR="00797B3C" w:rsidRPr="000F2EFF" w:rsidRDefault="00797B3C" w:rsidP="00E35D76">
            <w:pPr>
              <w:pStyle w:val="thead"/>
            </w:pPr>
            <w:r>
              <w:t>Control</w:t>
            </w:r>
          </w:p>
        </w:tc>
        <w:tc>
          <w:tcPr>
            <w:tcW w:w="79" w:type="pct"/>
          </w:tcPr>
          <w:p w:rsidR="00797B3C" w:rsidRPr="000F2EFF" w:rsidRDefault="00797B3C" w:rsidP="00E35D76">
            <w:pPr>
              <w:pStyle w:val="thead"/>
            </w:pPr>
          </w:p>
        </w:tc>
        <w:tc>
          <w:tcPr>
            <w:tcW w:w="508" w:type="pct"/>
          </w:tcPr>
          <w:p w:rsidR="00797B3C" w:rsidRPr="000F2EFF" w:rsidRDefault="00797B3C" w:rsidP="00E35D76">
            <w:pPr>
              <w:pStyle w:val="thead"/>
            </w:pPr>
            <w:r>
              <w:t>Model 1 - Control</w:t>
            </w:r>
          </w:p>
        </w:tc>
        <w:tc>
          <w:tcPr>
            <w:tcW w:w="508" w:type="pct"/>
          </w:tcPr>
          <w:p w:rsidR="00797B3C" w:rsidRPr="000F2EFF" w:rsidRDefault="00797B3C" w:rsidP="00E35D76">
            <w:pPr>
              <w:pStyle w:val="thead"/>
            </w:pPr>
            <w:r>
              <w:t>Model 2 - Control</w:t>
            </w:r>
          </w:p>
        </w:tc>
        <w:tc>
          <w:tcPr>
            <w:tcW w:w="514" w:type="pct"/>
          </w:tcPr>
          <w:p w:rsidR="00797B3C" w:rsidRPr="000F2EFF" w:rsidRDefault="00797B3C" w:rsidP="00E35D76">
            <w:pPr>
              <w:pStyle w:val="thead"/>
            </w:pPr>
            <w:r>
              <w:t>Model 1 - Model 2</w:t>
            </w:r>
          </w:p>
        </w:tc>
      </w:tr>
      <w:tr w:rsidR="00797B3C" w:rsidRPr="000F2EFF" w:rsidTr="00E35D76">
        <w:tc>
          <w:tcPr>
            <w:tcW w:w="740" w:type="pct"/>
          </w:tcPr>
          <w:p w:rsidR="00797B3C" w:rsidRPr="000F2EFF" w:rsidRDefault="00797B3C" w:rsidP="00E35D76">
            <w:pPr>
              <w:rPr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Vit</w:t>
            </w:r>
            <w:proofErr w:type="spellEnd"/>
            <w:r>
              <w:rPr>
                <w:i/>
                <w:sz w:val="18"/>
                <w:szCs w:val="18"/>
              </w:rPr>
              <w:t>. A intakes (µg RAE</w:t>
            </w:r>
            <w:r>
              <w:rPr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</w:rPr>
              <w:t>d)</w:t>
            </w:r>
          </w:p>
        </w:tc>
        <w:tc>
          <w:tcPr>
            <w:tcW w:w="44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</w:tr>
      <w:tr w:rsidR="00797B3C" w:rsidRPr="000F2EFF" w:rsidTr="00E35D76">
        <w:tc>
          <w:tcPr>
            <w:tcW w:w="740" w:type="pct"/>
          </w:tcPr>
          <w:p w:rsidR="00797B3C" w:rsidRPr="000F2EFF" w:rsidRDefault="00797B3C" w:rsidP="00E35D76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Children 6-35 m</w:t>
            </w:r>
          </w:p>
          <w:p w:rsidR="00797B3C" w:rsidRPr="000F2EFF" w:rsidRDefault="00797B3C" w:rsidP="00E35D76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at baseline</w:t>
            </w:r>
          </w:p>
        </w:tc>
        <w:tc>
          <w:tcPr>
            <w:tcW w:w="44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</w:tr>
      <w:tr w:rsidR="00797B3C" w:rsidRPr="000F2EFF" w:rsidTr="00E35D76">
        <w:tc>
          <w:tcPr>
            <w:tcW w:w="740" w:type="pct"/>
          </w:tcPr>
          <w:p w:rsidR="00797B3C" w:rsidRPr="000F2EFF" w:rsidRDefault="00797B3C" w:rsidP="00E35D76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44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423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391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79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445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420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79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50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514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</w:tr>
      <w:tr w:rsidR="00797B3C" w:rsidRPr="000F2EFF" w:rsidTr="00E35D76">
        <w:tc>
          <w:tcPr>
            <w:tcW w:w="740" w:type="pct"/>
          </w:tcPr>
          <w:p w:rsidR="00797B3C" w:rsidRPr="000F2EFF" w:rsidRDefault="00797B3C" w:rsidP="00E35D76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44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204.3 (21.6)</w:t>
            </w:r>
          </w:p>
        </w:tc>
        <w:tc>
          <w:tcPr>
            <w:tcW w:w="423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198.8 (31.8)</w:t>
            </w:r>
          </w:p>
        </w:tc>
        <w:tc>
          <w:tcPr>
            <w:tcW w:w="391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187.8 (21.2)</w:t>
            </w:r>
          </w:p>
        </w:tc>
        <w:tc>
          <w:tcPr>
            <w:tcW w:w="79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612.9 (43.4)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45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570.7 (57.9)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20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350.2 (67.5)</w:t>
            </w:r>
            <w:r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9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253.7 (91.7)**</w:t>
            </w:r>
          </w:p>
        </w:tc>
        <w:tc>
          <w:tcPr>
            <w:tcW w:w="50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216.3 (99.1)*</w:t>
            </w:r>
          </w:p>
        </w:tc>
        <w:tc>
          <w:tcPr>
            <w:tcW w:w="514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37.5 (92.4)</w:t>
            </w:r>
          </w:p>
        </w:tc>
      </w:tr>
      <w:tr w:rsidR="00797B3C" w:rsidRPr="000F2EFF" w:rsidTr="00E35D76">
        <w:tc>
          <w:tcPr>
            <w:tcW w:w="740" w:type="pct"/>
          </w:tcPr>
          <w:p w:rsidR="00797B3C" w:rsidRPr="000F2EFF" w:rsidRDefault="00797B3C" w:rsidP="00E35D76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Total- adjusted§</w:t>
            </w:r>
          </w:p>
        </w:tc>
        <w:tc>
          <w:tcPr>
            <w:tcW w:w="44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223.8 (16.9)</w:t>
            </w:r>
          </w:p>
        </w:tc>
        <w:tc>
          <w:tcPr>
            <w:tcW w:w="423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209.6 (11.7)</w:t>
            </w:r>
          </w:p>
        </w:tc>
        <w:tc>
          <w:tcPr>
            <w:tcW w:w="391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209.6 (4.3)</w:t>
            </w:r>
          </w:p>
        </w:tc>
        <w:tc>
          <w:tcPr>
            <w:tcW w:w="79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540.7 (23.1)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45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533.0 (16.6)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20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323.5 (6.1)</w:t>
            </w:r>
            <w:r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9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202.1 (36.3)**</w:t>
            </w:r>
          </w:p>
        </w:tc>
        <w:tc>
          <w:tcPr>
            <w:tcW w:w="50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206.8 (26.1)**</w:t>
            </w:r>
          </w:p>
        </w:tc>
        <w:tc>
          <w:tcPr>
            <w:tcW w:w="514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-4.7 (43.3)</w:t>
            </w:r>
          </w:p>
        </w:tc>
      </w:tr>
      <w:tr w:rsidR="00797B3C" w:rsidRPr="000F2EFF" w:rsidTr="00E35D76">
        <w:tc>
          <w:tcPr>
            <w:tcW w:w="740" w:type="pct"/>
          </w:tcPr>
          <w:p w:rsidR="00797B3C" w:rsidRPr="000F2EFF" w:rsidRDefault="00797B3C" w:rsidP="00E35D76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OSP source</w:t>
            </w:r>
          </w:p>
        </w:tc>
        <w:tc>
          <w:tcPr>
            <w:tcW w:w="44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 (1.6)</w:t>
            </w:r>
          </w:p>
        </w:tc>
        <w:tc>
          <w:tcPr>
            <w:tcW w:w="423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 (4.4)</w:t>
            </w:r>
          </w:p>
        </w:tc>
        <w:tc>
          <w:tcPr>
            <w:tcW w:w="391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 (0.0)</w:t>
            </w:r>
          </w:p>
        </w:tc>
        <w:tc>
          <w:tcPr>
            <w:tcW w:w="79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478.2 (41.8)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45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417.3 (55.8)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20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188.3 (54.1)</w:t>
            </w:r>
            <w:r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9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280.6 (74.0)**</w:t>
            </w:r>
          </w:p>
        </w:tc>
        <w:tc>
          <w:tcPr>
            <w:tcW w:w="50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222.7 (76.6)**</w:t>
            </w:r>
          </w:p>
        </w:tc>
        <w:tc>
          <w:tcPr>
            <w:tcW w:w="514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57.9 (71.7)</w:t>
            </w:r>
          </w:p>
        </w:tc>
      </w:tr>
      <w:tr w:rsidR="00797B3C" w:rsidRPr="000F2EFF" w:rsidTr="00E35D76">
        <w:tc>
          <w:tcPr>
            <w:tcW w:w="740" w:type="pct"/>
          </w:tcPr>
          <w:p w:rsidR="00797B3C" w:rsidRPr="000F2EFF" w:rsidRDefault="00797B3C" w:rsidP="00E35D76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Non-OSP source</w:t>
            </w:r>
          </w:p>
        </w:tc>
        <w:tc>
          <w:tcPr>
            <w:tcW w:w="44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202.5 (21.9)</w:t>
            </w:r>
          </w:p>
        </w:tc>
        <w:tc>
          <w:tcPr>
            <w:tcW w:w="423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194.2 (29.0)</w:t>
            </w:r>
          </w:p>
        </w:tc>
        <w:tc>
          <w:tcPr>
            <w:tcW w:w="391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187.8 (21.2)</w:t>
            </w:r>
          </w:p>
        </w:tc>
        <w:tc>
          <w:tcPr>
            <w:tcW w:w="79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134.7 (10.5)</w:t>
            </w:r>
          </w:p>
        </w:tc>
        <w:tc>
          <w:tcPr>
            <w:tcW w:w="445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153.4 (16.4)</w:t>
            </w:r>
          </w:p>
        </w:tc>
        <w:tc>
          <w:tcPr>
            <w:tcW w:w="420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162.0 (29.0)</w:t>
            </w:r>
          </w:p>
        </w:tc>
        <w:tc>
          <w:tcPr>
            <w:tcW w:w="79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-26.9 (46.0)</w:t>
            </w:r>
          </w:p>
        </w:tc>
        <w:tc>
          <w:tcPr>
            <w:tcW w:w="50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-6.4 (50.2)</w:t>
            </w:r>
          </w:p>
        </w:tc>
        <w:tc>
          <w:tcPr>
            <w:tcW w:w="514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-20.5 (44.1)</w:t>
            </w:r>
          </w:p>
        </w:tc>
      </w:tr>
      <w:tr w:rsidR="00797B3C" w:rsidRPr="000F2EFF" w:rsidTr="00E35D76">
        <w:tc>
          <w:tcPr>
            <w:tcW w:w="740" w:type="pct"/>
          </w:tcPr>
          <w:p w:rsidR="00797B3C" w:rsidRPr="000F2EFF" w:rsidRDefault="00797B3C" w:rsidP="00E35D76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Children 6-35 m</w:t>
            </w:r>
          </w:p>
          <w:p w:rsidR="00797B3C" w:rsidRPr="000F2EFF" w:rsidRDefault="00797B3C" w:rsidP="00E35D76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at follow up</w:t>
            </w:r>
          </w:p>
        </w:tc>
        <w:tc>
          <w:tcPr>
            <w:tcW w:w="44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</w:tr>
      <w:tr w:rsidR="00797B3C" w:rsidRPr="000F2EFF" w:rsidTr="00E35D76">
        <w:tc>
          <w:tcPr>
            <w:tcW w:w="740" w:type="pct"/>
          </w:tcPr>
          <w:p w:rsidR="00797B3C" w:rsidRPr="000F2EFF" w:rsidRDefault="00797B3C" w:rsidP="00E35D76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44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3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445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420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79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50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514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</w:tr>
      <w:tr w:rsidR="00797B3C" w:rsidRPr="000F2EFF" w:rsidTr="00E35D76">
        <w:tc>
          <w:tcPr>
            <w:tcW w:w="740" w:type="pct"/>
          </w:tcPr>
          <w:p w:rsidR="00797B3C" w:rsidRPr="000F2EFF" w:rsidRDefault="00797B3C" w:rsidP="00E35D76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44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3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430.2 (70.6)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45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380.8 (59.4)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20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170.2 (46.0)</w:t>
            </w:r>
            <w:r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9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263.2 (107.8)*</w:t>
            </w:r>
          </w:p>
        </w:tc>
        <w:tc>
          <w:tcPr>
            <w:tcW w:w="508" w:type="pct"/>
          </w:tcPr>
          <w:p w:rsidR="00797B3C" w:rsidRPr="000F2EFF" w:rsidRDefault="00797B3C" w:rsidP="00E35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191.4 (93.3)*</w:t>
            </w:r>
          </w:p>
        </w:tc>
        <w:tc>
          <w:tcPr>
            <w:tcW w:w="514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71.7 (108.7)</w:t>
            </w:r>
          </w:p>
        </w:tc>
      </w:tr>
      <w:tr w:rsidR="00797B3C" w:rsidRPr="000F2EFF" w:rsidTr="00E35D76">
        <w:tc>
          <w:tcPr>
            <w:tcW w:w="740" w:type="pct"/>
          </w:tcPr>
          <w:p w:rsidR="00797B3C" w:rsidRPr="000F2EFF" w:rsidRDefault="00797B3C" w:rsidP="00E35D76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– adjusted§</w:t>
            </w:r>
          </w:p>
        </w:tc>
        <w:tc>
          <w:tcPr>
            <w:tcW w:w="44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3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410.3 (36.5)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45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377.6 (26.4)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20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146.5 (13.3)</w:t>
            </w:r>
            <w:r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9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261.4 (48.7)**</w:t>
            </w:r>
          </w:p>
        </w:tc>
        <w:tc>
          <w:tcPr>
            <w:tcW w:w="50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232.3 (30.3)**</w:t>
            </w:r>
          </w:p>
        </w:tc>
        <w:tc>
          <w:tcPr>
            <w:tcW w:w="514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 (51.9)</w:t>
            </w:r>
          </w:p>
        </w:tc>
      </w:tr>
      <w:tr w:rsidR="00797B3C" w:rsidRPr="000F2EFF" w:rsidTr="00E35D76">
        <w:tc>
          <w:tcPr>
            <w:tcW w:w="740" w:type="pct"/>
          </w:tcPr>
          <w:p w:rsidR="00797B3C" w:rsidRPr="000F2EFF" w:rsidRDefault="00797B3C" w:rsidP="00E35D76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OSP source</w:t>
            </w:r>
          </w:p>
        </w:tc>
        <w:tc>
          <w:tcPr>
            <w:tcW w:w="44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3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359.5 (69.7)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45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273.6 (51.4)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20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73.5 (37.9)</w:t>
            </w:r>
            <w:r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9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295.0 (85.7)**</w:t>
            </w:r>
          </w:p>
        </w:tc>
        <w:tc>
          <w:tcPr>
            <w:tcW w:w="50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180.6 (68.2)**</w:t>
            </w:r>
          </w:p>
        </w:tc>
        <w:tc>
          <w:tcPr>
            <w:tcW w:w="514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114.4 (90.6)</w:t>
            </w:r>
          </w:p>
        </w:tc>
      </w:tr>
      <w:tr w:rsidR="00797B3C" w:rsidRPr="000F2EFF" w:rsidTr="00E35D76">
        <w:tc>
          <w:tcPr>
            <w:tcW w:w="740" w:type="pct"/>
          </w:tcPr>
          <w:p w:rsidR="00797B3C" w:rsidRPr="000F2EFF" w:rsidRDefault="00797B3C" w:rsidP="00E35D76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Non-OSP source</w:t>
            </w:r>
          </w:p>
        </w:tc>
        <w:tc>
          <w:tcPr>
            <w:tcW w:w="44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3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70.7 (9.0)</w:t>
            </w:r>
          </w:p>
        </w:tc>
        <w:tc>
          <w:tcPr>
            <w:tcW w:w="445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107.3 (21.3)</w:t>
            </w:r>
          </w:p>
        </w:tc>
        <w:tc>
          <w:tcPr>
            <w:tcW w:w="420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96.6 (13.9)</w:t>
            </w:r>
          </w:p>
        </w:tc>
        <w:tc>
          <w:tcPr>
            <w:tcW w:w="79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-31.8 (38.1)</w:t>
            </w:r>
          </w:p>
        </w:tc>
        <w:tc>
          <w:tcPr>
            <w:tcW w:w="50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 (42.9)</w:t>
            </w:r>
          </w:p>
        </w:tc>
        <w:tc>
          <w:tcPr>
            <w:tcW w:w="514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-42.7 (38.3)</w:t>
            </w:r>
          </w:p>
        </w:tc>
      </w:tr>
      <w:tr w:rsidR="00797B3C" w:rsidRPr="000F2EFF" w:rsidTr="00E35D76">
        <w:tc>
          <w:tcPr>
            <w:tcW w:w="740" w:type="pct"/>
          </w:tcPr>
          <w:p w:rsidR="00797B3C" w:rsidRPr="000F2EFF" w:rsidRDefault="00797B3C" w:rsidP="00E35D76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Women</w:t>
            </w:r>
          </w:p>
        </w:tc>
        <w:tc>
          <w:tcPr>
            <w:tcW w:w="44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</w:tr>
      <w:tr w:rsidR="00797B3C" w:rsidRPr="000F2EFF" w:rsidTr="00E35D76">
        <w:trPr>
          <w:trHeight w:val="108"/>
        </w:trPr>
        <w:tc>
          <w:tcPr>
            <w:tcW w:w="740" w:type="pct"/>
          </w:tcPr>
          <w:p w:rsidR="00797B3C" w:rsidRPr="000F2EFF" w:rsidRDefault="00797B3C" w:rsidP="00E35D76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44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423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391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79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445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420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79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50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514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</w:tr>
      <w:tr w:rsidR="00797B3C" w:rsidRPr="000F2EFF" w:rsidTr="00E35D76">
        <w:trPr>
          <w:trHeight w:val="180"/>
        </w:trPr>
        <w:tc>
          <w:tcPr>
            <w:tcW w:w="740" w:type="pct"/>
          </w:tcPr>
          <w:p w:rsidR="00797B3C" w:rsidRPr="000F2EFF" w:rsidRDefault="00797B3C" w:rsidP="00E35D76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44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504.4 (42.8)</w:t>
            </w:r>
          </w:p>
        </w:tc>
        <w:tc>
          <w:tcPr>
            <w:tcW w:w="423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523.7 (87.6)</w:t>
            </w:r>
          </w:p>
        </w:tc>
        <w:tc>
          <w:tcPr>
            <w:tcW w:w="391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541.3 (70.6)</w:t>
            </w:r>
          </w:p>
        </w:tc>
        <w:tc>
          <w:tcPr>
            <w:tcW w:w="79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1053.9 (141.4)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45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1240.2 (141.0)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20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599.2 (115.9)</w:t>
            </w:r>
            <w:r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9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491.7 (192.7)*</w:t>
            </w:r>
          </w:p>
        </w:tc>
        <w:tc>
          <w:tcPr>
            <w:tcW w:w="50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658.6 (194.3)**</w:t>
            </w:r>
          </w:p>
        </w:tc>
        <w:tc>
          <w:tcPr>
            <w:tcW w:w="514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-167.0 (215.5)</w:t>
            </w:r>
          </w:p>
        </w:tc>
      </w:tr>
      <w:tr w:rsidR="00797B3C" w:rsidRPr="000F2EFF" w:rsidTr="00E35D76">
        <w:tc>
          <w:tcPr>
            <w:tcW w:w="740" w:type="pct"/>
          </w:tcPr>
          <w:p w:rsidR="00797B3C" w:rsidRPr="000F2EFF" w:rsidRDefault="00797B3C" w:rsidP="00E35D76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– adjusted§</w:t>
            </w:r>
          </w:p>
        </w:tc>
        <w:tc>
          <w:tcPr>
            <w:tcW w:w="44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463.0 (16.9)</w:t>
            </w:r>
          </w:p>
        </w:tc>
        <w:tc>
          <w:tcPr>
            <w:tcW w:w="423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450.1 (26.9)</w:t>
            </w:r>
          </w:p>
        </w:tc>
        <w:tc>
          <w:tcPr>
            <w:tcW w:w="391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478.3 (24.4)</w:t>
            </w:r>
          </w:p>
        </w:tc>
        <w:tc>
          <w:tcPr>
            <w:tcW w:w="79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866.0 (69.2)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45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964.4 (65.0)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20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660.3 (57.9)</w:t>
            </w:r>
            <w:r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9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221.0 (96.0)**</w:t>
            </w:r>
          </w:p>
        </w:tc>
        <w:tc>
          <w:tcPr>
            <w:tcW w:w="50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332.4 (89.3)**</w:t>
            </w:r>
          </w:p>
        </w:tc>
        <w:tc>
          <w:tcPr>
            <w:tcW w:w="514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-111.3 (98.7)</w:t>
            </w:r>
          </w:p>
        </w:tc>
      </w:tr>
      <w:tr w:rsidR="00797B3C" w:rsidRPr="000F2EFF" w:rsidTr="00E35D76">
        <w:trPr>
          <w:trHeight w:val="207"/>
        </w:trPr>
        <w:tc>
          <w:tcPr>
            <w:tcW w:w="740" w:type="pct"/>
          </w:tcPr>
          <w:p w:rsidR="00797B3C" w:rsidRPr="000F2EFF" w:rsidRDefault="00797B3C" w:rsidP="00E35D76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OSP source</w:t>
            </w:r>
          </w:p>
        </w:tc>
        <w:tc>
          <w:tcPr>
            <w:tcW w:w="44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 (8.8)</w:t>
            </w:r>
          </w:p>
        </w:tc>
        <w:tc>
          <w:tcPr>
            <w:tcW w:w="423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 (8.7)</w:t>
            </w:r>
          </w:p>
        </w:tc>
        <w:tc>
          <w:tcPr>
            <w:tcW w:w="391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21.6 (21.0)</w:t>
            </w:r>
          </w:p>
        </w:tc>
        <w:tc>
          <w:tcPr>
            <w:tcW w:w="79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861.0 (137.0)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45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967.1 (123.0)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20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294.7 (91.5)</w:t>
            </w:r>
            <w:r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9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578.3 (159.4)**</w:t>
            </w:r>
          </w:p>
        </w:tc>
        <w:tc>
          <w:tcPr>
            <w:tcW w:w="50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685.0 (148.9)**</w:t>
            </w:r>
          </w:p>
        </w:tc>
        <w:tc>
          <w:tcPr>
            <w:tcW w:w="514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-106.7 (182.4)</w:t>
            </w:r>
          </w:p>
        </w:tc>
      </w:tr>
      <w:tr w:rsidR="00797B3C" w:rsidRPr="000F2EFF" w:rsidTr="00E35D76">
        <w:tc>
          <w:tcPr>
            <w:tcW w:w="740" w:type="pct"/>
          </w:tcPr>
          <w:p w:rsidR="00797B3C" w:rsidRPr="000F2EFF" w:rsidRDefault="00797B3C" w:rsidP="00E35D76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Non-OSP source</w:t>
            </w:r>
          </w:p>
        </w:tc>
        <w:tc>
          <w:tcPr>
            <w:tcW w:w="44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494.7 (44.2)</w:t>
            </w:r>
          </w:p>
        </w:tc>
        <w:tc>
          <w:tcPr>
            <w:tcW w:w="423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514.6 (83.5)</w:t>
            </w:r>
          </w:p>
        </w:tc>
        <w:tc>
          <w:tcPr>
            <w:tcW w:w="391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519.7 (65.8)</w:t>
            </w:r>
          </w:p>
        </w:tc>
        <w:tc>
          <w:tcPr>
            <w:tcW w:w="79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192.9 (30.9)</w:t>
            </w:r>
          </w:p>
        </w:tc>
        <w:tc>
          <w:tcPr>
            <w:tcW w:w="445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273.1 (40.5)</w:t>
            </w:r>
          </w:p>
        </w:tc>
        <w:tc>
          <w:tcPr>
            <w:tcW w:w="420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304.5 (48.9)</w:t>
            </w:r>
          </w:p>
        </w:tc>
        <w:tc>
          <w:tcPr>
            <w:tcW w:w="79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-86.6 (101.5)</w:t>
            </w:r>
          </w:p>
        </w:tc>
        <w:tc>
          <w:tcPr>
            <w:tcW w:w="508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-26.4 (131.2)</w:t>
            </w:r>
          </w:p>
        </w:tc>
        <w:tc>
          <w:tcPr>
            <w:tcW w:w="514" w:type="pct"/>
          </w:tcPr>
          <w:p w:rsidR="00797B3C" w:rsidRPr="000F2EFF" w:rsidRDefault="00797B3C" w:rsidP="00E35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-60.2 (117.9)</w:t>
            </w:r>
          </w:p>
        </w:tc>
      </w:tr>
    </w:tbl>
    <w:p w:rsidR="00797B3C" w:rsidRPr="000F2EFF" w:rsidRDefault="00797B3C" w:rsidP="00797B3C">
      <w:proofErr w:type="gramStart"/>
      <w:r>
        <w:t>RAE, Retinol Activity Equivalents; OSP, Orange sweet potato.</w:t>
      </w:r>
      <w:proofErr w:type="gramEnd"/>
    </w:p>
    <w:p w:rsidR="00797B3C" w:rsidRPr="000F2EFF" w:rsidRDefault="00797B3C" w:rsidP="00797B3C">
      <w:r>
        <w:lastRenderedPageBreak/>
        <w:t>†Tests at baseline and follow up represent pair-wise comparisons of means within survey round. Mean values within a row for each of the baseline or follow up surveys with unlike superscript letters were significantly different (</w:t>
      </w:r>
      <w:r>
        <w:rPr>
          <w:i/>
        </w:rPr>
        <w:t>P</w:t>
      </w:r>
      <w:r>
        <w:t xml:space="preserve"> &lt;0.05).</w:t>
      </w:r>
    </w:p>
    <w:p w:rsidR="00797B3C" w:rsidRPr="000F2EFF" w:rsidRDefault="00797B3C" w:rsidP="00797B3C">
      <w:r>
        <w:t>‡Mean values were significantly different from those of the stated comparison groups: *</w:t>
      </w:r>
      <w:r>
        <w:rPr>
          <w:i/>
        </w:rPr>
        <w:t>P</w:t>
      </w:r>
      <w:r>
        <w:t>&lt;0.05, **</w:t>
      </w:r>
      <w:r>
        <w:rPr>
          <w:i/>
        </w:rPr>
        <w:t>P</w:t>
      </w:r>
      <w:r>
        <w:t xml:space="preserve">&lt;0.01. Tests control for group differences in height-for-age Z score at </w:t>
      </w:r>
      <w:proofErr w:type="gramStart"/>
      <w:r>
        <w:t>baseline,</w:t>
      </w:r>
      <w:proofErr w:type="gramEnd"/>
      <w:r>
        <w:t xml:space="preserve"> and for the presence of volunteer community-level promoters in households included in the survey.</w:t>
      </w:r>
    </w:p>
    <w:p w:rsidR="00797B3C" w:rsidRDefault="00797B3C" w:rsidP="00797B3C">
      <w:r>
        <w:t>§</w:t>
      </w:r>
      <w:r>
        <w:rPr>
          <w:vertAlign w:val="superscript"/>
        </w:rPr>
        <w:t xml:space="preserve"> </w:t>
      </w:r>
      <w:r>
        <w:t>Mean vitamin A intakes calculated from a distribution corrected for intra-individual variation, based on a second day of dietary recall data in a subset of individuals. All other intakes presented are unadjusted and derived directly from a single day of dietary recall data per individual. Adjusted data were calculated for a subset of the longitudinal cohort of non-breastfed reference children 12-35 months of age at baseline (baseline sample size: Model 1, n=60; Model 2 n=69; Control, n=60; follow up sample size: Model 1, n=63; Model 2, n=58; Control, n=60), a subset of the cross-sectional group of young children 12-35 months of age at follow up (follow up sample size, Model 1, n=55; Model 2, n=56, Control, n=47). The sample size for the longitudinal group of women was the same as presented for unadjusted vitamin A intake data.</w:t>
      </w:r>
    </w:p>
    <w:p w:rsidR="00FA69A7" w:rsidRDefault="00FA69A7"/>
    <w:sectPr w:rsidR="00FA69A7" w:rsidSect="006E2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797B3C"/>
    <w:rsid w:val="00002585"/>
    <w:rsid w:val="00020C0C"/>
    <w:rsid w:val="00020E84"/>
    <w:rsid w:val="00025234"/>
    <w:rsid w:val="0002585A"/>
    <w:rsid w:val="00032B24"/>
    <w:rsid w:val="000405F3"/>
    <w:rsid w:val="0004125E"/>
    <w:rsid w:val="0004393E"/>
    <w:rsid w:val="000463B4"/>
    <w:rsid w:val="000517EF"/>
    <w:rsid w:val="0007435F"/>
    <w:rsid w:val="00083331"/>
    <w:rsid w:val="000862CE"/>
    <w:rsid w:val="00093192"/>
    <w:rsid w:val="000C174E"/>
    <w:rsid w:val="000C1C83"/>
    <w:rsid w:val="000C6AD5"/>
    <w:rsid w:val="000D6816"/>
    <w:rsid w:val="000F344F"/>
    <w:rsid w:val="0010668E"/>
    <w:rsid w:val="00107BF9"/>
    <w:rsid w:val="00113EE0"/>
    <w:rsid w:val="00117875"/>
    <w:rsid w:val="0012121B"/>
    <w:rsid w:val="00121F85"/>
    <w:rsid w:val="00123161"/>
    <w:rsid w:val="0012513C"/>
    <w:rsid w:val="00140970"/>
    <w:rsid w:val="00146B40"/>
    <w:rsid w:val="00146F7B"/>
    <w:rsid w:val="00157F20"/>
    <w:rsid w:val="00160A91"/>
    <w:rsid w:val="001658AF"/>
    <w:rsid w:val="00186E70"/>
    <w:rsid w:val="00192D53"/>
    <w:rsid w:val="001930D6"/>
    <w:rsid w:val="001956F1"/>
    <w:rsid w:val="001A0706"/>
    <w:rsid w:val="001B14F7"/>
    <w:rsid w:val="001C2672"/>
    <w:rsid w:val="001C4B2B"/>
    <w:rsid w:val="001C69D3"/>
    <w:rsid w:val="001D62D3"/>
    <w:rsid w:val="001E5F13"/>
    <w:rsid w:val="00215BE1"/>
    <w:rsid w:val="00223EF8"/>
    <w:rsid w:val="0023310F"/>
    <w:rsid w:val="002409B1"/>
    <w:rsid w:val="00241447"/>
    <w:rsid w:val="00243071"/>
    <w:rsid w:val="0025149F"/>
    <w:rsid w:val="00251574"/>
    <w:rsid w:val="00265F61"/>
    <w:rsid w:val="00272F6B"/>
    <w:rsid w:val="00275A6F"/>
    <w:rsid w:val="00291C33"/>
    <w:rsid w:val="00291F37"/>
    <w:rsid w:val="002A315B"/>
    <w:rsid w:val="002A7D6D"/>
    <w:rsid w:val="002B0792"/>
    <w:rsid w:val="002B4A9D"/>
    <w:rsid w:val="002C031D"/>
    <w:rsid w:val="002D26E8"/>
    <w:rsid w:val="002E2782"/>
    <w:rsid w:val="002E3D38"/>
    <w:rsid w:val="002E4B65"/>
    <w:rsid w:val="002E7428"/>
    <w:rsid w:val="002E765A"/>
    <w:rsid w:val="002F7C55"/>
    <w:rsid w:val="002F7DAC"/>
    <w:rsid w:val="003008A3"/>
    <w:rsid w:val="00310E89"/>
    <w:rsid w:val="003147BD"/>
    <w:rsid w:val="00323B42"/>
    <w:rsid w:val="003248D8"/>
    <w:rsid w:val="0033200A"/>
    <w:rsid w:val="00352A99"/>
    <w:rsid w:val="003534F5"/>
    <w:rsid w:val="003611E1"/>
    <w:rsid w:val="00374743"/>
    <w:rsid w:val="00394DC8"/>
    <w:rsid w:val="003A34D9"/>
    <w:rsid w:val="003B3C91"/>
    <w:rsid w:val="003B4032"/>
    <w:rsid w:val="003C01A5"/>
    <w:rsid w:val="003C6A41"/>
    <w:rsid w:val="003D542E"/>
    <w:rsid w:val="003D61A8"/>
    <w:rsid w:val="003E2810"/>
    <w:rsid w:val="003E32C5"/>
    <w:rsid w:val="003E52D9"/>
    <w:rsid w:val="003E726C"/>
    <w:rsid w:val="003F65E0"/>
    <w:rsid w:val="00406EF5"/>
    <w:rsid w:val="004117C2"/>
    <w:rsid w:val="00411B47"/>
    <w:rsid w:val="00414717"/>
    <w:rsid w:val="00423EF2"/>
    <w:rsid w:val="00427E3A"/>
    <w:rsid w:val="00443D3C"/>
    <w:rsid w:val="00447807"/>
    <w:rsid w:val="00451B6D"/>
    <w:rsid w:val="00455E8A"/>
    <w:rsid w:val="004647FD"/>
    <w:rsid w:val="004817A8"/>
    <w:rsid w:val="004829C6"/>
    <w:rsid w:val="004913D8"/>
    <w:rsid w:val="004A21D3"/>
    <w:rsid w:val="004B143D"/>
    <w:rsid w:val="004B38C9"/>
    <w:rsid w:val="004C150F"/>
    <w:rsid w:val="004C622B"/>
    <w:rsid w:val="004E4E5D"/>
    <w:rsid w:val="004F0366"/>
    <w:rsid w:val="004F0872"/>
    <w:rsid w:val="004F3667"/>
    <w:rsid w:val="00500611"/>
    <w:rsid w:val="00501DED"/>
    <w:rsid w:val="00503CDC"/>
    <w:rsid w:val="005060F2"/>
    <w:rsid w:val="0050775A"/>
    <w:rsid w:val="0051340F"/>
    <w:rsid w:val="00514507"/>
    <w:rsid w:val="00515F51"/>
    <w:rsid w:val="00523B87"/>
    <w:rsid w:val="00533C7B"/>
    <w:rsid w:val="005445AB"/>
    <w:rsid w:val="005445DE"/>
    <w:rsid w:val="00545831"/>
    <w:rsid w:val="00552199"/>
    <w:rsid w:val="00554C20"/>
    <w:rsid w:val="00560453"/>
    <w:rsid w:val="005874F0"/>
    <w:rsid w:val="00591416"/>
    <w:rsid w:val="005C5F10"/>
    <w:rsid w:val="005F22D0"/>
    <w:rsid w:val="0060237F"/>
    <w:rsid w:val="00612125"/>
    <w:rsid w:val="00614C40"/>
    <w:rsid w:val="00616B90"/>
    <w:rsid w:val="00621F4E"/>
    <w:rsid w:val="00633940"/>
    <w:rsid w:val="006344DA"/>
    <w:rsid w:val="00641054"/>
    <w:rsid w:val="00642411"/>
    <w:rsid w:val="00644C30"/>
    <w:rsid w:val="00647D42"/>
    <w:rsid w:val="006535DF"/>
    <w:rsid w:val="006558C6"/>
    <w:rsid w:val="00656D5F"/>
    <w:rsid w:val="00664AF3"/>
    <w:rsid w:val="00665ECB"/>
    <w:rsid w:val="006735D9"/>
    <w:rsid w:val="00686395"/>
    <w:rsid w:val="00687171"/>
    <w:rsid w:val="00687EE2"/>
    <w:rsid w:val="00694263"/>
    <w:rsid w:val="006A06ED"/>
    <w:rsid w:val="006A6E89"/>
    <w:rsid w:val="006B280F"/>
    <w:rsid w:val="006D1536"/>
    <w:rsid w:val="006D7E4D"/>
    <w:rsid w:val="006E0731"/>
    <w:rsid w:val="006E443E"/>
    <w:rsid w:val="006E6F2B"/>
    <w:rsid w:val="006F1D3D"/>
    <w:rsid w:val="006F7E7A"/>
    <w:rsid w:val="00714648"/>
    <w:rsid w:val="007166F2"/>
    <w:rsid w:val="007216AF"/>
    <w:rsid w:val="00721CDF"/>
    <w:rsid w:val="007234EC"/>
    <w:rsid w:val="007237A7"/>
    <w:rsid w:val="007259A3"/>
    <w:rsid w:val="00731A39"/>
    <w:rsid w:val="00731F4F"/>
    <w:rsid w:val="00745312"/>
    <w:rsid w:val="00753B0D"/>
    <w:rsid w:val="00791F13"/>
    <w:rsid w:val="00797B3C"/>
    <w:rsid w:val="007A0ABC"/>
    <w:rsid w:val="007C2AA0"/>
    <w:rsid w:val="007C74FC"/>
    <w:rsid w:val="00833862"/>
    <w:rsid w:val="00834D02"/>
    <w:rsid w:val="00864AA3"/>
    <w:rsid w:val="00870B54"/>
    <w:rsid w:val="0087149E"/>
    <w:rsid w:val="00871DE9"/>
    <w:rsid w:val="00875FF0"/>
    <w:rsid w:val="00876419"/>
    <w:rsid w:val="008812A4"/>
    <w:rsid w:val="00886B6A"/>
    <w:rsid w:val="00892EFC"/>
    <w:rsid w:val="0089356F"/>
    <w:rsid w:val="008954C7"/>
    <w:rsid w:val="008B5F65"/>
    <w:rsid w:val="008C78DD"/>
    <w:rsid w:val="008F4E54"/>
    <w:rsid w:val="00901436"/>
    <w:rsid w:val="009060BD"/>
    <w:rsid w:val="00915490"/>
    <w:rsid w:val="00927400"/>
    <w:rsid w:val="0093152E"/>
    <w:rsid w:val="00932976"/>
    <w:rsid w:val="00934D09"/>
    <w:rsid w:val="00934EB2"/>
    <w:rsid w:val="00937F68"/>
    <w:rsid w:val="00950084"/>
    <w:rsid w:val="00950AFE"/>
    <w:rsid w:val="00956A4D"/>
    <w:rsid w:val="00966B95"/>
    <w:rsid w:val="00966E0D"/>
    <w:rsid w:val="00975417"/>
    <w:rsid w:val="00984509"/>
    <w:rsid w:val="0099082E"/>
    <w:rsid w:val="0099235C"/>
    <w:rsid w:val="0099751F"/>
    <w:rsid w:val="009A27C1"/>
    <w:rsid w:val="009B1F98"/>
    <w:rsid w:val="009B4E51"/>
    <w:rsid w:val="009C16C4"/>
    <w:rsid w:val="009C313D"/>
    <w:rsid w:val="009C52A1"/>
    <w:rsid w:val="009C5611"/>
    <w:rsid w:val="009C705A"/>
    <w:rsid w:val="009D1D96"/>
    <w:rsid w:val="009D34D0"/>
    <w:rsid w:val="009E75A3"/>
    <w:rsid w:val="009F4C79"/>
    <w:rsid w:val="009F5589"/>
    <w:rsid w:val="00A0600E"/>
    <w:rsid w:val="00A20B1F"/>
    <w:rsid w:val="00A24A08"/>
    <w:rsid w:val="00A30097"/>
    <w:rsid w:val="00A30800"/>
    <w:rsid w:val="00A3301D"/>
    <w:rsid w:val="00A47D70"/>
    <w:rsid w:val="00A53774"/>
    <w:rsid w:val="00A6307C"/>
    <w:rsid w:val="00A646EF"/>
    <w:rsid w:val="00A75A94"/>
    <w:rsid w:val="00A80066"/>
    <w:rsid w:val="00A8043F"/>
    <w:rsid w:val="00A86342"/>
    <w:rsid w:val="00A92804"/>
    <w:rsid w:val="00A97949"/>
    <w:rsid w:val="00AA0432"/>
    <w:rsid w:val="00AA5C66"/>
    <w:rsid w:val="00AA5FF0"/>
    <w:rsid w:val="00AB28BB"/>
    <w:rsid w:val="00AD0B67"/>
    <w:rsid w:val="00AD1073"/>
    <w:rsid w:val="00AD66C0"/>
    <w:rsid w:val="00AE1412"/>
    <w:rsid w:val="00AF600B"/>
    <w:rsid w:val="00AF7621"/>
    <w:rsid w:val="00B050A1"/>
    <w:rsid w:val="00B105F0"/>
    <w:rsid w:val="00B14C4A"/>
    <w:rsid w:val="00B15704"/>
    <w:rsid w:val="00B3268B"/>
    <w:rsid w:val="00B33935"/>
    <w:rsid w:val="00B42800"/>
    <w:rsid w:val="00B45FBA"/>
    <w:rsid w:val="00B56213"/>
    <w:rsid w:val="00B70AE9"/>
    <w:rsid w:val="00B778A3"/>
    <w:rsid w:val="00B84619"/>
    <w:rsid w:val="00B9032B"/>
    <w:rsid w:val="00B922B8"/>
    <w:rsid w:val="00B956A9"/>
    <w:rsid w:val="00B97915"/>
    <w:rsid w:val="00BB484F"/>
    <w:rsid w:val="00BE73B7"/>
    <w:rsid w:val="00C03AD1"/>
    <w:rsid w:val="00C04554"/>
    <w:rsid w:val="00C1678E"/>
    <w:rsid w:val="00C22A8E"/>
    <w:rsid w:val="00C3555B"/>
    <w:rsid w:val="00C37784"/>
    <w:rsid w:val="00C54CD8"/>
    <w:rsid w:val="00C8754C"/>
    <w:rsid w:val="00C96464"/>
    <w:rsid w:val="00CA1AE9"/>
    <w:rsid w:val="00CC546E"/>
    <w:rsid w:val="00CE0F25"/>
    <w:rsid w:val="00CE36CD"/>
    <w:rsid w:val="00CE5448"/>
    <w:rsid w:val="00CF50E9"/>
    <w:rsid w:val="00D00901"/>
    <w:rsid w:val="00D0342A"/>
    <w:rsid w:val="00D05181"/>
    <w:rsid w:val="00D1372A"/>
    <w:rsid w:val="00D21537"/>
    <w:rsid w:val="00D25EA4"/>
    <w:rsid w:val="00D41572"/>
    <w:rsid w:val="00D5119E"/>
    <w:rsid w:val="00D5163B"/>
    <w:rsid w:val="00D5363B"/>
    <w:rsid w:val="00D565C5"/>
    <w:rsid w:val="00D56F6D"/>
    <w:rsid w:val="00D66F53"/>
    <w:rsid w:val="00D82C66"/>
    <w:rsid w:val="00D86B97"/>
    <w:rsid w:val="00DA09F9"/>
    <w:rsid w:val="00DA34A8"/>
    <w:rsid w:val="00DA7B8C"/>
    <w:rsid w:val="00DB09FB"/>
    <w:rsid w:val="00DB6044"/>
    <w:rsid w:val="00DC14A0"/>
    <w:rsid w:val="00DC7ED1"/>
    <w:rsid w:val="00DD3FF3"/>
    <w:rsid w:val="00DD42F3"/>
    <w:rsid w:val="00DD7A60"/>
    <w:rsid w:val="00DE7E94"/>
    <w:rsid w:val="00DF5989"/>
    <w:rsid w:val="00E01C36"/>
    <w:rsid w:val="00E022C0"/>
    <w:rsid w:val="00E0385A"/>
    <w:rsid w:val="00E05195"/>
    <w:rsid w:val="00E135F9"/>
    <w:rsid w:val="00E15166"/>
    <w:rsid w:val="00E17BF1"/>
    <w:rsid w:val="00E35611"/>
    <w:rsid w:val="00E42F88"/>
    <w:rsid w:val="00E438AE"/>
    <w:rsid w:val="00E71563"/>
    <w:rsid w:val="00E7318B"/>
    <w:rsid w:val="00E735FF"/>
    <w:rsid w:val="00E745D3"/>
    <w:rsid w:val="00E8174C"/>
    <w:rsid w:val="00EC4A9E"/>
    <w:rsid w:val="00ED7FCC"/>
    <w:rsid w:val="00EE07FF"/>
    <w:rsid w:val="00EF4014"/>
    <w:rsid w:val="00F1216F"/>
    <w:rsid w:val="00F220CE"/>
    <w:rsid w:val="00F57721"/>
    <w:rsid w:val="00F64692"/>
    <w:rsid w:val="00F6718A"/>
    <w:rsid w:val="00F754AE"/>
    <w:rsid w:val="00F87210"/>
    <w:rsid w:val="00F974A0"/>
    <w:rsid w:val="00FA69A7"/>
    <w:rsid w:val="00FB02D7"/>
    <w:rsid w:val="00FB4B91"/>
    <w:rsid w:val="00FB7569"/>
    <w:rsid w:val="00FC0976"/>
    <w:rsid w:val="00FC3427"/>
    <w:rsid w:val="00FC4C38"/>
    <w:rsid w:val="00FC5AEF"/>
    <w:rsid w:val="00FD7F27"/>
    <w:rsid w:val="00FE6D16"/>
    <w:rsid w:val="00FF07F5"/>
    <w:rsid w:val="00FF31B8"/>
    <w:rsid w:val="00FF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797B3C"/>
    <w:pPr>
      <w:spacing w:before="100" w:beforeAutospacing="1" w:after="100" w:afterAutospacing="1" w:line="480" w:lineRule="auto"/>
      <w:ind w:firstLine="720"/>
    </w:pPr>
    <w:rPr>
      <w:rFonts w:ascii="Cambria" w:eastAsia="Times New Roman" w:hAnsi="Cambria" w:cs="Cambria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semiHidden/>
    <w:rsid w:val="00797B3C"/>
    <w:rPr>
      <w:rFonts w:ascii="Cambria" w:eastAsia="Times New Roman" w:hAnsi="Cambria" w:cs="Cambria"/>
      <w:sz w:val="20"/>
      <w:szCs w:val="20"/>
      <w:lang w:val="en-NZ"/>
    </w:rPr>
  </w:style>
  <w:style w:type="paragraph" w:customStyle="1" w:styleId="thead">
    <w:name w:val="thead"/>
    <w:basedOn w:val="Normal"/>
    <w:qFormat/>
    <w:rsid w:val="00797B3C"/>
    <w:pPr>
      <w:shd w:val="clear" w:color="auto" w:fill="8DB3E2" w:themeFill="text2" w:themeFillTint="66"/>
      <w:spacing w:after="240" w:line="480" w:lineRule="auto"/>
    </w:pPr>
    <w:rPr>
      <w:rFonts w:ascii="Calibri" w:eastAsia="Times New Roman" w:hAnsi="Calibri" w:cs="Latha"/>
      <w:lang w:bidi="ta-IN"/>
    </w:rPr>
  </w:style>
  <w:style w:type="table" w:styleId="TableGrid">
    <w:name w:val="Table Grid"/>
    <w:basedOn w:val="TableNormal"/>
    <w:rsid w:val="00797B3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Cite">
    <w:name w:val="tabCite"/>
    <w:uiPriority w:val="1"/>
    <w:qFormat/>
    <w:rsid w:val="00797B3C"/>
    <w:rPr>
      <w:noProof/>
      <w:color w:val="7030A0"/>
    </w:rPr>
  </w:style>
  <w:style w:type="character" w:styleId="CommentReference">
    <w:name w:val="annotation reference"/>
    <w:basedOn w:val="DefaultParagraphFont"/>
    <w:semiHidden/>
    <w:unhideWhenUsed/>
    <w:rsid w:val="00797B3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pavithra.AP</dc:creator>
  <cp:lastModifiedBy>pavithra.AP</cp:lastModifiedBy>
  <cp:revision>1</cp:revision>
  <dcterms:created xsi:type="dcterms:W3CDTF">2019-09-11T14:13:00Z</dcterms:created>
  <dcterms:modified xsi:type="dcterms:W3CDTF">2019-09-11T14:13:00Z</dcterms:modified>
</cp:coreProperties>
</file>