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800F2" w14:textId="4AA9C377" w:rsidR="00DD1C61" w:rsidRPr="00DD57BB" w:rsidRDefault="00DD1C61" w:rsidP="00E567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proofErr w:type="spellStart"/>
      <w:r w:rsidRPr="00DD57BB">
        <w:rPr>
          <w:b/>
          <w:sz w:val="40"/>
          <w:szCs w:val="40"/>
        </w:rPr>
        <w:t>Supplem</w:t>
      </w:r>
      <w:r w:rsidR="00E567DF" w:rsidRPr="00DD57BB">
        <w:rPr>
          <w:b/>
          <w:sz w:val="40"/>
          <w:szCs w:val="40"/>
        </w:rPr>
        <w:t>entary</w:t>
      </w:r>
      <w:proofErr w:type="spellEnd"/>
      <w:r w:rsidR="00E567DF" w:rsidRPr="00DD57BB">
        <w:rPr>
          <w:b/>
          <w:sz w:val="40"/>
          <w:szCs w:val="40"/>
        </w:rPr>
        <w:t xml:space="preserve"> </w:t>
      </w:r>
      <w:proofErr w:type="spellStart"/>
      <w:r w:rsidR="00E567DF" w:rsidRPr="00DD57BB">
        <w:rPr>
          <w:b/>
          <w:sz w:val="40"/>
          <w:szCs w:val="40"/>
        </w:rPr>
        <w:t>M</w:t>
      </w:r>
      <w:r w:rsidRPr="00DD57BB">
        <w:rPr>
          <w:b/>
          <w:sz w:val="40"/>
          <w:szCs w:val="40"/>
        </w:rPr>
        <w:t>aterial</w:t>
      </w:r>
      <w:proofErr w:type="spellEnd"/>
    </w:p>
    <w:p w14:paraId="3C40AF2D" w14:textId="77777777" w:rsidR="00227629" w:rsidRPr="00DD57BB" w:rsidRDefault="00227629" w:rsidP="00E567DF">
      <w:pPr>
        <w:widowControl w:val="0"/>
        <w:autoSpaceDE w:val="0"/>
        <w:autoSpaceDN w:val="0"/>
        <w:adjustRightInd w:val="0"/>
        <w:spacing w:line="360" w:lineRule="auto"/>
      </w:pPr>
    </w:p>
    <w:p w14:paraId="646F3526" w14:textId="2D8D0881" w:rsidR="00227629" w:rsidRPr="00DD57BB" w:rsidRDefault="00882FCB" w:rsidP="00E567DF">
      <w:pPr>
        <w:widowControl w:val="0"/>
        <w:autoSpaceDE w:val="0"/>
        <w:autoSpaceDN w:val="0"/>
        <w:adjustRightInd w:val="0"/>
        <w:spacing w:line="360" w:lineRule="auto"/>
      </w:pPr>
      <w:r w:rsidRPr="00DD57BB">
        <w:rPr>
          <w:b/>
        </w:rPr>
        <w:t xml:space="preserve">Supplemental </w:t>
      </w:r>
      <w:proofErr w:type="spellStart"/>
      <w:r w:rsidRPr="00DD57BB">
        <w:rPr>
          <w:b/>
        </w:rPr>
        <w:t>Figure</w:t>
      </w:r>
      <w:proofErr w:type="spellEnd"/>
      <w:r w:rsidRPr="00DD57BB">
        <w:rPr>
          <w:b/>
        </w:rPr>
        <w:t xml:space="preserve"> 1</w:t>
      </w:r>
      <w:r w:rsidRPr="00DD57BB">
        <w:t xml:space="preserve">. </w:t>
      </w:r>
      <w:proofErr w:type="spellStart"/>
      <w:r w:rsidR="00C5521C" w:rsidRPr="00DD57BB">
        <w:t>Intake</w:t>
      </w:r>
      <w:proofErr w:type="spellEnd"/>
      <w:r w:rsidR="00C5521C" w:rsidRPr="00DD57BB">
        <w:t xml:space="preserve"> of ALA and the </w:t>
      </w:r>
      <w:proofErr w:type="spellStart"/>
      <w:r w:rsidR="00C5521C" w:rsidRPr="00DD57BB">
        <w:t>risk</w:t>
      </w:r>
      <w:proofErr w:type="spellEnd"/>
      <w:r w:rsidR="00C5521C" w:rsidRPr="00DD57BB">
        <w:t xml:space="preserve"> of incident PAD. The analyses </w:t>
      </w:r>
      <w:proofErr w:type="spellStart"/>
      <w:r w:rsidR="00647F75" w:rsidRPr="00DD57BB">
        <w:t>were</w:t>
      </w:r>
      <w:proofErr w:type="spellEnd"/>
      <w:r w:rsidR="00647F75" w:rsidRPr="00DD57BB">
        <w:t xml:space="preserve"> </w:t>
      </w:r>
      <w:proofErr w:type="spellStart"/>
      <w:r w:rsidR="00647F75" w:rsidRPr="00DD57BB">
        <w:t>conducted</w:t>
      </w:r>
      <w:proofErr w:type="spellEnd"/>
      <w:r w:rsidR="00647F75" w:rsidRPr="00DD57BB">
        <w:t xml:space="preserve"> </w:t>
      </w:r>
      <w:proofErr w:type="spellStart"/>
      <w:r w:rsidR="00647F75" w:rsidRPr="00DD57BB">
        <w:t>using</w:t>
      </w:r>
      <w:proofErr w:type="spellEnd"/>
      <w:r w:rsidR="00647F75" w:rsidRPr="00DD57BB">
        <w:t xml:space="preserve"> Cox proportional </w:t>
      </w:r>
      <w:proofErr w:type="spellStart"/>
      <w:r w:rsidR="00647F75" w:rsidRPr="00DD57BB">
        <w:t>hazard</w:t>
      </w:r>
      <w:proofErr w:type="spellEnd"/>
      <w:r w:rsidR="00647F75" w:rsidRPr="00DD57BB">
        <w:t xml:space="preserve"> regression </w:t>
      </w:r>
      <w:proofErr w:type="spellStart"/>
      <w:r w:rsidR="00647F75" w:rsidRPr="00DD57BB">
        <w:t>including</w:t>
      </w:r>
      <w:proofErr w:type="spellEnd"/>
      <w:r w:rsidR="00647F75" w:rsidRPr="00DD57BB">
        <w:t xml:space="preserve"> </w:t>
      </w:r>
      <w:proofErr w:type="spellStart"/>
      <w:r w:rsidR="00647F75" w:rsidRPr="00DD57BB">
        <w:t>adjustment</w:t>
      </w:r>
      <w:proofErr w:type="spellEnd"/>
      <w:r w:rsidR="00647F75" w:rsidRPr="00DD57BB">
        <w:t xml:space="preserve"> </w:t>
      </w:r>
      <w:r w:rsidR="00C5521C" w:rsidRPr="00DD57BB">
        <w:t xml:space="preserve">for age and </w:t>
      </w:r>
      <w:proofErr w:type="spellStart"/>
      <w:r w:rsidR="00C5521C" w:rsidRPr="00DD57BB">
        <w:t>gender</w:t>
      </w:r>
      <w:proofErr w:type="spellEnd"/>
      <w:r w:rsidR="00C5521C" w:rsidRPr="00DD57BB">
        <w:t xml:space="preserve"> (model 1A) with </w:t>
      </w:r>
      <w:r w:rsidR="00707A3B" w:rsidRPr="00DD57BB">
        <w:t xml:space="preserve">the </w:t>
      </w:r>
      <w:r w:rsidR="00C5521C" w:rsidRPr="00DD57BB">
        <w:t xml:space="preserve">median </w:t>
      </w:r>
      <w:proofErr w:type="spellStart"/>
      <w:r w:rsidR="00C5521C" w:rsidRPr="00DD57BB">
        <w:t>intake</w:t>
      </w:r>
      <w:proofErr w:type="spellEnd"/>
      <w:r w:rsidR="00C5521C" w:rsidRPr="00DD57BB">
        <w:t xml:space="preserve"> of ALA as reference. The 20th, 40th, 60th and 80th </w:t>
      </w:r>
      <w:proofErr w:type="spellStart"/>
      <w:r w:rsidR="00C5521C" w:rsidRPr="00DD57BB">
        <w:t>percentiles</w:t>
      </w:r>
      <w:proofErr w:type="spellEnd"/>
      <w:r w:rsidR="00C5521C" w:rsidRPr="00DD57BB">
        <w:t xml:space="preserve"> of ALA </w:t>
      </w:r>
      <w:proofErr w:type="spellStart"/>
      <w:r w:rsidR="00C5521C" w:rsidRPr="00DD57BB">
        <w:t>intake</w:t>
      </w:r>
      <w:proofErr w:type="spellEnd"/>
      <w:r w:rsidR="00C5521C" w:rsidRPr="00DD57BB">
        <w:t xml:space="preserve"> </w:t>
      </w:r>
      <w:proofErr w:type="spellStart"/>
      <w:r w:rsidR="00C5521C" w:rsidRPr="00DD57BB">
        <w:t>are</w:t>
      </w:r>
      <w:proofErr w:type="spellEnd"/>
      <w:r w:rsidR="00C5521C" w:rsidRPr="00DD57BB">
        <w:t xml:space="preserve"> </w:t>
      </w:r>
      <w:proofErr w:type="spellStart"/>
      <w:r w:rsidR="00C5521C" w:rsidRPr="00DD57BB">
        <w:t>shown</w:t>
      </w:r>
      <w:proofErr w:type="spellEnd"/>
      <w:r w:rsidR="00C5521C" w:rsidRPr="00DD57BB">
        <w:t xml:space="preserve"> with </w:t>
      </w:r>
      <w:proofErr w:type="spellStart"/>
      <w:r w:rsidR="00C5521C" w:rsidRPr="00DD57BB">
        <w:t>dotted</w:t>
      </w:r>
      <w:proofErr w:type="spellEnd"/>
      <w:r w:rsidR="00C5521C" w:rsidRPr="00DD57BB">
        <w:t xml:space="preserve"> lines. The </w:t>
      </w:r>
      <w:proofErr w:type="spellStart"/>
      <w:r w:rsidR="00C5521C" w:rsidRPr="00DD57BB">
        <w:t>shade</w:t>
      </w:r>
      <w:r w:rsidR="00707A3B" w:rsidRPr="00DD57BB">
        <w:t>d</w:t>
      </w:r>
      <w:proofErr w:type="spellEnd"/>
      <w:r w:rsidR="00707A3B" w:rsidRPr="00DD57BB">
        <w:t xml:space="preserve"> </w:t>
      </w:r>
      <w:proofErr w:type="spellStart"/>
      <w:r w:rsidR="00707A3B" w:rsidRPr="00DD57BB">
        <w:t>grey</w:t>
      </w:r>
      <w:proofErr w:type="spellEnd"/>
      <w:r w:rsidR="00707A3B" w:rsidRPr="00DD57BB">
        <w:t xml:space="preserve"> </w:t>
      </w:r>
      <w:proofErr w:type="spellStart"/>
      <w:r w:rsidR="00707A3B" w:rsidRPr="00DD57BB">
        <w:t>area</w:t>
      </w:r>
      <w:proofErr w:type="spellEnd"/>
      <w:r w:rsidR="00707A3B" w:rsidRPr="00DD57BB">
        <w:t xml:space="preserve"> </w:t>
      </w:r>
      <w:proofErr w:type="spellStart"/>
      <w:r w:rsidR="00707A3B" w:rsidRPr="00DD57BB">
        <w:t>indicates</w:t>
      </w:r>
      <w:proofErr w:type="spellEnd"/>
      <w:r w:rsidR="009B052D" w:rsidRPr="00DD57BB">
        <w:t xml:space="preserve"> the 95% </w:t>
      </w:r>
      <w:proofErr w:type="spellStart"/>
      <w:r w:rsidR="009B052D" w:rsidRPr="00DD57BB">
        <w:t>CI</w:t>
      </w:r>
      <w:r w:rsidR="00707A3B" w:rsidRPr="00DD57BB">
        <w:t>s</w:t>
      </w:r>
      <w:proofErr w:type="spellEnd"/>
      <w:r w:rsidR="00707A3B" w:rsidRPr="00DD57BB">
        <w:t xml:space="preserve"> of </w:t>
      </w:r>
      <w:proofErr w:type="spellStart"/>
      <w:r w:rsidR="00707A3B" w:rsidRPr="00DD57BB">
        <w:t>hazard</w:t>
      </w:r>
      <w:proofErr w:type="spellEnd"/>
      <w:r w:rsidR="00707A3B" w:rsidRPr="00DD57BB">
        <w:t xml:space="preserve"> </w:t>
      </w:r>
      <w:r w:rsidR="00C5521C" w:rsidRPr="00DD57BB">
        <w:t xml:space="preserve">ratios of PAD (solid </w:t>
      </w:r>
      <w:proofErr w:type="spellStart"/>
      <w:r w:rsidR="00C5521C" w:rsidRPr="00DD57BB">
        <w:t>black</w:t>
      </w:r>
      <w:proofErr w:type="spellEnd"/>
      <w:r w:rsidR="00C5521C" w:rsidRPr="00DD57BB">
        <w:t xml:space="preserve"> line). The </w:t>
      </w:r>
      <w:proofErr w:type="spellStart"/>
      <w:r w:rsidR="00C5521C" w:rsidRPr="00DD57BB">
        <w:t>spline</w:t>
      </w:r>
      <w:proofErr w:type="spellEnd"/>
      <w:r w:rsidR="00C5521C" w:rsidRPr="00DD57BB">
        <w:t xml:space="preserve"> plo</w:t>
      </w:r>
      <w:r w:rsidR="003B04EA" w:rsidRPr="00DD57BB">
        <w:t xml:space="preserve">t is </w:t>
      </w:r>
      <w:proofErr w:type="spellStart"/>
      <w:r w:rsidR="00C5521C" w:rsidRPr="00DD57BB">
        <w:t>shown</w:t>
      </w:r>
      <w:proofErr w:type="spellEnd"/>
      <w:r w:rsidR="00C5521C" w:rsidRPr="00DD57BB">
        <w:t xml:space="preserve"> for the 2.5-97.5 </w:t>
      </w:r>
      <w:proofErr w:type="spellStart"/>
      <w:r w:rsidR="00C5521C" w:rsidRPr="00DD57BB">
        <w:t>percentiles</w:t>
      </w:r>
      <w:proofErr w:type="spellEnd"/>
      <w:r w:rsidR="00C5521C" w:rsidRPr="00DD57BB">
        <w:t xml:space="preserve"> of ALA </w:t>
      </w:r>
      <w:proofErr w:type="spellStart"/>
      <w:r w:rsidR="00C5521C" w:rsidRPr="00DD57BB">
        <w:t>intake</w:t>
      </w:r>
      <w:proofErr w:type="spellEnd"/>
      <w:r w:rsidR="00C5521C" w:rsidRPr="00DD57BB">
        <w:t>.</w:t>
      </w:r>
    </w:p>
    <w:p w14:paraId="04534198" w14:textId="4261A64D" w:rsidR="00030A0E" w:rsidRPr="00DD57BB" w:rsidRDefault="00030A0E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D57BB">
        <w:rPr>
          <w:noProof/>
        </w:rPr>
        <w:drawing>
          <wp:inline distT="0" distB="0" distL="0" distR="0" wp14:anchorId="3735B004" wp14:editId="50A0F8A7">
            <wp:extent cx="6116320" cy="4446905"/>
            <wp:effectExtent l="0" t="0" r="508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Aintake_PAD_M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61C06" w14:textId="77777777" w:rsidR="00227629" w:rsidRPr="00DD57BB" w:rsidRDefault="00227629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5F922971" w14:textId="77777777" w:rsidR="00882FCB" w:rsidRPr="00DD57BB" w:rsidRDefault="00882FCB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6C6EE2FA" w14:textId="77777777" w:rsidR="00227629" w:rsidRPr="00DD57BB" w:rsidRDefault="00227629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75067260" w14:textId="77777777" w:rsidR="00227629" w:rsidRPr="00DD57BB" w:rsidRDefault="00227629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67A7D8DB" w14:textId="77777777" w:rsidR="00FD240D" w:rsidRPr="00DD57BB" w:rsidRDefault="00FD240D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135EB9E6" w14:textId="77777777" w:rsidR="00227629" w:rsidRPr="00DD57BB" w:rsidRDefault="00227629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35B618C6" w14:textId="77777777" w:rsidR="00E30927" w:rsidRPr="00DD57BB" w:rsidRDefault="00E30927" w:rsidP="00DD57B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054CCFFC" w14:textId="344A123D" w:rsidR="00882FCB" w:rsidRPr="00DD57BB" w:rsidRDefault="00882FCB" w:rsidP="00E567DF">
      <w:pPr>
        <w:widowControl w:val="0"/>
        <w:autoSpaceDE w:val="0"/>
        <w:autoSpaceDN w:val="0"/>
        <w:adjustRightInd w:val="0"/>
        <w:spacing w:line="360" w:lineRule="auto"/>
      </w:pPr>
      <w:r w:rsidRPr="00DD57BB">
        <w:rPr>
          <w:b/>
        </w:rPr>
        <w:lastRenderedPageBreak/>
        <w:t xml:space="preserve">Supplemental </w:t>
      </w:r>
      <w:proofErr w:type="spellStart"/>
      <w:r w:rsidRPr="00DD57BB">
        <w:rPr>
          <w:b/>
        </w:rPr>
        <w:t>Figure</w:t>
      </w:r>
      <w:proofErr w:type="spellEnd"/>
      <w:r w:rsidRPr="00DD57BB">
        <w:rPr>
          <w:b/>
        </w:rPr>
        <w:t xml:space="preserve"> 2. </w:t>
      </w:r>
      <w:proofErr w:type="spellStart"/>
      <w:r w:rsidR="00C5521C" w:rsidRPr="00DD57BB">
        <w:t>Intake</w:t>
      </w:r>
      <w:proofErr w:type="spellEnd"/>
      <w:r w:rsidR="00C5521C" w:rsidRPr="00DD57BB">
        <w:t xml:space="preserve"> of ALA and the </w:t>
      </w:r>
      <w:proofErr w:type="spellStart"/>
      <w:r w:rsidR="00C5521C" w:rsidRPr="00DD57BB">
        <w:t>risk</w:t>
      </w:r>
      <w:proofErr w:type="spellEnd"/>
      <w:r w:rsidR="00C5521C" w:rsidRPr="00DD57BB">
        <w:t xml:space="preserve"> of incident PAD. The multivariable analyses </w:t>
      </w:r>
      <w:proofErr w:type="spellStart"/>
      <w:r w:rsidR="00647F75" w:rsidRPr="00DD57BB">
        <w:t>were</w:t>
      </w:r>
      <w:proofErr w:type="spellEnd"/>
      <w:r w:rsidR="00647F75" w:rsidRPr="00DD57BB">
        <w:t xml:space="preserve"> </w:t>
      </w:r>
      <w:proofErr w:type="spellStart"/>
      <w:r w:rsidR="00647F75" w:rsidRPr="00DD57BB">
        <w:t>conducted</w:t>
      </w:r>
      <w:proofErr w:type="spellEnd"/>
      <w:r w:rsidR="00647F75" w:rsidRPr="00DD57BB">
        <w:t xml:space="preserve"> </w:t>
      </w:r>
      <w:proofErr w:type="spellStart"/>
      <w:r w:rsidR="00647F75" w:rsidRPr="00DD57BB">
        <w:t>using</w:t>
      </w:r>
      <w:proofErr w:type="spellEnd"/>
      <w:r w:rsidR="00647F75" w:rsidRPr="00DD57BB">
        <w:t xml:space="preserve"> Cox proportional </w:t>
      </w:r>
      <w:proofErr w:type="spellStart"/>
      <w:r w:rsidR="00647F75" w:rsidRPr="00DD57BB">
        <w:t>hazard</w:t>
      </w:r>
      <w:proofErr w:type="spellEnd"/>
      <w:r w:rsidR="00647F75" w:rsidRPr="00DD57BB">
        <w:t xml:space="preserve"> regression </w:t>
      </w:r>
      <w:proofErr w:type="spellStart"/>
      <w:r w:rsidR="00647F75" w:rsidRPr="00DD57BB">
        <w:t>including</w:t>
      </w:r>
      <w:proofErr w:type="spellEnd"/>
      <w:r w:rsidR="00647F75" w:rsidRPr="00DD57BB">
        <w:t xml:space="preserve"> </w:t>
      </w:r>
      <w:proofErr w:type="spellStart"/>
      <w:r w:rsidR="00647F75" w:rsidRPr="00DD57BB">
        <w:t>adjustment</w:t>
      </w:r>
      <w:proofErr w:type="spellEnd"/>
      <w:r w:rsidR="00647F75" w:rsidRPr="00DD57BB">
        <w:t xml:space="preserve"> </w:t>
      </w:r>
      <w:r w:rsidR="00C5521C" w:rsidRPr="00DD57BB">
        <w:t xml:space="preserve">for </w:t>
      </w:r>
      <w:proofErr w:type="spellStart"/>
      <w:r w:rsidR="00C5521C" w:rsidRPr="00DD57BB">
        <w:t>established</w:t>
      </w:r>
      <w:proofErr w:type="spellEnd"/>
      <w:r w:rsidR="00C5521C" w:rsidRPr="00DD57BB">
        <w:t xml:space="preserve"> PAD </w:t>
      </w:r>
      <w:proofErr w:type="spellStart"/>
      <w:r w:rsidR="00C5521C" w:rsidRPr="00DD57BB">
        <w:t>risk</w:t>
      </w:r>
      <w:proofErr w:type="spellEnd"/>
      <w:r w:rsidR="00C5521C" w:rsidRPr="00DD57BB">
        <w:t xml:space="preserve"> factors and </w:t>
      </w:r>
      <w:proofErr w:type="spellStart"/>
      <w:r w:rsidR="00CE2C42" w:rsidRPr="00DD57BB">
        <w:t>co-morbidities</w:t>
      </w:r>
      <w:proofErr w:type="spellEnd"/>
      <w:r w:rsidR="00C5521C" w:rsidRPr="00DD57BB">
        <w:t xml:space="preserve"> (model 2) with </w:t>
      </w:r>
      <w:r w:rsidR="00707A3B" w:rsidRPr="00DD57BB">
        <w:t xml:space="preserve">the </w:t>
      </w:r>
      <w:r w:rsidR="00C5521C" w:rsidRPr="00DD57BB">
        <w:t xml:space="preserve">median </w:t>
      </w:r>
      <w:proofErr w:type="spellStart"/>
      <w:r w:rsidR="00C5521C" w:rsidRPr="00DD57BB">
        <w:t>intake</w:t>
      </w:r>
      <w:proofErr w:type="spellEnd"/>
      <w:r w:rsidR="00C5521C" w:rsidRPr="00DD57BB">
        <w:t xml:space="preserve"> of ALA as reference. The 20th, 40th, 60th and 80th </w:t>
      </w:r>
      <w:proofErr w:type="spellStart"/>
      <w:r w:rsidR="00C5521C" w:rsidRPr="00DD57BB">
        <w:t>percentiles</w:t>
      </w:r>
      <w:proofErr w:type="spellEnd"/>
      <w:r w:rsidR="00C5521C" w:rsidRPr="00DD57BB">
        <w:t xml:space="preserve"> of ALA </w:t>
      </w:r>
      <w:proofErr w:type="spellStart"/>
      <w:r w:rsidR="00C5521C" w:rsidRPr="00DD57BB">
        <w:t>intake</w:t>
      </w:r>
      <w:proofErr w:type="spellEnd"/>
      <w:r w:rsidR="00C5521C" w:rsidRPr="00DD57BB">
        <w:t xml:space="preserve"> </w:t>
      </w:r>
      <w:proofErr w:type="spellStart"/>
      <w:r w:rsidR="00C5521C" w:rsidRPr="00DD57BB">
        <w:t>are</w:t>
      </w:r>
      <w:proofErr w:type="spellEnd"/>
      <w:r w:rsidR="00C5521C" w:rsidRPr="00DD57BB">
        <w:t xml:space="preserve"> </w:t>
      </w:r>
      <w:proofErr w:type="spellStart"/>
      <w:r w:rsidR="00C5521C" w:rsidRPr="00DD57BB">
        <w:t>shown</w:t>
      </w:r>
      <w:proofErr w:type="spellEnd"/>
      <w:r w:rsidR="00C5521C" w:rsidRPr="00DD57BB">
        <w:t xml:space="preserve"> with </w:t>
      </w:r>
      <w:proofErr w:type="spellStart"/>
      <w:r w:rsidR="00C5521C" w:rsidRPr="00DD57BB">
        <w:t>dotted</w:t>
      </w:r>
      <w:proofErr w:type="spellEnd"/>
      <w:r w:rsidR="00C5521C" w:rsidRPr="00DD57BB">
        <w:t xml:space="preserve"> lines. The </w:t>
      </w:r>
      <w:proofErr w:type="spellStart"/>
      <w:r w:rsidR="00C5521C" w:rsidRPr="00DD57BB">
        <w:t>shade</w:t>
      </w:r>
      <w:r w:rsidR="00707A3B" w:rsidRPr="00DD57BB">
        <w:t>d</w:t>
      </w:r>
      <w:proofErr w:type="spellEnd"/>
      <w:r w:rsidR="00707A3B" w:rsidRPr="00DD57BB">
        <w:t xml:space="preserve"> </w:t>
      </w:r>
      <w:proofErr w:type="spellStart"/>
      <w:r w:rsidR="00707A3B" w:rsidRPr="00DD57BB">
        <w:t>grey</w:t>
      </w:r>
      <w:proofErr w:type="spellEnd"/>
      <w:r w:rsidR="00707A3B" w:rsidRPr="00DD57BB">
        <w:t xml:space="preserve"> </w:t>
      </w:r>
      <w:proofErr w:type="spellStart"/>
      <w:r w:rsidR="00707A3B" w:rsidRPr="00DD57BB">
        <w:t>area</w:t>
      </w:r>
      <w:proofErr w:type="spellEnd"/>
      <w:r w:rsidR="00707A3B" w:rsidRPr="00DD57BB">
        <w:t xml:space="preserve"> </w:t>
      </w:r>
      <w:proofErr w:type="spellStart"/>
      <w:r w:rsidR="00707A3B" w:rsidRPr="00DD57BB">
        <w:t>indicates</w:t>
      </w:r>
      <w:proofErr w:type="spellEnd"/>
      <w:r w:rsidR="009B052D" w:rsidRPr="00DD57BB">
        <w:t xml:space="preserve"> the 95% </w:t>
      </w:r>
      <w:proofErr w:type="spellStart"/>
      <w:r w:rsidR="009B052D" w:rsidRPr="00DD57BB">
        <w:t>CI</w:t>
      </w:r>
      <w:r w:rsidR="00707A3B" w:rsidRPr="00DD57BB">
        <w:t>s</w:t>
      </w:r>
      <w:proofErr w:type="spellEnd"/>
      <w:r w:rsidR="00707A3B" w:rsidRPr="00DD57BB">
        <w:t xml:space="preserve"> of </w:t>
      </w:r>
      <w:proofErr w:type="spellStart"/>
      <w:r w:rsidR="00707A3B" w:rsidRPr="00DD57BB">
        <w:t>hazard</w:t>
      </w:r>
      <w:proofErr w:type="spellEnd"/>
      <w:r w:rsidR="00C5521C" w:rsidRPr="00DD57BB">
        <w:t xml:space="preserve"> ratios of PAD (solid </w:t>
      </w:r>
      <w:proofErr w:type="spellStart"/>
      <w:r w:rsidR="00C5521C" w:rsidRPr="00DD57BB">
        <w:t>blac</w:t>
      </w:r>
      <w:r w:rsidR="003B04EA" w:rsidRPr="00DD57BB">
        <w:t>k</w:t>
      </w:r>
      <w:proofErr w:type="spellEnd"/>
      <w:r w:rsidR="003B04EA" w:rsidRPr="00DD57BB">
        <w:t xml:space="preserve"> line). The </w:t>
      </w:r>
      <w:proofErr w:type="spellStart"/>
      <w:r w:rsidR="003B04EA" w:rsidRPr="00DD57BB">
        <w:t>spline</w:t>
      </w:r>
      <w:proofErr w:type="spellEnd"/>
      <w:r w:rsidR="003B04EA" w:rsidRPr="00DD57BB">
        <w:t xml:space="preserve"> plot is</w:t>
      </w:r>
      <w:r w:rsidR="00C5521C" w:rsidRPr="00DD57BB">
        <w:t xml:space="preserve"> </w:t>
      </w:r>
      <w:proofErr w:type="spellStart"/>
      <w:r w:rsidR="00C5521C" w:rsidRPr="00DD57BB">
        <w:t>shown</w:t>
      </w:r>
      <w:proofErr w:type="spellEnd"/>
      <w:r w:rsidR="00C5521C" w:rsidRPr="00DD57BB">
        <w:t xml:space="preserve"> for the 2.5-97.5 </w:t>
      </w:r>
      <w:proofErr w:type="spellStart"/>
      <w:r w:rsidR="00C5521C" w:rsidRPr="00DD57BB">
        <w:t>percentiles</w:t>
      </w:r>
      <w:proofErr w:type="spellEnd"/>
      <w:r w:rsidR="00C5521C" w:rsidRPr="00DD57BB">
        <w:t xml:space="preserve"> of ALA </w:t>
      </w:r>
      <w:proofErr w:type="spellStart"/>
      <w:r w:rsidR="00C5521C" w:rsidRPr="00DD57BB">
        <w:t>intake</w:t>
      </w:r>
      <w:proofErr w:type="spellEnd"/>
      <w:r w:rsidR="00C5521C" w:rsidRPr="00DD57BB">
        <w:t>.</w:t>
      </w:r>
    </w:p>
    <w:p w14:paraId="2290AC21" w14:textId="77777777" w:rsidR="00C5521C" w:rsidRPr="00DD57BB" w:rsidRDefault="00C5521C" w:rsidP="00E567D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0D775BE5" w14:textId="358AC86B" w:rsidR="00227629" w:rsidRPr="00DD57BB" w:rsidRDefault="00BF1B49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  <w:r w:rsidRPr="00DD57BB">
        <w:rPr>
          <w:b/>
          <w:noProof/>
        </w:rPr>
        <w:drawing>
          <wp:inline distT="0" distB="0" distL="0" distR="0" wp14:anchorId="28378445" wp14:editId="56364D7F">
            <wp:extent cx="6116320" cy="4441825"/>
            <wp:effectExtent l="0" t="0" r="5080" b="317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Aintake_PAD_M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CABC" w14:textId="77777777" w:rsidR="00882FCB" w:rsidRPr="00DD57BB" w:rsidRDefault="00882FCB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5B67FFE3" w14:textId="77777777" w:rsidR="00227629" w:rsidRPr="00DD57BB" w:rsidRDefault="00227629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3FD095AF" w14:textId="77777777" w:rsidR="00227629" w:rsidRPr="00DD57BB" w:rsidRDefault="00227629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36151317" w14:textId="25E12F02" w:rsidR="00455823" w:rsidRPr="00DD57BB" w:rsidRDefault="00455823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4AD539B7" w14:textId="77777777" w:rsidR="00E30927" w:rsidRPr="00DD57BB" w:rsidRDefault="00E30927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618A3657" w14:textId="77777777" w:rsidR="00455823" w:rsidRDefault="00455823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</w:p>
    <w:p w14:paraId="4A841EA9" w14:textId="77777777" w:rsidR="00DD57BB" w:rsidRPr="00DD57BB" w:rsidRDefault="00DD57BB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b/>
        </w:rPr>
      </w:pPr>
      <w:bookmarkStart w:id="0" w:name="_GoBack"/>
      <w:bookmarkEnd w:id="0"/>
    </w:p>
    <w:p w14:paraId="51C7D3EC" w14:textId="77777777" w:rsidR="00227629" w:rsidRPr="00DD57BB" w:rsidRDefault="00227629" w:rsidP="00DD57BB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46EEC9CA" w14:textId="6306960E" w:rsidR="00882FCB" w:rsidRPr="00DD57BB" w:rsidRDefault="00D15DD0" w:rsidP="00E567D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DD57BB">
        <w:rPr>
          <w:b/>
        </w:rPr>
        <w:lastRenderedPageBreak/>
        <w:t xml:space="preserve">Supplemental </w:t>
      </w:r>
      <w:proofErr w:type="spellStart"/>
      <w:r w:rsidRPr="00DD57BB">
        <w:rPr>
          <w:b/>
        </w:rPr>
        <w:t>Figure</w:t>
      </w:r>
      <w:proofErr w:type="spellEnd"/>
      <w:r w:rsidRPr="00DD57BB">
        <w:rPr>
          <w:b/>
        </w:rPr>
        <w:t xml:space="preserve"> 3</w:t>
      </w:r>
      <w:r w:rsidR="00C5521C" w:rsidRPr="00DD57BB">
        <w:rPr>
          <w:b/>
        </w:rPr>
        <w:t xml:space="preserve">. </w:t>
      </w:r>
      <w:proofErr w:type="spellStart"/>
      <w:r w:rsidR="00C5521C" w:rsidRPr="00DD57BB">
        <w:t>Intake</w:t>
      </w:r>
      <w:proofErr w:type="spellEnd"/>
      <w:r w:rsidR="00C5521C" w:rsidRPr="00DD57BB">
        <w:t xml:space="preserve"> of ALA and the </w:t>
      </w:r>
      <w:proofErr w:type="spellStart"/>
      <w:r w:rsidR="00C5521C" w:rsidRPr="00DD57BB">
        <w:t>risk</w:t>
      </w:r>
      <w:proofErr w:type="spellEnd"/>
      <w:r w:rsidR="00C5521C" w:rsidRPr="00DD57BB">
        <w:t xml:space="preserve"> of incident PAD. The multivariable analyses </w:t>
      </w:r>
      <w:proofErr w:type="spellStart"/>
      <w:r w:rsidR="00C5521C" w:rsidRPr="00DD57BB">
        <w:t>were</w:t>
      </w:r>
      <w:proofErr w:type="spellEnd"/>
      <w:r w:rsidR="00C5521C" w:rsidRPr="00DD57BB">
        <w:t xml:space="preserve"> </w:t>
      </w:r>
      <w:proofErr w:type="spellStart"/>
      <w:r w:rsidR="00647F75" w:rsidRPr="00DD57BB">
        <w:t>conducted</w:t>
      </w:r>
      <w:proofErr w:type="spellEnd"/>
      <w:r w:rsidR="00647F75" w:rsidRPr="00DD57BB">
        <w:t xml:space="preserve"> </w:t>
      </w:r>
      <w:proofErr w:type="spellStart"/>
      <w:r w:rsidR="00647F75" w:rsidRPr="00DD57BB">
        <w:t>using</w:t>
      </w:r>
      <w:proofErr w:type="spellEnd"/>
      <w:r w:rsidR="00647F75" w:rsidRPr="00DD57BB">
        <w:t xml:space="preserve"> Cox proportional </w:t>
      </w:r>
      <w:proofErr w:type="spellStart"/>
      <w:r w:rsidR="00647F75" w:rsidRPr="00DD57BB">
        <w:t>hazard</w:t>
      </w:r>
      <w:proofErr w:type="spellEnd"/>
      <w:r w:rsidR="00647F75" w:rsidRPr="00DD57BB">
        <w:t xml:space="preserve"> regression </w:t>
      </w:r>
      <w:proofErr w:type="spellStart"/>
      <w:r w:rsidR="00647F75" w:rsidRPr="00DD57BB">
        <w:t>including</w:t>
      </w:r>
      <w:proofErr w:type="spellEnd"/>
      <w:r w:rsidR="00647F75" w:rsidRPr="00DD57BB">
        <w:t xml:space="preserve"> </w:t>
      </w:r>
      <w:proofErr w:type="spellStart"/>
      <w:r w:rsidR="00647F75" w:rsidRPr="00DD57BB">
        <w:t>adjustment</w:t>
      </w:r>
      <w:proofErr w:type="spellEnd"/>
      <w:r w:rsidR="00647F75" w:rsidRPr="00DD57BB">
        <w:t xml:space="preserve"> </w:t>
      </w:r>
      <w:r w:rsidR="00C5521C" w:rsidRPr="00DD57BB">
        <w:t xml:space="preserve">for </w:t>
      </w:r>
      <w:proofErr w:type="spellStart"/>
      <w:r w:rsidR="00C5521C" w:rsidRPr="00DD57BB">
        <w:t>established</w:t>
      </w:r>
      <w:proofErr w:type="spellEnd"/>
      <w:r w:rsidR="00C5521C" w:rsidRPr="00DD57BB">
        <w:t xml:space="preserve"> PAD </w:t>
      </w:r>
      <w:proofErr w:type="spellStart"/>
      <w:r w:rsidR="00C5521C" w:rsidRPr="00DD57BB">
        <w:t>risk</w:t>
      </w:r>
      <w:proofErr w:type="spellEnd"/>
      <w:r w:rsidR="00C5521C" w:rsidRPr="00DD57BB">
        <w:t xml:space="preserve"> factors and potential </w:t>
      </w:r>
      <w:proofErr w:type="spellStart"/>
      <w:r w:rsidR="00C5521C" w:rsidRPr="00DD57BB">
        <w:t>dietary</w:t>
      </w:r>
      <w:proofErr w:type="spellEnd"/>
      <w:r w:rsidR="00C5521C" w:rsidRPr="00DD57BB">
        <w:t xml:space="preserve"> </w:t>
      </w:r>
      <w:proofErr w:type="spellStart"/>
      <w:r w:rsidR="00C5521C" w:rsidRPr="00DD57BB">
        <w:t>risk</w:t>
      </w:r>
      <w:proofErr w:type="spellEnd"/>
      <w:r w:rsidR="00C5521C" w:rsidRPr="00DD57BB">
        <w:t xml:space="preserve"> factors (model 3) with </w:t>
      </w:r>
      <w:r w:rsidR="00707A3B" w:rsidRPr="00DD57BB">
        <w:t xml:space="preserve">the </w:t>
      </w:r>
      <w:r w:rsidR="00C5521C" w:rsidRPr="00DD57BB">
        <w:t xml:space="preserve">median </w:t>
      </w:r>
      <w:proofErr w:type="spellStart"/>
      <w:r w:rsidR="00C5521C" w:rsidRPr="00DD57BB">
        <w:t>intake</w:t>
      </w:r>
      <w:proofErr w:type="spellEnd"/>
      <w:r w:rsidR="00C5521C" w:rsidRPr="00DD57BB">
        <w:t xml:space="preserve"> of ALA as reference. The 20th, 40th, 60th and 80th </w:t>
      </w:r>
      <w:proofErr w:type="spellStart"/>
      <w:r w:rsidR="00C5521C" w:rsidRPr="00DD57BB">
        <w:t>percentiles</w:t>
      </w:r>
      <w:proofErr w:type="spellEnd"/>
      <w:r w:rsidR="00C5521C" w:rsidRPr="00DD57BB">
        <w:t xml:space="preserve"> of ALA </w:t>
      </w:r>
      <w:proofErr w:type="spellStart"/>
      <w:r w:rsidR="00C5521C" w:rsidRPr="00DD57BB">
        <w:t>intake</w:t>
      </w:r>
      <w:proofErr w:type="spellEnd"/>
      <w:r w:rsidR="00C5521C" w:rsidRPr="00DD57BB">
        <w:t xml:space="preserve"> </w:t>
      </w:r>
      <w:proofErr w:type="spellStart"/>
      <w:r w:rsidR="00C5521C" w:rsidRPr="00DD57BB">
        <w:t>are</w:t>
      </w:r>
      <w:proofErr w:type="spellEnd"/>
      <w:r w:rsidR="00C5521C" w:rsidRPr="00DD57BB">
        <w:t xml:space="preserve"> </w:t>
      </w:r>
      <w:proofErr w:type="spellStart"/>
      <w:r w:rsidR="00C5521C" w:rsidRPr="00DD57BB">
        <w:t>shown</w:t>
      </w:r>
      <w:proofErr w:type="spellEnd"/>
      <w:r w:rsidR="00C5521C" w:rsidRPr="00DD57BB">
        <w:t xml:space="preserve"> with </w:t>
      </w:r>
      <w:proofErr w:type="spellStart"/>
      <w:r w:rsidR="00C5521C" w:rsidRPr="00DD57BB">
        <w:t>dotted</w:t>
      </w:r>
      <w:proofErr w:type="spellEnd"/>
      <w:r w:rsidR="00C5521C" w:rsidRPr="00DD57BB">
        <w:t xml:space="preserve"> lines. The </w:t>
      </w:r>
      <w:proofErr w:type="spellStart"/>
      <w:r w:rsidR="00C5521C" w:rsidRPr="00DD57BB">
        <w:t>shade</w:t>
      </w:r>
      <w:r w:rsidR="009B052D" w:rsidRPr="00DD57BB">
        <w:t>d</w:t>
      </w:r>
      <w:proofErr w:type="spellEnd"/>
      <w:r w:rsidR="009B052D" w:rsidRPr="00DD57BB">
        <w:t xml:space="preserve"> </w:t>
      </w:r>
      <w:proofErr w:type="spellStart"/>
      <w:r w:rsidR="009B052D" w:rsidRPr="00DD57BB">
        <w:t>grey</w:t>
      </w:r>
      <w:proofErr w:type="spellEnd"/>
      <w:r w:rsidR="009B052D" w:rsidRPr="00DD57BB">
        <w:t xml:space="preserve"> </w:t>
      </w:r>
      <w:proofErr w:type="spellStart"/>
      <w:r w:rsidR="009B052D" w:rsidRPr="00DD57BB">
        <w:t>area</w:t>
      </w:r>
      <w:proofErr w:type="spellEnd"/>
      <w:r w:rsidR="009B052D" w:rsidRPr="00DD57BB">
        <w:t xml:space="preserve"> </w:t>
      </w:r>
      <w:proofErr w:type="spellStart"/>
      <w:r w:rsidR="00707A3B" w:rsidRPr="00DD57BB">
        <w:t>indicates</w:t>
      </w:r>
      <w:proofErr w:type="spellEnd"/>
      <w:r w:rsidR="00707A3B" w:rsidRPr="00DD57BB">
        <w:t xml:space="preserve"> </w:t>
      </w:r>
      <w:r w:rsidR="009B052D" w:rsidRPr="00DD57BB">
        <w:t xml:space="preserve">the 95% </w:t>
      </w:r>
      <w:proofErr w:type="spellStart"/>
      <w:r w:rsidR="009B052D" w:rsidRPr="00DD57BB">
        <w:t>CI</w:t>
      </w:r>
      <w:r w:rsidR="00707A3B" w:rsidRPr="00DD57BB">
        <w:t>s</w:t>
      </w:r>
      <w:proofErr w:type="spellEnd"/>
      <w:r w:rsidR="00707A3B" w:rsidRPr="00DD57BB">
        <w:t xml:space="preserve"> of </w:t>
      </w:r>
      <w:proofErr w:type="spellStart"/>
      <w:r w:rsidR="00707A3B" w:rsidRPr="00DD57BB">
        <w:t>hazard</w:t>
      </w:r>
      <w:proofErr w:type="spellEnd"/>
      <w:r w:rsidR="00C5521C" w:rsidRPr="00DD57BB">
        <w:t xml:space="preserve"> ratios of PAD (solid </w:t>
      </w:r>
      <w:proofErr w:type="spellStart"/>
      <w:r w:rsidR="00C5521C" w:rsidRPr="00DD57BB">
        <w:t>blac</w:t>
      </w:r>
      <w:r w:rsidR="003B04EA" w:rsidRPr="00DD57BB">
        <w:t>k</w:t>
      </w:r>
      <w:proofErr w:type="spellEnd"/>
      <w:r w:rsidR="003B04EA" w:rsidRPr="00DD57BB">
        <w:t xml:space="preserve"> line). The </w:t>
      </w:r>
      <w:proofErr w:type="spellStart"/>
      <w:r w:rsidR="003B04EA" w:rsidRPr="00DD57BB">
        <w:t>spline</w:t>
      </w:r>
      <w:proofErr w:type="spellEnd"/>
      <w:r w:rsidR="003B04EA" w:rsidRPr="00DD57BB">
        <w:t xml:space="preserve"> plot is</w:t>
      </w:r>
      <w:r w:rsidR="00C5521C" w:rsidRPr="00DD57BB">
        <w:t xml:space="preserve"> </w:t>
      </w:r>
      <w:proofErr w:type="spellStart"/>
      <w:r w:rsidR="00C5521C" w:rsidRPr="00DD57BB">
        <w:t>shown</w:t>
      </w:r>
      <w:proofErr w:type="spellEnd"/>
      <w:r w:rsidR="00C5521C" w:rsidRPr="00DD57BB">
        <w:t xml:space="preserve"> for the 2.5-97.5 </w:t>
      </w:r>
      <w:proofErr w:type="spellStart"/>
      <w:r w:rsidR="00C5521C" w:rsidRPr="00DD57BB">
        <w:t>percentiles</w:t>
      </w:r>
      <w:proofErr w:type="spellEnd"/>
      <w:r w:rsidR="00C5521C" w:rsidRPr="00DD57BB">
        <w:t xml:space="preserve"> of ALA </w:t>
      </w:r>
      <w:proofErr w:type="spellStart"/>
      <w:r w:rsidR="00C5521C" w:rsidRPr="00DD57BB">
        <w:t>intake</w:t>
      </w:r>
      <w:proofErr w:type="spellEnd"/>
      <w:r w:rsidR="00C5521C" w:rsidRPr="00DD57BB">
        <w:t>.</w:t>
      </w:r>
    </w:p>
    <w:p w14:paraId="7BA9222A" w14:textId="77777777" w:rsidR="00C5521C" w:rsidRPr="00DD57BB" w:rsidRDefault="00C5521C" w:rsidP="00E567D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4BAC9D24" w14:textId="29765BD0" w:rsidR="00882FCB" w:rsidRPr="00DD57BB" w:rsidRDefault="00EA571D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  <w:r w:rsidRPr="00DD57BB">
        <w:rPr>
          <w:noProof/>
        </w:rPr>
        <w:drawing>
          <wp:inline distT="0" distB="0" distL="0" distR="0" wp14:anchorId="3CAD056B" wp14:editId="078F25FE">
            <wp:extent cx="6116320" cy="4445635"/>
            <wp:effectExtent l="0" t="0" r="508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LAintake_PAD_M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4D50" w14:textId="77777777" w:rsidR="00882FCB" w:rsidRPr="00DD57BB" w:rsidRDefault="00882FCB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39B2A42E" w14:textId="77777777" w:rsidR="00DE0763" w:rsidRPr="00DD57BB" w:rsidRDefault="00DE0763" w:rsidP="00E567DF">
      <w:pPr>
        <w:widowControl w:val="0"/>
        <w:autoSpaceDE w:val="0"/>
        <w:autoSpaceDN w:val="0"/>
        <w:adjustRightInd w:val="0"/>
        <w:spacing w:line="360" w:lineRule="auto"/>
      </w:pPr>
    </w:p>
    <w:p w14:paraId="56553294" w14:textId="77777777" w:rsidR="00DE0763" w:rsidRPr="00DD57BB" w:rsidRDefault="00DE0763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26261F73" w14:textId="77777777" w:rsidR="00DE0763" w:rsidRPr="00DD57BB" w:rsidRDefault="00DE0763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0BDCB074" w14:textId="77777777" w:rsidR="00DD1C61" w:rsidRPr="00DD57BB" w:rsidRDefault="00DD1C61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2C69F7C2" w14:textId="77777777" w:rsidR="00DD1C61" w:rsidRPr="00DD57BB" w:rsidRDefault="00DD1C61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0AE44DA5" w14:textId="77777777" w:rsidR="00DD1C61" w:rsidRPr="00DD57BB" w:rsidRDefault="00DD1C61" w:rsidP="00E567DF">
      <w:pPr>
        <w:widowControl w:val="0"/>
        <w:autoSpaceDE w:val="0"/>
        <w:autoSpaceDN w:val="0"/>
        <w:adjustRightInd w:val="0"/>
        <w:spacing w:line="360" w:lineRule="auto"/>
        <w:sectPr w:rsidR="00DD1C61" w:rsidRPr="00DD57BB" w:rsidSect="00E567DF">
          <w:footerReference w:type="default" r:id="rId10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Style w:val="Tabel-Gitter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1559"/>
        <w:gridCol w:w="1559"/>
        <w:gridCol w:w="1702"/>
        <w:gridCol w:w="284"/>
        <w:gridCol w:w="1275"/>
        <w:gridCol w:w="709"/>
        <w:gridCol w:w="1559"/>
        <w:gridCol w:w="1560"/>
        <w:gridCol w:w="1559"/>
      </w:tblGrid>
      <w:tr w:rsidR="00DD1C61" w:rsidRPr="00DD57BB" w14:paraId="6F23142D" w14:textId="77777777" w:rsidTr="00555997">
        <w:trPr>
          <w:trHeight w:val="182"/>
          <w:jc w:val="center"/>
        </w:trPr>
        <w:tc>
          <w:tcPr>
            <w:tcW w:w="138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A4D243" w14:textId="1A3C95B2" w:rsidR="00DD1C61" w:rsidRPr="00DD57BB" w:rsidRDefault="00DD1C61" w:rsidP="00E567DF">
            <w:pPr>
              <w:rPr>
                <w:color w:val="FF0000"/>
                <w:sz w:val="20"/>
                <w:szCs w:val="20"/>
              </w:rPr>
            </w:pPr>
            <w:r w:rsidRPr="00DD57BB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Supplemental </w:t>
            </w:r>
            <w:proofErr w:type="spellStart"/>
            <w:r w:rsidRPr="00DD57BB">
              <w:rPr>
                <w:b/>
                <w:color w:val="000000" w:themeColor="text1"/>
                <w:sz w:val="20"/>
                <w:szCs w:val="20"/>
              </w:rPr>
              <w:t>Table</w:t>
            </w:r>
            <w:proofErr w:type="spellEnd"/>
            <w:r w:rsidRPr="00DD57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82574" w:rsidRPr="00DD57BB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DD57BB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836E95" w:rsidRPr="00DD57BB">
              <w:rPr>
                <w:color w:val="000000" w:themeColor="text1"/>
                <w:sz w:val="20"/>
                <w:szCs w:val="20"/>
              </w:rPr>
              <w:t xml:space="preserve"> Sex</w:t>
            </w:r>
            <w:r w:rsidR="006A148F" w:rsidRPr="00DD57BB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6A148F" w:rsidRPr="00DD57BB">
              <w:rPr>
                <w:color w:val="000000" w:themeColor="text1"/>
                <w:sz w:val="20"/>
                <w:szCs w:val="20"/>
              </w:rPr>
              <w:t>specific</w:t>
            </w:r>
            <w:proofErr w:type="spellEnd"/>
            <w:r w:rsidR="006A148F" w:rsidRPr="00DD57BB">
              <w:rPr>
                <w:color w:val="000000" w:themeColor="text1"/>
                <w:sz w:val="20"/>
                <w:szCs w:val="20"/>
              </w:rPr>
              <w:t xml:space="preserve"> analyses of</w:t>
            </w:r>
            <w:r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quintiles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energy-adjusted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ALA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intake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hazard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ratios for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peripheral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artery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disease</w:t>
            </w:r>
            <w:proofErr w:type="spellEnd"/>
          </w:p>
        </w:tc>
      </w:tr>
      <w:tr w:rsidR="00DD1C61" w:rsidRPr="00DD57BB" w14:paraId="726C3D01" w14:textId="77777777" w:rsidTr="00555997">
        <w:trPr>
          <w:trHeight w:val="48"/>
          <w:jc w:val="center"/>
        </w:trPr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9F943" w14:textId="77777777" w:rsidR="00DD1C61" w:rsidRPr="00DD57BB" w:rsidRDefault="00DD1C61" w:rsidP="00E567DF">
            <w:pPr>
              <w:rPr>
                <w:b/>
                <w:color w:val="FF0000"/>
                <w:sz w:val="4"/>
                <w:szCs w:val="4"/>
              </w:rPr>
            </w:pPr>
          </w:p>
        </w:tc>
      </w:tr>
      <w:tr w:rsidR="00DD1C61" w:rsidRPr="00DD57BB" w14:paraId="4FBB204A" w14:textId="77777777" w:rsidTr="00555997">
        <w:trPr>
          <w:trHeight w:val="123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D3C03" w14:textId="0E343AEB" w:rsidR="00DD1C61" w:rsidRPr="00DD57BB" w:rsidRDefault="00A62270" w:rsidP="00E567DF">
            <w:pPr>
              <w:jc w:val="center"/>
              <w:rPr>
                <w:color w:val="FF0000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Men (n = 26.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332)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A40141" w14:textId="77777777" w:rsidR="00DD1C61" w:rsidRPr="00DD57BB" w:rsidRDefault="00DD1C61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0DD01" w14:textId="6591D848" w:rsidR="00DD1C61" w:rsidRPr="00DD57BB" w:rsidRDefault="00A62270" w:rsidP="00E567DF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Women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(n = 28.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916)</w:t>
            </w:r>
          </w:p>
        </w:tc>
      </w:tr>
      <w:tr w:rsidR="00DD1C61" w:rsidRPr="00DD57BB" w14:paraId="00D2A278" w14:textId="77777777" w:rsidTr="00555997">
        <w:trPr>
          <w:trHeight w:val="5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2A82C" w14:textId="77777777" w:rsidR="00DD1C61" w:rsidRPr="00DD57BB" w:rsidRDefault="00DD1C61" w:rsidP="00E567D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Quintiles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of ALA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intake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A9267" w14:textId="77777777" w:rsidR="00DD1C61" w:rsidRPr="00DD57BB" w:rsidRDefault="00DD1C61" w:rsidP="00E567DF">
            <w:pPr>
              <w:ind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F3AE7" w14:textId="643F24A4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Model 1A</w:t>
            </w:r>
            <w:r w:rsidR="00882BA8" w:rsidRPr="00DD57BB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3A6AF" w14:textId="4761F4DA" w:rsidR="00DD1C61" w:rsidRPr="00DD57BB" w:rsidRDefault="00DD1C61" w:rsidP="00E567DF">
            <w:pPr>
              <w:jc w:val="center"/>
              <w:rPr>
                <w:rFonts w:eastAsia="Times New Roman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Model 1B</w:t>
            </w:r>
            <w:r w:rsidR="00882BA8" w:rsidRPr="00DD57BB">
              <w:rPr>
                <w:rFonts w:eastAsia="Times New Roman"/>
              </w:rPr>
              <w:t>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E374E" w14:textId="48610BFF" w:rsidR="00DD1C61" w:rsidRPr="00DD57BB" w:rsidRDefault="00DD1C61" w:rsidP="00E567DF">
            <w:pPr>
              <w:jc w:val="center"/>
              <w:rPr>
                <w:rFonts w:eastAsia="Times New Roman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Model 2</w:t>
            </w:r>
            <w:r w:rsidR="00882BA8" w:rsidRPr="00DD57BB">
              <w:rPr>
                <w:rFonts w:eastAsia="Times New Roman"/>
              </w:rPr>
              <w:t>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C79DD" w14:textId="77777777" w:rsidR="00DD1C61" w:rsidRPr="00DD57BB" w:rsidRDefault="00DD1C61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4BBD48B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Quintiles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of ALA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intake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E0B7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AAF02" w14:textId="4F4306B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Model 1A</w:t>
            </w:r>
            <w:r w:rsidR="00882BA8" w:rsidRPr="00DD57BB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8DA76" w14:textId="024217BB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Model 1B</w:t>
            </w:r>
            <w:r w:rsidR="00882BA8" w:rsidRPr="00DD57BB">
              <w:rPr>
                <w:rFonts w:eastAsia="Times New Roman"/>
              </w:rPr>
              <w:t>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1A8BA" w14:textId="023CD5D3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Model 2</w:t>
            </w:r>
            <w:r w:rsidR="00882BA8" w:rsidRPr="00DD57BB">
              <w:rPr>
                <w:rFonts w:eastAsia="Times New Roman"/>
              </w:rPr>
              <w:t>‡</w:t>
            </w:r>
          </w:p>
        </w:tc>
      </w:tr>
      <w:tr w:rsidR="00A62270" w:rsidRPr="00DD57BB" w14:paraId="20421D37" w14:textId="77777777" w:rsidTr="007318BA">
        <w:trPr>
          <w:trHeight w:val="5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F803B" w14:textId="77777777" w:rsidR="00A62270" w:rsidRPr="00DD57BB" w:rsidRDefault="00A62270" w:rsidP="00E567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D7187A" w14:textId="77777777" w:rsidR="00A62270" w:rsidRPr="00DD57BB" w:rsidRDefault="00A62270" w:rsidP="00E567DF">
            <w:pPr>
              <w:ind w:left="-72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D57BB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  <w:r w:rsidRPr="00DD57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133D2D" w14:textId="1416B17E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E252D5" w14:textId="7C9D7027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8F329" w14:textId="6B0E0017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53F5E" w14:textId="77777777" w:rsidR="00A62270" w:rsidRPr="00DD57BB" w:rsidRDefault="00A62270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6CB9F6" w14:textId="77777777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6F0C7" w14:textId="77777777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D57BB">
              <w:rPr>
                <w:color w:val="000000" w:themeColor="text1"/>
                <w:sz w:val="20"/>
                <w:szCs w:val="20"/>
              </w:rPr>
              <w:t>n</w:t>
            </w:r>
            <w:proofErr w:type="gramEnd"/>
            <w:r w:rsidRPr="00DD57B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95ED1" w14:textId="60FDFF77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7CA7A" w14:textId="52927F51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F2D9" w14:textId="5CC046D0" w:rsidR="00A62270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</w:tr>
      <w:tr w:rsidR="00DD1C61" w:rsidRPr="00DD57BB" w14:paraId="44A0BDEB" w14:textId="77777777" w:rsidTr="00555997">
        <w:trPr>
          <w:trHeight w:val="206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78B2B" w14:textId="77777777" w:rsidR="00DD1C61" w:rsidRPr="00DD57BB" w:rsidRDefault="00DD1C61" w:rsidP="00E567D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&lt;1.67 g/d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2AF56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D515B" w14:textId="77777777" w:rsidR="00DD1C61" w:rsidRPr="00DD57BB" w:rsidRDefault="00DD1C61" w:rsidP="00E567DF">
            <w:pPr>
              <w:ind w:right="-76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 (reference)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6E51B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 (reference)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FF680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 (reference)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08776" w14:textId="77777777" w:rsidR="00DD1C61" w:rsidRPr="00DD57BB" w:rsidRDefault="00DD1C61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97031" w14:textId="77777777" w:rsidR="00DD1C61" w:rsidRPr="00DD57BB" w:rsidRDefault="00DD1C61" w:rsidP="00E567DF">
            <w:pPr>
              <w:ind w:left="-60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D57BB">
              <w:rPr>
                <w:color w:val="000000" w:themeColor="text1"/>
                <w:sz w:val="20"/>
                <w:szCs w:val="20"/>
              </w:rPr>
              <w:t>&lt; 1.24</w:t>
            </w:r>
            <w:proofErr w:type="gramEnd"/>
            <w:r w:rsidRPr="00DD57BB">
              <w:rPr>
                <w:color w:val="000000" w:themeColor="text1"/>
                <w:sz w:val="20"/>
                <w:szCs w:val="20"/>
              </w:rPr>
              <w:t xml:space="preserve"> g/d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1D5BB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116D0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 (reference)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50606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 (reference)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4F391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 (reference)</w:t>
            </w:r>
          </w:p>
        </w:tc>
      </w:tr>
      <w:tr w:rsidR="00DD1C61" w:rsidRPr="00DD57BB" w14:paraId="5709B980" w14:textId="77777777" w:rsidTr="00555997">
        <w:trPr>
          <w:trHeight w:val="182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A2BBB5" w14:textId="3FF291EC" w:rsidR="00DD1C61" w:rsidRPr="00DD57BB" w:rsidRDefault="00DD1C61" w:rsidP="00E567D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1.67</w:t>
            </w:r>
            <w:r w:rsidR="001458F1" w:rsidRPr="00DD57BB">
              <w:rPr>
                <w:color w:val="000000" w:themeColor="text1"/>
                <w:sz w:val="20"/>
                <w:szCs w:val="20"/>
              </w:rPr>
              <w:t>-1</w:t>
            </w:r>
            <w:r w:rsidRPr="00DD57BB">
              <w:rPr>
                <w:color w:val="000000" w:themeColor="text1"/>
                <w:sz w:val="20"/>
                <w:szCs w:val="20"/>
              </w:rPr>
              <w:t>.94 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7F8B4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DCE515" w14:textId="28F210BB" w:rsidR="00DD1C61" w:rsidRPr="00DD57BB" w:rsidRDefault="00A62270" w:rsidP="00E567DF">
            <w:pPr>
              <w:ind w:right="-76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1.18 (0.91;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4D52B6" w14:textId="287BA409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1.12 (0.86;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1.46)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96AE22B" w14:textId="7F73BBE8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1.18 (0.91;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1.55)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733B20" w14:textId="77777777" w:rsidR="00DD1C61" w:rsidRPr="00DD57BB" w:rsidRDefault="00DD1C61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B01A9C" w14:textId="77777777" w:rsidR="00DD1C61" w:rsidRPr="00DD57BB" w:rsidRDefault="00DD1C61" w:rsidP="00E567DF">
            <w:pPr>
              <w:ind w:left="-6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1.24-1.43 g/d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F9A04D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876457" w14:textId="5A282721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1.14 (0.78;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1.66)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214A8D" w14:textId="55FD85E1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1.02 (0.70;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35E11C" w14:textId="20AE6A76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1.02 (0.70;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1.49)</w:t>
            </w:r>
          </w:p>
        </w:tc>
      </w:tr>
      <w:tr w:rsidR="00DD1C61" w:rsidRPr="00DD57BB" w14:paraId="2D234538" w14:textId="77777777" w:rsidTr="00555997">
        <w:trPr>
          <w:trHeight w:val="17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1E4489" w14:textId="0F696556" w:rsidR="00DD1C61" w:rsidRPr="00DD57BB" w:rsidRDefault="00DC722E" w:rsidP="00E567D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1.94-2.19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 xml:space="preserve"> 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7F7DD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2CA6AF" w14:textId="5563B774" w:rsidR="00DD1C61" w:rsidRPr="00DD57BB" w:rsidRDefault="00A62270" w:rsidP="00E567DF">
            <w:pPr>
              <w:ind w:right="-76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1.19 (0.91;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0379C4" w14:textId="72FFA7E0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1.07 (0.82;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1.39)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9632725" w14:textId="1BDD1E05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1.11 (0.85;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1.45)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E1B990" w14:textId="77777777" w:rsidR="00DD1C61" w:rsidRPr="00DD57BB" w:rsidRDefault="00DD1C61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98C4B8" w14:textId="3472744B" w:rsidR="00DD1C61" w:rsidRPr="00DD57BB" w:rsidRDefault="006A148F" w:rsidP="00E567DF">
            <w:pPr>
              <w:ind w:left="-6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1.43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-1.62 g/d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BFA6F9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75A061" w14:textId="20C59EC3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1.48 (1.03;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2.11)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96A83F" w14:textId="5102A038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1.15 (0.80;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C127DE" w14:textId="47796789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1.21 (0.84;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1.73)</w:t>
            </w:r>
          </w:p>
        </w:tc>
      </w:tr>
      <w:tr w:rsidR="00DD1C61" w:rsidRPr="00DD57BB" w14:paraId="6B518DFB" w14:textId="77777777" w:rsidTr="00555997">
        <w:trPr>
          <w:trHeight w:val="121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233974" w14:textId="77777777" w:rsidR="00DD1C61" w:rsidRPr="00DD57BB" w:rsidRDefault="00DD1C61" w:rsidP="00E567D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2.19-2.54 g/d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FF541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50777B" w14:textId="2840BFB9" w:rsidR="00DD1C61" w:rsidRPr="00DD57BB" w:rsidRDefault="00DD1C61" w:rsidP="00E567DF">
            <w:pPr>
              <w:ind w:right="-76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1.17 (0.9</w:t>
            </w:r>
            <w:r w:rsidR="00A62270" w:rsidRPr="00DD57BB">
              <w:rPr>
                <w:color w:val="000000" w:themeColor="text1"/>
                <w:sz w:val="20"/>
                <w:szCs w:val="20"/>
              </w:rPr>
              <w:t xml:space="preserve">0; </w:t>
            </w:r>
            <w:r w:rsidRPr="00DD57BB">
              <w:rPr>
                <w:color w:val="000000" w:themeColor="text1"/>
                <w:sz w:val="20"/>
                <w:szCs w:val="20"/>
              </w:rPr>
              <w:t>1.53)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04A4B7" w14:textId="02ECD5BB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0.94 (0.72;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1.24)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22FE436" w14:textId="702E3FA6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1.00 (0.77;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1.32)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2BC64" w14:textId="77777777" w:rsidR="00DD1C61" w:rsidRPr="00DD57BB" w:rsidRDefault="00DD1C61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121AD3" w14:textId="40202823" w:rsidR="00DD1C61" w:rsidRPr="00DD57BB" w:rsidRDefault="006A148F" w:rsidP="00E567DF">
            <w:pPr>
              <w:ind w:left="-6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1.62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-1.88 g/d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9BE9F7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6B9659" w14:textId="3647524C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1.55 (1.09;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2.21)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73CA92" w14:textId="046E3FE8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1.06 (0.74;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2F0EA5" w14:textId="02F60F20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1.08 (0.76;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1.55)</w:t>
            </w:r>
          </w:p>
        </w:tc>
      </w:tr>
      <w:tr w:rsidR="00DD1C61" w:rsidRPr="00DD57BB" w14:paraId="4FB9BEED" w14:textId="77777777" w:rsidTr="00555997">
        <w:trPr>
          <w:trHeight w:val="97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0BF4F" w14:textId="77777777" w:rsidR="00DD1C61" w:rsidRPr="00DD57BB" w:rsidRDefault="00DD1C61" w:rsidP="00E567DF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&gt;2.54 g/d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80D8C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C7127" w14:textId="1445B44A" w:rsidR="00DD1C61" w:rsidRPr="00DD57BB" w:rsidRDefault="00A62270" w:rsidP="00E567DF">
            <w:pPr>
              <w:ind w:right="-76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1.34 (1.03;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1.74)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DAEF9" w14:textId="153B9831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1.03 (0.79;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1.34)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E5D12" w14:textId="4DC1E8E8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1.12 (0.86;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1.45)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57AD8" w14:textId="77777777" w:rsidR="00DD1C61" w:rsidRPr="00DD57BB" w:rsidRDefault="00DD1C61" w:rsidP="00E567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67B52" w14:textId="77777777" w:rsidR="00DD1C61" w:rsidRPr="00DD57BB" w:rsidRDefault="00DD1C61" w:rsidP="00E567DF">
            <w:pPr>
              <w:ind w:left="-60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&gt; 1.88 g/d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5E43D" w14:textId="77777777" w:rsidR="00DD1C61" w:rsidRPr="00DD57BB" w:rsidRDefault="00DD1C61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1BDC4" w14:textId="7BCC2341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1.88 (1.33;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2.64)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9FE96" w14:textId="64FCAEFA" w:rsidR="00DD1C61" w:rsidRPr="00DD57BB" w:rsidRDefault="00A62270" w:rsidP="00E567DF">
            <w:pPr>
              <w:jc w:val="center"/>
              <w:rPr>
                <w:color w:val="FF0000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1.15 (0.81;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1.63)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8C065" w14:textId="346E396F" w:rsidR="00DD1C61" w:rsidRPr="00DD57BB" w:rsidRDefault="00A62270" w:rsidP="00E567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1.18 (0.84; </w:t>
            </w:r>
            <w:r w:rsidR="00DD1C61" w:rsidRPr="00DD57BB">
              <w:rPr>
                <w:color w:val="000000" w:themeColor="text1"/>
                <w:sz w:val="20"/>
                <w:szCs w:val="20"/>
              </w:rPr>
              <w:t>1.68)</w:t>
            </w:r>
          </w:p>
        </w:tc>
      </w:tr>
      <w:tr w:rsidR="00DD1C61" w:rsidRPr="00DD57BB" w14:paraId="4BFBBBEB" w14:textId="77777777" w:rsidTr="00555997">
        <w:trPr>
          <w:trHeight w:val="195"/>
          <w:jc w:val="center"/>
        </w:trPr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6D8781" w14:textId="76D8EF34" w:rsidR="00882BA8" w:rsidRPr="00DD57BB" w:rsidRDefault="00882BA8" w:rsidP="00E567DF">
            <w:pPr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Abbreviations: ALA,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alpha-linolenic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acid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; HR,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hazard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ratio</w:t>
            </w:r>
          </w:p>
          <w:p w14:paraId="0F6A42D8" w14:textId="234E51FC" w:rsidR="00282574" w:rsidRPr="00DD57BB" w:rsidRDefault="00647F75" w:rsidP="00E567DF">
            <w:pPr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</w:rPr>
              <w:t xml:space="preserve">Statistical analyses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were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conducted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Cox proportional </w:t>
            </w:r>
            <w:proofErr w:type="spellStart"/>
            <w:r w:rsidRPr="00DD57BB">
              <w:rPr>
                <w:color w:val="000000" w:themeColor="text1"/>
                <w:sz w:val="20"/>
                <w:szCs w:val="20"/>
              </w:rPr>
              <w:t>hazard</w:t>
            </w:r>
            <w:proofErr w:type="spellEnd"/>
            <w:r w:rsidRPr="00DD57BB">
              <w:rPr>
                <w:color w:val="000000" w:themeColor="text1"/>
                <w:sz w:val="20"/>
                <w:szCs w:val="20"/>
              </w:rPr>
              <w:t xml:space="preserve"> regression. </w:t>
            </w:r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All models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were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adjusted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gender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by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allowing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baseline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hazards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among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men and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women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differ</w:t>
            </w:r>
            <w:proofErr w:type="spellEnd"/>
            <w:r w:rsidR="00882BA8" w:rsidRPr="00DD57BB">
              <w:rPr>
                <w:color w:val="000000" w:themeColor="text1"/>
                <w:sz w:val="20"/>
                <w:szCs w:val="20"/>
              </w:rPr>
              <w:t>.</w:t>
            </w:r>
          </w:p>
          <w:p w14:paraId="324DD34B" w14:textId="77777777" w:rsidR="00882BA8" w:rsidRPr="00DD57BB" w:rsidRDefault="00882BA8" w:rsidP="00E567DF">
            <w:pPr>
              <w:rPr>
                <w:color w:val="000000" w:themeColor="text1"/>
                <w:sz w:val="10"/>
                <w:szCs w:val="10"/>
              </w:rPr>
            </w:pPr>
          </w:p>
          <w:p w14:paraId="7A93160E" w14:textId="37D9A102" w:rsidR="00282574" w:rsidRPr="00DD57BB" w:rsidRDefault="00882BA8" w:rsidP="00E567DF">
            <w:pPr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Model 1A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included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baseline age </w:t>
            </w:r>
          </w:p>
          <w:p w14:paraId="77C22320" w14:textId="74A3997F" w:rsidR="00282574" w:rsidRPr="00DD57BB" w:rsidRDefault="00882BA8" w:rsidP="00E567DF">
            <w:pPr>
              <w:rPr>
                <w:color w:val="000000" w:themeColor="text1"/>
                <w:sz w:val="20"/>
                <w:szCs w:val="20"/>
              </w:rPr>
            </w:pPr>
            <w:r w:rsidRPr="00DD57BB">
              <w:rPr>
                <w:rFonts w:eastAsia="Times New Roman"/>
              </w:rPr>
              <w:t>†</w:t>
            </w:r>
            <w:r w:rsidR="00282574" w:rsidRPr="00DD57BB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Model 1B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included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the variables of model 1A and the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following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risk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factors for PAD: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length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schooling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, smoking,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physical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activity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waist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circumference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, body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mass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index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alcohol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intake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5AECDD89" w14:textId="1C896EF7" w:rsidR="00DD1C61" w:rsidRPr="00DD57BB" w:rsidRDefault="00882BA8" w:rsidP="00E567DF">
            <w:pPr>
              <w:rPr>
                <w:color w:val="000000" w:themeColor="text1"/>
              </w:rPr>
            </w:pPr>
            <w:r w:rsidRPr="00DD57BB">
              <w:rPr>
                <w:rFonts w:eastAsia="Times New Roman"/>
              </w:rPr>
              <w:t>‡</w:t>
            </w:r>
            <w:r w:rsidR="00282574" w:rsidRPr="00DD57BB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Model 2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included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the variables of model 1B and the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following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potential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intermediate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variables: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self-reported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history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hypercholesterolemia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and/or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use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of lipid-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lowering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medication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hypertension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and/or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use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antihypertensive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medication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and diabetes mellitus and/or </w:t>
            </w:r>
            <w:proofErr w:type="spellStart"/>
            <w:r w:rsidR="00282574" w:rsidRPr="00DD57BB">
              <w:rPr>
                <w:color w:val="000000" w:themeColor="text1"/>
                <w:sz w:val="20"/>
                <w:szCs w:val="20"/>
              </w:rPr>
              <w:t>use</w:t>
            </w:r>
            <w:proofErr w:type="spellEnd"/>
            <w:r w:rsidR="00282574" w:rsidRPr="00DD57BB">
              <w:rPr>
                <w:color w:val="000000" w:themeColor="text1"/>
                <w:sz w:val="20"/>
                <w:szCs w:val="20"/>
              </w:rPr>
              <w:t xml:space="preserve"> of insulin.</w:t>
            </w:r>
          </w:p>
        </w:tc>
      </w:tr>
    </w:tbl>
    <w:p w14:paraId="75009579" w14:textId="32734329" w:rsidR="00DD1C61" w:rsidRPr="00DD57BB" w:rsidRDefault="00DD1C61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4CE0B717" w14:textId="77777777" w:rsidR="00282574" w:rsidRPr="00DD57BB" w:rsidRDefault="00282574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63DCDA99" w14:textId="77777777" w:rsidR="00282574" w:rsidRPr="00DD57BB" w:rsidRDefault="00282574" w:rsidP="00E567DF">
      <w:pPr>
        <w:widowControl w:val="0"/>
        <w:autoSpaceDE w:val="0"/>
        <w:autoSpaceDN w:val="0"/>
        <w:adjustRightInd w:val="0"/>
        <w:spacing w:line="360" w:lineRule="auto"/>
        <w:ind w:left="640" w:hanging="640"/>
      </w:pPr>
    </w:p>
    <w:p w14:paraId="2ABB1958" w14:textId="77777777" w:rsidR="00282574" w:rsidRPr="00DD57BB" w:rsidRDefault="00282574" w:rsidP="00B46280">
      <w:pPr>
        <w:widowControl w:val="0"/>
        <w:autoSpaceDE w:val="0"/>
        <w:autoSpaceDN w:val="0"/>
        <w:adjustRightInd w:val="0"/>
        <w:spacing w:line="360" w:lineRule="auto"/>
      </w:pPr>
    </w:p>
    <w:sectPr w:rsidR="00282574" w:rsidRPr="00DD57BB" w:rsidSect="00D30061">
      <w:pgSz w:w="16840" w:h="11900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BA58" w14:textId="77777777" w:rsidR="009949E5" w:rsidRDefault="009949E5" w:rsidP="00C5521C">
      <w:r>
        <w:separator/>
      </w:r>
    </w:p>
  </w:endnote>
  <w:endnote w:type="continuationSeparator" w:id="0">
    <w:p w14:paraId="6DDC1B69" w14:textId="77777777" w:rsidR="009949E5" w:rsidRDefault="009949E5" w:rsidP="00C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94817"/>
      <w:docPartObj>
        <w:docPartGallery w:val="Page Numbers (Bottom of Page)"/>
        <w:docPartUnique/>
      </w:docPartObj>
    </w:sdtPr>
    <w:sdtEndPr/>
    <w:sdtContent>
      <w:p w14:paraId="58387897" w14:textId="3C67B68C" w:rsidR="00354E6B" w:rsidRDefault="00354E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BB">
          <w:rPr>
            <w:noProof/>
          </w:rPr>
          <w:t>3</w:t>
        </w:r>
        <w:r>
          <w:fldChar w:fldCharType="end"/>
        </w:r>
      </w:p>
    </w:sdtContent>
  </w:sdt>
  <w:p w14:paraId="32655B7A" w14:textId="54799AE7" w:rsidR="00354E6B" w:rsidRDefault="00354E6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9D3C5" w14:textId="77777777" w:rsidR="009949E5" w:rsidRDefault="009949E5" w:rsidP="00C5521C">
      <w:r>
        <w:separator/>
      </w:r>
    </w:p>
  </w:footnote>
  <w:footnote w:type="continuationSeparator" w:id="0">
    <w:p w14:paraId="5A3AFF18" w14:textId="77777777" w:rsidR="009949E5" w:rsidRDefault="009949E5" w:rsidP="00C5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a-DK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3"/>
    <w:rsid w:val="000017CB"/>
    <w:rsid w:val="000027DB"/>
    <w:rsid w:val="00013089"/>
    <w:rsid w:val="00014BCE"/>
    <w:rsid w:val="000277F4"/>
    <w:rsid w:val="00030A0E"/>
    <w:rsid w:val="000314F7"/>
    <w:rsid w:val="00033EE2"/>
    <w:rsid w:val="0005436C"/>
    <w:rsid w:val="00054BA4"/>
    <w:rsid w:val="00061FE6"/>
    <w:rsid w:val="000669CF"/>
    <w:rsid w:val="00081CA4"/>
    <w:rsid w:val="00082C1B"/>
    <w:rsid w:val="000834D1"/>
    <w:rsid w:val="0009217F"/>
    <w:rsid w:val="00093DA5"/>
    <w:rsid w:val="0009502E"/>
    <w:rsid w:val="00097366"/>
    <w:rsid w:val="000978F1"/>
    <w:rsid w:val="000A0AE5"/>
    <w:rsid w:val="000A392D"/>
    <w:rsid w:val="000A71F9"/>
    <w:rsid w:val="000A7418"/>
    <w:rsid w:val="000B2FAE"/>
    <w:rsid w:val="000B5EDC"/>
    <w:rsid w:val="000C4567"/>
    <w:rsid w:val="000D5FE0"/>
    <w:rsid w:val="000D62C0"/>
    <w:rsid w:val="0010063A"/>
    <w:rsid w:val="0010194F"/>
    <w:rsid w:val="0012210C"/>
    <w:rsid w:val="00125BE9"/>
    <w:rsid w:val="00131A6E"/>
    <w:rsid w:val="00142712"/>
    <w:rsid w:val="001433BA"/>
    <w:rsid w:val="00143435"/>
    <w:rsid w:val="00143BD6"/>
    <w:rsid w:val="001458F1"/>
    <w:rsid w:val="00151FA4"/>
    <w:rsid w:val="00153D13"/>
    <w:rsid w:val="00155EB5"/>
    <w:rsid w:val="00161796"/>
    <w:rsid w:val="0018404D"/>
    <w:rsid w:val="00185754"/>
    <w:rsid w:val="00185E39"/>
    <w:rsid w:val="0019252B"/>
    <w:rsid w:val="001B6E97"/>
    <w:rsid w:val="001C11BA"/>
    <w:rsid w:val="001C3D7D"/>
    <w:rsid w:val="001C49FA"/>
    <w:rsid w:val="001C4A76"/>
    <w:rsid w:val="001C57A5"/>
    <w:rsid w:val="001D2C41"/>
    <w:rsid w:val="001D34D8"/>
    <w:rsid w:val="001F1190"/>
    <w:rsid w:val="001F1B60"/>
    <w:rsid w:val="001F5FEA"/>
    <w:rsid w:val="00200205"/>
    <w:rsid w:val="00200A82"/>
    <w:rsid w:val="00202272"/>
    <w:rsid w:val="002058F3"/>
    <w:rsid w:val="00213C66"/>
    <w:rsid w:val="002203F3"/>
    <w:rsid w:val="0022287A"/>
    <w:rsid w:val="00227629"/>
    <w:rsid w:val="00241AB2"/>
    <w:rsid w:val="0024206B"/>
    <w:rsid w:val="002541D3"/>
    <w:rsid w:val="00260A6D"/>
    <w:rsid w:val="00262996"/>
    <w:rsid w:val="002638F7"/>
    <w:rsid w:val="00272B1B"/>
    <w:rsid w:val="00274947"/>
    <w:rsid w:val="00282574"/>
    <w:rsid w:val="002926B5"/>
    <w:rsid w:val="002A0F14"/>
    <w:rsid w:val="002A53BC"/>
    <w:rsid w:val="002A5CDA"/>
    <w:rsid w:val="002A68E8"/>
    <w:rsid w:val="002A6D0C"/>
    <w:rsid w:val="002B5CC1"/>
    <w:rsid w:val="002D2EF9"/>
    <w:rsid w:val="002E47E4"/>
    <w:rsid w:val="002F14A0"/>
    <w:rsid w:val="002F371B"/>
    <w:rsid w:val="00300DF6"/>
    <w:rsid w:val="003023FB"/>
    <w:rsid w:val="00310580"/>
    <w:rsid w:val="0031158D"/>
    <w:rsid w:val="00314524"/>
    <w:rsid w:val="00315548"/>
    <w:rsid w:val="00322B6C"/>
    <w:rsid w:val="003245B5"/>
    <w:rsid w:val="003259B4"/>
    <w:rsid w:val="0033753C"/>
    <w:rsid w:val="0034064D"/>
    <w:rsid w:val="00345788"/>
    <w:rsid w:val="003517E4"/>
    <w:rsid w:val="00354E6B"/>
    <w:rsid w:val="00355BDF"/>
    <w:rsid w:val="00366AE5"/>
    <w:rsid w:val="00376949"/>
    <w:rsid w:val="003854FF"/>
    <w:rsid w:val="00385A67"/>
    <w:rsid w:val="00390DA7"/>
    <w:rsid w:val="00396D07"/>
    <w:rsid w:val="003A25AD"/>
    <w:rsid w:val="003A6E2D"/>
    <w:rsid w:val="003B04EA"/>
    <w:rsid w:val="003B4883"/>
    <w:rsid w:val="003B7475"/>
    <w:rsid w:val="003C2D38"/>
    <w:rsid w:val="003C6F66"/>
    <w:rsid w:val="003C76F2"/>
    <w:rsid w:val="003D2DFC"/>
    <w:rsid w:val="003D4FF0"/>
    <w:rsid w:val="003E4891"/>
    <w:rsid w:val="003E6B0E"/>
    <w:rsid w:val="003F0F41"/>
    <w:rsid w:val="003F106D"/>
    <w:rsid w:val="003F70BD"/>
    <w:rsid w:val="004029CB"/>
    <w:rsid w:val="0040681F"/>
    <w:rsid w:val="004147D2"/>
    <w:rsid w:val="00415A3D"/>
    <w:rsid w:val="00420362"/>
    <w:rsid w:val="0042042E"/>
    <w:rsid w:val="0042123F"/>
    <w:rsid w:val="004215CC"/>
    <w:rsid w:val="0042175E"/>
    <w:rsid w:val="00434280"/>
    <w:rsid w:val="00447525"/>
    <w:rsid w:val="00455699"/>
    <w:rsid w:val="00455823"/>
    <w:rsid w:val="00456682"/>
    <w:rsid w:val="004702A8"/>
    <w:rsid w:val="00480029"/>
    <w:rsid w:val="00481DEB"/>
    <w:rsid w:val="00481F76"/>
    <w:rsid w:val="004921DA"/>
    <w:rsid w:val="00493032"/>
    <w:rsid w:val="004A377C"/>
    <w:rsid w:val="004A3E8A"/>
    <w:rsid w:val="004A4B0E"/>
    <w:rsid w:val="004A78CC"/>
    <w:rsid w:val="004B197F"/>
    <w:rsid w:val="004B424D"/>
    <w:rsid w:val="004B4D24"/>
    <w:rsid w:val="004B6851"/>
    <w:rsid w:val="004C430B"/>
    <w:rsid w:val="004D1048"/>
    <w:rsid w:val="004D72B2"/>
    <w:rsid w:val="004E290C"/>
    <w:rsid w:val="004F4945"/>
    <w:rsid w:val="00506497"/>
    <w:rsid w:val="00510B7C"/>
    <w:rsid w:val="00512048"/>
    <w:rsid w:val="00513385"/>
    <w:rsid w:val="00513BB0"/>
    <w:rsid w:val="00520A3F"/>
    <w:rsid w:val="0052431E"/>
    <w:rsid w:val="00530DAA"/>
    <w:rsid w:val="00537B3E"/>
    <w:rsid w:val="005441BA"/>
    <w:rsid w:val="005455EF"/>
    <w:rsid w:val="005550C6"/>
    <w:rsid w:val="00555997"/>
    <w:rsid w:val="005626B8"/>
    <w:rsid w:val="00563279"/>
    <w:rsid w:val="0059111E"/>
    <w:rsid w:val="00593141"/>
    <w:rsid w:val="0059419B"/>
    <w:rsid w:val="005A614F"/>
    <w:rsid w:val="005B35C1"/>
    <w:rsid w:val="005B69B6"/>
    <w:rsid w:val="005C0B64"/>
    <w:rsid w:val="005C406A"/>
    <w:rsid w:val="005D479D"/>
    <w:rsid w:val="005E2A1D"/>
    <w:rsid w:val="005F0529"/>
    <w:rsid w:val="00604987"/>
    <w:rsid w:val="006152AA"/>
    <w:rsid w:val="006172E3"/>
    <w:rsid w:val="00617DAC"/>
    <w:rsid w:val="0062108E"/>
    <w:rsid w:val="006242DE"/>
    <w:rsid w:val="00624E0F"/>
    <w:rsid w:val="00632269"/>
    <w:rsid w:val="00633F6C"/>
    <w:rsid w:val="00644C94"/>
    <w:rsid w:val="00646A63"/>
    <w:rsid w:val="0064789B"/>
    <w:rsid w:val="00647F75"/>
    <w:rsid w:val="00652ADA"/>
    <w:rsid w:val="00652B51"/>
    <w:rsid w:val="0065778A"/>
    <w:rsid w:val="00697587"/>
    <w:rsid w:val="006A148F"/>
    <w:rsid w:val="006C28F6"/>
    <w:rsid w:val="006C44D5"/>
    <w:rsid w:val="006C51B3"/>
    <w:rsid w:val="006D101A"/>
    <w:rsid w:val="006D5F24"/>
    <w:rsid w:val="006D6767"/>
    <w:rsid w:val="006E6763"/>
    <w:rsid w:val="006E788F"/>
    <w:rsid w:val="006F3A03"/>
    <w:rsid w:val="007021CF"/>
    <w:rsid w:val="00707A3B"/>
    <w:rsid w:val="007163FB"/>
    <w:rsid w:val="00721D2B"/>
    <w:rsid w:val="00724322"/>
    <w:rsid w:val="007318BA"/>
    <w:rsid w:val="00733B95"/>
    <w:rsid w:val="0073672D"/>
    <w:rsid w:val="0074606A"/>
    <w:rsid w:val="007471E9"/>
    <w:rsid w:val="00756A4B"/>
    <w:rsid w:val="00763BE4"/>
    <w:rsid w:val="007728B7"/>
    <w:rsid w:val="007731F7"/>
    <w:rsid w:val="00777F32"/>
    <w:rsid w:val="00780435"/>
    <w:rsid w:val="0078215C"/>
    <w:rsid w:val="00787302"/>
    <w:rsid w:val="00794473"/>
    <w:rsid w:val="007A4E3F"/>
    <w:rsid w:val="007A5363"/>
    <w:rsid w:val="007A7032"/>
    <w:rsid w:val="007B1B72"/>
    <w:rsid w:val="007C04F3"/>
    <w:rsid w:val="007C14DE"/>
    <w:rsid w:val="007C3EDA"/>
    <w:rsid w:val="007D366D"/>
    <w:rsid w:val="007E69D1"/>
    <w:rsid w:val="00805D0F"/>
    <w:rsid w:val="008065CD"/>
    <w:rsid w:val="008124C0"/>
    <w:rsid w:val="00815923"/>
    <w:rsid w:val="008161C4"/>
    <w:rsid w:val="0082246D"/>
    <w:rsid w:val="00826767"/>
    <w:rsid w:val="008311BA"/>
    <w:rsid w:val="00832D49"/>
    <w:rsid w:val="008338A7"/>
    <w:rsid w:val="00833ED2"/>
    <w:rsid w:val="008341C4"/>
    <w:rsid w:val="00836E95"/>
    <w:rsid w:val="008413BE"/>
    <w:rsid w:val="008436AF"/>
    <w:rsid w:val="00843A5D"/>
    <w:rsid w:val="00847E06"/>
    <w:rsid w:val="0085131E"/>
    <w:rsid w:val="008573FF"/>
    <w:rsid w:val="00867546"/>
    <w:rsid w:val="00871F4C"/>
    <w:rsid w:val="00882BA8"/>
    <w:rsid w:val="00882FCB"/>
    <w:rsid w:val="00890BFF"/>
    <w:rsid w:val="0089258C"/>
    <w:rsid w:val="00895240"/>
    <w:rsid w:val="0089603D"/>
    <w:rsid w:val="00897284"/>
    <w:rsid w:val="008A33CD"/>
    <w:rsid w:val="008A59D1"/>
    <w:rsid w:val="008A6FC2"/>
    <w:rsid w:val="008B13F0"/>
    <w:rsid w:val="008C24F0"/>
    <w:rsid w:val="008D0027"/>
    <w:rsid w:val="008D0666"/>
    <w:rsid w:val="008D7D0E"/>
    <w:rsid w:val="008E28EE"/>
    <w:rsid w:val="008F2626"/>
    <w:rsid w:val="00902423"/>
    <w:rsid w:val="00907CE2"/>
    <w:rsid w:val="009126D3"/>
    <w:rsid w:val="0092043D"/>
    <w:rsid w:val="0092091F"/>
    <w:rsid w:val="009209FD"/>
    <w:rsid w:val="00922E12"/>
    <w:rsid w:val="00926F70"/>
    <w:rsid w:val="009475CC"/>
    <w:rsid w:val="00950DD0"/>
    <w:rsid w:val="00952383"/>
    <w:rsid w:val="00955392"/>
    <w:rsid w:val="009634CD"/>
    <w:rsid w:val="00974425"/>
    <w:rsid w:val="00975106"/>
    <w:rsid w:val="00975620"/>
    <w:rsid w:val="00976566"/>
    <w:rsid w:val="0097671C"/>
    <w:rsid w:val="009815C8"/>
    <w:rsid w:val="00982EF2"/>
    <w:rsid w:val="0099453C"/>
    <w:rsid w:val="009949E5"/>
    <w:rsid w:val="009954E1"/>
    <w:rsid w:val="009B052D"/>
    <w:rsid w:val="009C45B2"/>
    <w:rsid w:val="009E44E3"/>
    <w:rsid w:val="009E50EE"/>
    <w:rsid w:val="009F3154"/>
    <w:rsid w:val="009F6E18"/>
    <w:rsid w:val="00A023A8"/>
    <w:rsid w:val="00A211B4"/>
    <w:rsid w:val="00A24028"/>
    <w:rsid w:val="00A3156F"/>
    <w:rsid w:val="00A47957"/>
    <w:rsid w:val="00A54F61"/>
    <w:rsid w:val="00A555F7"/>
    <w:rsid w:val="00A62270"/>
    <w:rsid w:val="00A62503"/>
    <w:rsid w:val="00A64AA2"/>
    <w:rsid w:val="00A700D8"/>
    <w:rsid w:val="00A7580F"/>
    <w:rsid w:val="00A774DE"/>
    <w:rsid w:val="00A842D0"/>
    <w:rsid w:val="00A85913"/>
    <w:rsid w:val="00A9163D"/>
    <w:rsid w:val="00A92735"/>
    <w:rsid w:val="00A93E3B"/>
    <w:rsid w:val="00AC0928"/>
    <w:rsid w:val="00AC5D0B"/>
    <w:rsid w:val="00AC6B08"/>
    <w:rsid w:val="00AC7810"/>
    <w:rsid w:val="00AD35B6"/>
    <w:rsid w:val="00AD564E"/>
    <w:rsid w:val="00AE2589"/>
    <w:rsid w:val="00AE4CB3"/>
    <w:rsid w:val="00AE76EB"/>
    <w:rsid w:val="00AF3C3A"/>
    <w:rsid w:val="00AF4FD1"/>
    <w:rsid w:val="00B00493"/>
    <w:rsid w:val="00B0734A"/>
    <w:rsid w:val="00B10E87"/>
    <w:rsid w:val="00B120DD"/>
    <w:rsid w:val="00B13A36"/>
    <w:rsid w:val="00B14B28"/>
    <w:rsid w:val="00B16058"/>
    <w:rsid w:val="00B20B07"/>
    <w:rsid w:val="00B22B64"/>
    <w:rsid w:val="00B23B20"/>
    <w:rsid w:val="00B31515"/>
    <w:rsid w:val="00B35E09"/>
    <w:rsid w:val="00B41684"/>
    <w:rsid w:val="00B43364"/>
    <w:rsid w:val="00B46280"/>
    <w:rsid w:val="00B572AD"/>
    <w:rsid w:val="00B640DA"/>
    <w:rsid w:val="00B64610"/>
    <w:rsid w:val="00B64F7C"/>
    <w:rsid w:val="00B65FBD"/>
    <w:rsid w:val="00B73B16"/>
    <w:rsid w:val="00B804FF"/>
    <w:rsid w:val="00B81E63"/>
    <w:rsid w:val="00B8719A"/>
    <w:rsid w:val="00B95388"/>
    <w:rsid w:val="00BA0F5C"/>
    <w:rsid w:val="00BA3AA1"/>
    <w:rsid w:val="00BB35B9"/>
    <w:rsid w:val="00BB45A6"/>
    <w:rsid w:val="00BB79E6"/>
    <w:rsid w:val="00BD6405"/>
    <w:rsid w:val="00BF1B49"/>
    <w:rsid w:val="00C01E73"/>
    <w:rsid w:val="00C03579"/>
    <w:rsid w:val="00C03EF8"/>
    <w:rsid w:val="00C1059C"/>
    <w:rsid w:val="00C143EA"/>
    <w:rsid w:val="00C279AA"/>
    <w:rsid w:val="00C34B2C"/>
    <w:rsid w:val="00C40DFC"/>
    <w:rsid w:val="00C44A7A"/>
    <w:rsid w:val="00C54A18"/>
    <w:rsid w:val="00C55075"/>
    <w:rsid w:val="00C5521C"/>
    <w:rsid w:val="00C61102"/>
    <w:rsid w:val="00C62551"/>
    <w:rsid w:val="00C67456"/>
    <w:rsid w:val="00C856A1"/>
    <w:rsid w:val="00C86892"/>
    <w:rsid w:val="00C877ED"/>
    <w:rsid w:val="00C92EC1"/>
    <w:rsid w:val="00CA21F4"/>
    <w:rsid w:val="00CA6931"/>
    <w:rsid w:val="00CC7439"/>
    <w:rsid w:val="00CD402B"/>
    <w:rsid w:val="00CD6519"/>
    <w:rsid w:val="00CE096A"/>
    <w:rsid w:val="00CE2C42"/>
    <w:rsid w:val="00CE2D0F"/>
    <w:rsid w:val="00CE7FEB"/>
    <w:rsid w:val="00CF02ED"/>
    <w:rsid w:val="00CF2E7A"/>
    <w:rsid w:val="00CF63A9"/>
    <w:rsid w:val="00D0349D"/>
    <w:rsid w:val="00D038AB"/>
    <w:rsid w:val="00D03F58"/>
    <w:rsid w:val="00D06686"/>
    <w:rsid w:val="00D15C7E"/>
    <w:rsid w:val="00D15DD0"/>
    <w:rsid w:val="00D23729"/>
    <w:rsid w:val="00D30061"/>
    <w:rsid w:val="00D33B48"/>
    <w:rsid w:val="00D433AE"/>
    <w:rsid w:val="00D603DA"/>
    <w:rsid w:val="00D60857"/>
    <w:rsid w:val="00D615C7"/>
    <w:rsid w:val="00D6678D"/>
    <w:rsid w:val="00D6711F"/>
    <w:rsid w:val="00D675E2"/>
    <w:rsid w:val="00D73F85"/>
    <w:rsid w:val="00D76CA9"/>
    <w:rsid w:val="00D7758B"/>
    <w:rsid w:val="00D86C30"/>
    <w:rsid w:val="00D90F7A"/>
    <w:rsid w:val="00D92ACC"/>
    <w:rsid w:val="00DA04BB"/>
    <w:rsid w:val="00DB40A0"/>
    <w:rsid w:val="00DC0936"/>
    <w:rsid w:val="00DC18FD"/>
    <w:rsid w:val="00DC4E42"/>
    <w:rsid w:val="00DC722E"/>
    <w:rsid w:val="00DD1C61"/>
    <w:rsid w:val="00DD57BB"/>
    <w:rsid w:val="00DD641A"/>
    <w:rsid w:val="00DD715C"/>
    <w:rsid w:val="00DE0763"/>
    <w:rsid w:val="00DE1621"/>
    <w:rsid w:val="00DE4B03"/>
    <w:rsid w:val="00DE6014"/>
    <w:rsid w:val="00DF1064"/>
    <w:rsid w:val="00DF22AF"/>
    <w:rsid w:val="00DF3701"/>
    <w:rsid w:val="00DF3A4F"/>
    <w:rsid w:val="00DF7E98"/>
    <w:rsid w:val="00E01959"/>
    <w:rsid w:val="00E113C6"/>
    <w:rsid w:val="00E15080"/>
    <w:rsid w:val="00E15705"/>
    <w:rsid w:val="00E244D6"/>
    <w:rsid w:val="00E30927"/>
    <w:rsid w:val="00E3552A"/>
    <w:rsid w:val="00E54822"/>
    <w:rsid w:val="00E567DF"/>
    <w:rsid w:val="00E64A65"/>
    <w:rsid w:val="00E67117"/>
    <w:rsid w:val="00E73D88"/>
    <w:rsid w:val="00E77638"/>
    <w:rsid w:val="00E81610"/>
    <w:rsid w:val="00E81E92"/>
    <w:rsid w:val="00E85F6D"/>
    <w:rsid w:val="00E92A77"/>
    <w:rsid w:val="00E95B7A"/>
    <w:rsid w:val="00E9782B"/>
    <w:rsid w:val="00EA077E"/>
    <w:rsid w:val="00EA0E62"/>
    <w:rsid w:val="00EA5612"/>
    <w:rsid w:val="00EA571D"/>
    <w:rsid w:val="00EA62D0"/>
    <w:rsid w:val="00EB3366"/>
    <w:rsid w:val="00EB4A03"/>
    <w:rsid w:val="00EB6ED1"/>
    <w:rsid w:val="00EC4A9B"/>
    <w:rsid w:val="00EC5FDF"/>
    <w:rsid w:val="00EE19B0"/>
    <w:rsid w:val="00EE30B3"/>
    <w:rsid w:val="00EE5852"/>
    <w:rsid w:val="00EE76EE"/>
    <w:rsid w:val="00EF2DFB"/>
    <w:rsid w:val="00F025BE"/>
    <w:rsid w:val="00F0308B"/>
    <w:rsid w:val="00F12362"/>
    <w:rsid w:val="00F21220"/>
    <w:rsid w:val="00F216B7"/>
    <w:rsid w:val="00F2279D"/>
    <w:rsid w:val="00F269E9"/>
    <w:rsid w:val="00F4048E"/>
    <w:rsid w:val="00F41B77"/>
    <w:rsid w:val="00F44604"/>
    <w:rsid w:val="00F46800"/>
    <w:rsid w:val="00F468F1"/>
    <w:rsid w:val="00F46D3A"/>
    <w:rsid w:val="00F56304"/>
    <w:rsid w:val="00F57408"/>
    <w:rsid w:val="00F6189F"/>
    <w:rsid w:val="00F75DAA"/>
    <w:rsid w:val="00F83344"/>
    <w:rsid w:val="00F90751"/>
    <w:rsid w:val="00F90876"/>
    <w:rsid w:val="00F92540"/>
    <w:rsid w:val="00F9611E"/>
    <w:rsid w:val="00FA526E"/>
    <w:rsid w:val="00FA6778"/>
    <w:rsid w:val="00FA775C"/>
    <w:rsid w:val="00FA7EF7"/>
    <w:rsid w:val="00FB049B"/>
    <w:rsid w:val="00FC5811"/>
    <w:rsid w:val="00FC78A9"/>
    <w:rsid w:val="00FD0A0D"/>
    <w:rsid w:val="00FD240D"/>
    <w:rsid w:val="00FD3953"/>
    <w:rsid w:val="00FE2DC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4D9C"/>
  <w14:defaultImageDpi w14:val="32767"/>
  <w15:chartTrackingRefBased/>
  <w15:docId w15:val="{666F6DE0-DB92-433A-9C13-A8CC4A8E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A8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4A9B"/>
    <w:rPr>
      <w:color w:val="0563C1" w:themeColor="hyperlink"/>
      <w:u w:val="single"/>
    </w:rPr>
  </w:style>
  <w:style w:type="character" w:customStyle="1" w:styleId="st">
    <w:name w:val="st"/>
    <w:basedOn w:val="Standardskrifttypeiafsnit"/>
    <w:rsid w:val="00447525"/>
  </w:style>
  <w:style w:type="table" w:styleId="Tabel-Gitter">
    <w:name w:val="Table Grid"/>
    <w:basedOn w:val="Tabel-Normal"/>
    <w:uiPriority w:val="59"/>
    <w:rsid w:val="00DD1C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5521C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5521C"/>
  </w:style>
  <w:style w:type="paragraph" w:styleId="Sidefod">
    <w:name w:val="footer"/>
    <w:basedOn w:val="Normal"/>
    <w:link w:val="SidefodTegn"/>
    <w:uiPriority w:val="99"/>
    <w:unhideWhenUsed/>
    <w:rsid w:val="00C5521C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5521C"/>
  </w:style>
  <w:style w:type="character" w:styleId="Linjenummer">
    <w:name w:val="line number"/>
    <w:basedOn w:val="Standardskrifttypeiafsnit"/>
    <w:uiPriority w:val="99"/>
    <w:semiHidden/>
    <w:unhideWhenUsed/>
    <w:rsid w:val="00EE5852"/>
  </w:style>
  <w:style w:type="character" w:styleId="Kommentarhenvisning">
    <w:name w:val="annotation reference"/>
    <w:basedOn w:val="Standardskrifttypeiafsnit"/>
    <w:uiPriority w:val="99"/>
    <w:semiHidden/>
    <w:unhideWhenUsed/>
    <w:rsid w:val="005B35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35C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35C1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35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35C1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5C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5C1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CF39C5-3662-4CAD-8CBB-1F4D7E35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4</Pages>
  <Words>542</Words>
  <Characters>2792</Characters>
  <Application>Microsoft Office Word</Application>
  <DocSecurity>0</DocSecurity>
  <Lines>142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Sørensen Bork</dc:creator>
  <cp:keywords/>
  <dc:description/>
  <cp:lastModifiedBy>Christian Sørensen Bork / Region Nordjylland</cp:lastModifiedBy>
  <cp:revision>27</cp:revision>
  <dcterms:created xsi:type="dcterms:W3CDTF">2018-06-06T20:58:00Z</dcterms:created>
  <dcterms:modified xsi:type="dcterms:W3CDTF">2019-03-08T13:52:00Z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436d13b3-2d8f-3f3e-aa3a-b324ea002e0c</vt:lpwstr>
  </property>
  <property fmtid="{D5CDD505-2E9C-101B-9397-08002B2CF9AE}" pid="4" name="Mendeley Recent Style Id 0_1">
    <vt:lpwstr>http://www.zotero.org/styles/atherosclerosis</vt:lpwstr>
  </property>
  <property fmtid="{D5CDD505-2E9C-101B-9397-08002B2CF9AE}" pid="5" name="Mendeley Recent Style Name 0_1">
    <vt:lpwstr>Atherosclerosis</vt:lpwstr>
  </property>
  <property fmtid="{D5CDD505-2E9C-101B-9397-08002B2CF9AE}" pid="6" name="Mendeley Recent Style Id 1_1">
    <vt:lpwstr>http://www.zotero.org/styles/circulation</vt:lpwstr>
  </property>
  <property fmtid="{D5CDD505-2E9C-101B-9397-08002B2CF9AE}" pid="7" name="Mendeley Recent Style Name 1_1">
    <vt:lpwstr>Circulation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8th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http://www.zotero.org/styles/plos-one</vt:lpwstr>
  </property>
  <property fmtid="{D5CDD505-2E9C-101B-9397-08002B2CF9AE}" pid="19" name="Mendeley Recent Style Name 7_1">
    <vt:lpwstr>PLOS ONE</vt:lpwstr>
  </property>
  <property fmtid="{D5CDD505-2E9C-101B-9397-08002B2CF9AE}" pid="20" name="Mendeley Recent Style Id 8_1">
    <vt:lpwstr>http://www.zotero.org/styles/the-american-journal-of-clinical-nutrition</vt:lpwstr>
  </property>
  <property fmtid="{D5CDD505-2E9C-101B-9397-08002B2CF9AE}" pid="21" name="Mendeley Recent Style Name 8_1">
    <vt:lpwstr>The American Journal of Clinical Nutrition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http://www.zotero.org/styles/circulation</vt:lpwstr>
  </property>
  <property fmtid="{D5CDD505-2E9C-101B-9397-08002B2CF9AE}" pid="25" name="ContentRemapped">
    <vt:lpwstr>true</vt:lpwstr>
  </property>
  <property fmtid="{D5CDD505-2E9C-101B-9397-08002B2CF9AE}" pid="26" name="SD_DocumentLanguage">
    <vt:lpwstr>da-DK</vt:lpwstr>
  </property>
</Properties>
</file>