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9A" w:rsidRPr="00F13928" w:rsidRDefault="0073399A" w:rsidP="0073399A">
      <w:pPr>
        <w:suppressLineNumbers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3928">
        <w:rPr>
          <w:rFonts w:ascii="Times New Roman" w:hAnsi="Times New Roman" w:cs="Times New Roman"/>
          <w:b/>
          <w:sz w:val="24"/>
          <w:szCs w:val="24"/>
          <w:lang w:val="en-GB"/>
        </w:rPr>
        <w:t>Supplemental data</w:t>
      </w:r>
    </w:p>
    <w:p w:rsidR="0073399A" w:rsidRPr="00F13928" w:rsidRDefault="0073399A" w:rsidP="0073399A">
      <w:pPr>
        <w:suppressLineNumbers/>
        <w:rPr>
          <w:rFonts w:ascii="Times New Roman" w:hAnsi="Times New Roman" w:cs="Times New Roman"/>
          <w:sz w:val="24"/>
          <w:szCs w:val="24"/>
          <w:lang w:val="en-GB"/>
        </w:rPr>
      </w:pPr>
      <w:r w:rsidRPr="00F13928">
        <w:rPr>
          <w:rFonts w:ascii="Times New Roman" w:hAnsi="Times New Roman" w:cs="Times New Roman"/>
          <w:sz w:val="24"/>
          <w:szCs w:val="24"/>
          <w:lang w:val="en-GB"/>
        </w:rPr>
        <w:t>Table S1. Natural abundances of nitrogen stable isotopes in tissue proteins and faeces.</w:t>
      </w:r>
    </w:p>
    <w:tbl>
      <w:tblPr>
        <w:tblStyle w:val="TableGrid"/>
        <w:tblW w:w="9576" w:type="dxa"/>
        <w:jc w:val="center"/>
        <w:tblLayout w:type="fixed"/>
        <w:tblLook w:val="04A0"/>
      </w:tblPr>
      <w:tblGrid>
        <w:gridCol w:w="2148"/>
        <w:gridCol w:w="1170"/>
        <w:gridCol w:w="1170"/>
        <w:gridCol w:w="1170"/>
        <w:gridCol w:w="930"/>
        <w:gridCol w:w="960"/>
        <w:gridCol w:w="1112"/>
        <w:gridCol w:w="916"/>
      </w:tblGrid>
      <w:tr w:rsidR="0073399A" w:rsidRPr="00F13928" w:rsidTr="0073612D">
        <w:trPr>
          <w:jc w:val="center"/>
        </w:trPr>
        <w:tc>
          <w:tcPr>
            <w:tcW w:w="214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values</w:t>
            </w:r>
          </w:p>
        </w:tc>
      </w:tr>
      <w:tr w:rsidR="0073399A" w:rsidRPr="00F13928" w:rsidTr="0073612D">
        <w:trPr>
          <w:jc w:val="center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NF-NF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HF-NF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NF-HF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HF-HF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post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</w:t>
            </w:r>
            <w:proofErr w:type="spellEnd"/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x post</w:t>
            </w:r>
          </w:p>
        </w:tc>
      </w:tr>
      <w:tr w:rsidR="0073399A" w:rsidRPr="00F13928" w:rsidTr="0073612D">
        <w:trPr>
          <w:jc w:val="center"/>
        </w:trPr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3399A" w:rsidRPr="00F13928" w:rsidTr="0073612D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Protein ∆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15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(‰)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3399A" w:rsidRPr="00F13928" w:rsidTr="0073612D">
        <w:trPr>
          <w:trHeight w:val="672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3399A" w:rsidRPr="00F13928" w:rsidRDefault="0073399A" w:rsidP="0073612D">
            <w:pPr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 intestine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0.3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0.2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</w:t>
            </w:r>
          </w:p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</w:t>
            </w:r>
          </w:p>
        </w:tc>
      </w:tr>
      <w:tr w:rsidR="0073399A" w:rsidRPr="00F13928" w:rsidTr="0073612D">
        <w:trPr>
          <w:trHeight w:val="672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3399A" w:rsidRPr="00F13928" w:rsidRDefault="0073399A" w:rsidP="0073612D">
            <w:pPr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Liver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3399A" w:rsidRPr="00F13928" w:rsidTr="0073612D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3399A" w:rsidRPr="00F13928" w:rsidRDefault="0073399A" w:rsidP="0073612D">
            <w:pPr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0.2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0.2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0.1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&lt;0.01</w:t>
            </w:r>
          </w:p>
        </w:tc>
      </w:tr>
      <w:tr w:rsidR="0073399A" w:rsidRPr="00F13928" w:rsidTr="0073612D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3399A" w:rsidRPr="00F13928" w:rsidRDefault="0073399A" w:rsidP="0073612D">
            <w:pPr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 muscle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</w:t>
            </w:r>
          </w:p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0.2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&lt;0.01</w:t>
            </w:r>
          </w:p>
        </w:tc>
      </w:tr>
      <w:tr w:rsidR="0073399A" w:rsidRPr="00F13928" w:rsidTr="0073612D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3399A" w:rsidRPr="00F13928" w:rsidRDefault="0073399A" w:rsidP="0073612D">
            <w:pPr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 muscle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</w:t>
            </w:r>
          </w:p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3399A" w:rsidRPr="00F13928" w:rsidTr="0073612D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3399A" w:rsidRPr="00F13928" w:rsidRDefault="0073399A" w:rsidP="0073612D">
            <w:pPr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EDL muscle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</w:t>
            </w:r>
          </w:p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3399A" w:rsidRPr="00F13928" w:rsidTr="0073612D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3399A" w:rsidRPr="00F13928" w:rsidRDefault="0073399A" w:rsidP="0073612D">
            <w:pPr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muscle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3399A" w:rsidRPr="00F13928" w:rsidTr="0073612D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3399A" w:rsidRPr="00F13928" w:rsidRDefault="0073399A" w:rsidP="0073612D">
            <w:pPr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3399A" w:rsidRPr="00F13928" w:rsidTr="0073612D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3399A" w:rsidRPr="00F13928" w:rsidRDefault="0073399A" w:rsidP="0073612D">
            <w:pPr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Plasma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3399A" w:rsidRPr="00F13928" w:rsidTr="0073612D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3399A" w:rsidRPr="00F13928" w:rsidRDefault="0073399A" w:rsidP="0073612D">
            <w:pPr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RBC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± 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2.2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73399A" w:rsidRPr="00F13928" w:rsidRDefault="0073399A" w:rsidP="0073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± 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3399A" w:rsidRPr="00F13928" w:rsidTr="0073612D">
        <w:trPr>
          <w:jc w:val="center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9A" w:rsidRPr="00F13928" w:rsidRDefault="0073399A" w:rsidP="007361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Faeces </w:t>
            </w:r>
            <w:r w:rsidRPr="00F13928">
              <w:rPr>
                <w:rFonts w:ascii="Calibri" w:hAnsi="Calibri" w:cs="Times New Roman"/>
                <w:sz w:val="24"/>
                <w:szCs w:val="24"/>
                <w:lang w:val="en-GB"/>
              </w:rPr>
              <w:t>Δ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15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  <w:p w:rsidR="0073399A" w:rsidRPr="00F13928" w:rsidRDefault="0073399A" w:rsidP="007361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0.3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</w:t>
            </w:r>
          </w:p>
          <w:p w:rsidR="0073399A" w:rsidRPr="00F13928" w:rsidRDefault="0073399A" w:rsidP="007361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</w:t>
            </w:r>
          </w:p>
          <w:p w:rsidR="0073399A" w:rsidRPr="00F13928" w:rsidRDefault="0073399A" w:rsidP="007361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</w:t>
            </w:r>
          </w:p>
          <w:p w:rsidR="0073399A" w:rsidRPr="00F13928" w:rsidRDefault="0073399A" w:rsidP="007361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0.3</w:t>
            </w:r>
            <w:r w:rsidRPr="00F139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&lt;0.01</w:t>
            </w:r>
          </w:p>
        </w:tc>
      </w:tr>
    </w:tbl>
    <w:p w:rsidR="0073399A" w:rsidRDefault="0073399A" w:rsidP="0073399A">
      <w:pPr>
        <w:suppressLineNumbers/>
        <w:rPr>
          <w:rFonts w:ascii="Times New Roman" w:hAnsi="Times New Roman" w:cs="Times New Roman"/>
          <w:sz w:val="20"/>
          <w:szCs w:val="20"/>
          <w:lang w:val="en-GB"/>
        </w:rPr>
      </w:pPr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NF-NF, rats exposed to the </w:t>
      </w:r>
      <w:r w:rsidRPr="00F13928">
        <w:rPr>
          <w:rFonts w:ascii="Times New Roman" w:eastAsiaTheme="minorEastAsia" w:hAnsi="Times New Roman" w:cs="Times New Roman"/>
          <w:sz w:val="20"/>
          <w:szCs w:val="20"/>
          <w:lang w:val="en-GB"/>
        </w:rPr>
        <w:t>normal-fat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 (NF) diet </w:t>
      </w:r>
      <w:r>
        <w:rPr>
          <w:rFonts w:ascii="Times New Roman" w:hAnsi="Times New Roman" w:cs="Times New Roman"/>
          <w:sz w:val="20"/>
          <w:szCs w:val="20"/>
          <w:lang w:val="en-GB"/>
        </w:rPr>
        <w:t>during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 the </w:t>
      </w:r>
      <w:proofErr w:type="spellStart"/>
      <w:r w:rsidRPr="00F13928">
        <w:rPr>
          <w:rFonts w:ascii="Times New Roman" w:hAnsi="Times New Roman" w:cs="Times New Roman"/>
          <w:sz w:val="20"/>
          <w:szCs w:val="20"/>
          <w:lang w:val="en-GB"/>
        </w:rPr>
        <w:t>perinatal</w:t>
      </w:r>
      <w:proofErr w:type="spellEnd"/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 and post-weaning periods; NF-HF, rats exposed to the NF diet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during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 the </w:t>
      </w:r>
      <w:proofErr w:type="spellStart"/>
      <w:r w:rsidRPr="00F13928">
        <w:rPr>
          <w:rFonts w:ascii="Times New Roman" w:hAnsi="Times New Roman" w:cs="Times New Roman"/>
          <w:sz w:val="20"/>
          <w:szCs w:val="20"/>
          <w:lang w:val="en-GB"/>
        </w:rPr>
        <w:t>perinatal</w:t>
      </w:r>
      <w:proofErr w:type="spellEnd"/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 period and the high-fat (HF) diet </w:t>
      </w:r>
      <w:r>
        <w:rPr>
          <w:rFonts w:ascii="Times New Roman" w:hAnsi="Times New Roman" w:cs="Times New Roman"/>
          <w:sz w:val="20"/>
          <w:szCs w:val="20"/>
          <w:lang w:val="en-GB"/>
        </w:rPr>
        <w:t>during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 the post-weaning period; HF-NF, rats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exposed 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to the HF diet </w:t>
      </w:r>
      <w:r>
        <w:rPr>
          <w:rFonts w:ascii="Times New Roman" w:hAnsi="Times New Roman" w:cs="Times New Roman"/>
          <w:sz w:val="20"/>
          <w:szCs w:val="20"/>
          <w:lang w:val="en-GB"/>
        </w:rPr>
        <w:t>during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 the </w:t>
      </w:r>
      <w:proofErr w:type="spellStart"/>
      <w:r w:rsidRPr="00F13928">
        <w:rPr>
          <w:rFonts w:ascii="Times New Roman" w:hAnsi="Times New Roman" w:cs="Times New Roman"/>
          <w:sz w:val="20"/>
          <w:szCs w:val="20"/>
          <w:lang w:val="en-GB"/>
        </w:rPr>
        <w:t>perinatal</w:t>
      </w:r>
      <w:proofErr w:type="spellEnd"/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 period and the NF diet </w:t>
      </w:r>
      <w:r>
        <w:rPr>
          <w:rFonts w:ascii="Times New Roman" w:hAnsi="Times New Roman" w:cs="Times New Roman"/>
          <w:sz w:val="20"/>
          <w:szCs w:val="20"/>
          <w:lang w:val="en-GB"/>
        </w:rPr>
        <w:t>during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 the post-weaning period; HF-HF, rats exposed to the HF diet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during both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 the </w:t>
      </w:r>
      <w:proofErr w:type="spellStart"/>
      <w:r w:rsidRPr="00F13928">
        <w:rPr>
          <w:rFonts w:ascii="Times New Roman" w:hAnsi="Times New Roman" w:cs="Times New Roman"/>
          <w:sz w:val="20"/>
          <w:szCs w:val="20"/>
          <w:lang w:val="en-GB"/>
        </w:rPr>
        <w:t>perinatal</w:t>
      </w:r>
      <w:proofErr w:type="spellEnd"/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 and post-weaning periods. Different letters indicate significant differences between groups (</w:t>
      </w:r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&lt;0.05). </w:t>
      </w:r>
      <w:proofErr w:type="spellStart"/>
      <w:proofErr w:type="gramStart"/>
      <w:r w:rsidRPr="00F13928">
        <w:rPr>
          <w:rFonts w:ascii="Times New Roman" w:hAnsi="Times New Roman" w:cs="Times New Roman"/>
          <w:sz w:val="20"/>
          <w:szCs w:val="20"/>
          <w:lang w:val="en-GB"/>
        </w:rPr>
        <w:t>Peri</w:t>
      </w:r>
      <w:proofErr w:type="spellEnd"/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13928">
        <w:rPr>
          <w:rFonts w:ascii="Times New Roman" w:hAnsi="Times New Roman" w:cs="Times New Roman"/>
          <w:sz w:val="20"/>
          <w:szCs w:val="20"/>
          <w:lang w:val="en-GB"/>
        </w:rPr>
        <w:t>perinatal</w:t>
      </w:r>
      <w:proofErr w:type="spellEnd"/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 diet; post, post-weaning diet.</w:t>
      </w:r>
      <w:proofErr w:type="gramEnd"/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 AT, adipose tissue; EDL, </w:t>
      </w:r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 xml:space="preserve">Extensor </w:t>
      </w:r>
      <w:proofErr w:type="spellStart"/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>digitorum</w:t>
      </w:r>
      <w:proofErr w:type="spellEnd"/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>longus</w:t>
      </w:r>
      <w:proofErr w:type="spellEnd"/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; G, </w:t>
      </w:r>
      <w:proofErr w:type="spellStart"/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>Gastro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c</w:t>
      </w:r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>nemius</w:t>
      </w:r>
      <w:proofErr w:type="spellEnd"/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; RBC red blood cells; S, </w:t>
      </w:r>
      <w:proofErr w:type="spellStart"/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>Soleus</w:t>
      </w:r>
      <w:proofErr w:type="spellEnd"/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; TA, </w:t>
      </w:r>
      <w:proofErr w:type="spellStart"/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>Tibialis</w:t>
      </w:r>
      <w:proofErr w:type="spellEnd"/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anterior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>. Protein and faeces ∆</w:t>
      </w:r>
      <w:r w:rsidRPr="00F1392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15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N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values 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>are the differences between protein or faeces δ</w:t>
      </w:r>
      <w:r w:rsidRPr="00F1392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15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>N and dietary protein δ</w:t>
      </w:r>
      <w:r w:rsidRPr="00F1392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15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>N.</w:t>
      </w:r>
      <w:r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:rsidR="0073399A" w:rsidRPr="00F13928" w:rsidRDefault="0073399A" w:rsidP="0073399A">
      <w:pPr>
        <w:suppressLineNumbers/>
        <w:rPr>
          <w:rFonts w:ascii="Times New Roman" w:hAnsi="Times New Roman" w:cs="Times New Roman"/>
          <w:sz w:val="24"/>
          <w:szCs w:val="24"/>
          <w:lang w:val="en-GB"/>
        </w:rPr>
      </w:pPr>
      <w:r w:rsidRPr="00F13928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  <w:lang w:val="en-GB"/>
        </w:rPr>
        <w:t>S2</w:t>
      </w:r>
      <w:r w:rsidRPr="00F13928">
        <w:rPr>
          <w:rFonts w:ascii="Times New Roman" w:hAnsi="Times New Roman" w:cs="Times New Roman"/>
          <w:sz w:val="24"/>
          <w:szCs w:val="24"/>
          <w:lang w:val="en-GB"/>
        </w:rPr>
        <w:t>. Routing coefficients of dietary macronutrients to tissue proteins in rats fed a normal or high fat diet.</w:t>
      </w:r>
    </w:p>
    <w:tbl>
      <w:tblPr>
        <w:tblStyle w:val="TableGrid"/>
        <w:tblW w:w="5000" w:type="pct"/>
        <w:jc w:val="center"/>
        <w:tblLook w:val="04A0"/>
      </w:tblPr>
      <w:tblGrid>
        <w:gridCol w:w="2123"/>
        <w:gridCol w:w="403"/>
        <w:gridCol w:w="950"/>
        <w:gridCol w:w="656"/>
        <w:gridCol w:w="834"/>
        <w:gridCol w:w="617"/>
        <w:gridCol w:w="838"/>
        <w:gridCol w:w="824"/>
        <w:gridCol w:w="824"/>
        <w:gridCol w:w="825"/>
        <w:gridCol w:w="682"/>
      </w:tblGrid>
      <w:tr w:rsidR="0073399A" w:rsidRPr="00F13928" w:rsidTr="0073612D">
        <w:trPr>
          <w:trHeight w:val="283"/>
          <w:jc w:val="center"/>
        </w:trPr>
        <w:tc>
          <w:tcPr>
            <w:tcW w:w="111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3399A" w:rsidRPr="00F13928" w:rsidRDefault="0073399A" w:rsidP="007361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ind w:left="-60" w:right="-6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 intestine</w:t>
            </w:r>
          </w:p>
        </w:tc>
        <w:tc>
          <w:tcPr>
            <w:tcW w:w="34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Liver</w:t>
            </w:r>
          </w:p>
        </w:tc>
        <w:tc>
          <w:tcPr>
            <w:tcW w:w="44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Plasma</w:t>
            </w:r>
          </w:p>
        </w:tc>
        <w:tc>
          <w:tcPr>
            <w:tcW w:w="31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RBC</w:t>
            </w:r>
          </w:p>
        </w:tc>
        <w:tc>
          <w:tcPr>
            <w:tcW w:w="44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muscle</w:t>
            </w:r>
          </w:p>
        </w:tc>
        <w:tc>
          <w:tcPr>
            <w:tcW w:w="43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muscle</w:t>
            </w:r>
          </w:p>
        </w:tc>
        <w:tc>
          <w:tcPr>
            <w:tcW w:w="43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muscle</w:t>
            </w:r>
          </w:p>
        </w:tc>
        <w:tc>
          <w:tcPr>
            <w:tcW w:w="43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muscle</w:t>
            </w:r>
          </w:p>
        </w:tc>
        <w:tc>
          <w:tcPr>
            <w:tcW w:w="3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Heart</w:t>
            </w:r>
          </w:p>
        </w:tc>
      </w:tr>
      <w:tr w:rsidR="0073399A" w:rsidRPr="00F13928" w:rsidTr="0073612D">
        <w:trPr>
          <w:trHeight w:val="283"/>
          <w:jc w:val="center"/>
        </w:trPr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Trophic</w:t>
            </w:r>
            <w:proofErr w:type="spellEnd"/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step (‰)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18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0.53</w:t>
            </w:r>
          </w:p>
        </w:tc>
      </w:tr>
      <w:tr w:rsidR="0073399A" w:rsidRPr="00F13928" w:rsidTr="0073612D">
        <w:trPr>
          <w:trHeight w:val="283"/>
          <w:jc w:val="center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Protein routing (%)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 w:after="12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18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74.3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79.7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 w:after="120"/>
              <w:ind w:left="-40"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73.4</w:t>
            </w:r>
          </w:p>
        </w:tc>
      </w:tr>
      <w:tr w:rsidR="0073399A" w:rsidRPr="00F13928" w:rsidTr="0073612D">
        <w:trPr>
          <w:jc w:val="center"/>
        </w:trPr>
        <w:tc>
          <w:tcPr>
            <w:tcW w:w="111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 routing (%)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NF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18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23.1</w:t>
            </w:r>
          </w:p>
        </w:tc>
      </w:tr>
      <w:tr w:rsidR="0073399A" w:rsidRPr="00F13928" w:rsidTr="0073612D">
        <w:trPr>
          <w:jc w:val="center"/>
        </w:trPr>
        <w:tc>
          <w:tcPr>
            <w:tcW w:w="11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after="12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HF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18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14.1</w:t>
            </w:r>
          </w:p>
        </w:tc>
      </w:tr>
      <w:tr w:rsidR="0073399A" w:rsidRPr="00F13928" w:rsidTr="0073612D">
        <w:trPr>
          <w:jc w:val="center"/>
        </w:trPr>
        <w:tc>
          <w:tcPr>
            <w:tcW w:w="111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3399A" w:rsidRPr="00F13928" w:rsidRDefault="0073399A" w:rsidP="007361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Lipid routing (%)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99A" w:rsidRPr="00F13928" w:rsidRDefault="0073399A" w:rsidP="0073612D">
            <w:pPr>
              <w:spacing w:before="12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NF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18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99A" w:rsidRPr="00CD46A9" w:rsidRDefault="0073399A" w:rsidP="0073612D">
            <w:pPr>
              <w:spacing w:before="120"/>
              <w:ind w:left="-40"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</w:t>
            </w:r>
          </w:p>
        </w:tc>
      </w:tr>
      <w:tr w:rsidR="0073399A" w:rsidRPr="00F13928" w:rsidTr="0073612D">
        <w:trPr>
          <w:jc w:val="center"/>
        </w:trPr>
        <w:tc>
          <w:tcPr>
            <w:tcW w:w="111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3399A" w:rsidRPr="00F13928" w:rsidRDefault="0073399A" w:rsidP="007361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99A" w:rsidRPr="00F13928" w:rsidRDefault="0073399A" w:rsidP="0073612D">
            <w:pPr>
              <w:spacing w:after="12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HF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18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99A" w:rsidRPr="00CD46A9" w:rsidRDefault="0073399A" w:rsidP="0073612D">
            <w:pPr>
              <w:spacing w:after="120"/>
              <w:ind w:left="-40"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6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12.5</w:t>
            </w:r>
          </w:p>
        </w:tc>
      </w:tr>
    </w:tbl>
    <w:p w:rsidR="004607C1" w:rsidRPr="0073399A" w:rsidRDefault="0073399A" w:rsidP="0073399A">
      <w:pPr>
        <w:suppressLineNumbers/>
        <w:rPr>
          <w:rFonts w:ascii="Times New Roman" w:hAnsi="Times New Roman" w:cs="Times New Roman"/>
          <w:sz w:val="20"/>
          <w:szCs w:val="20"/>
          <w:lang w:val="en-GB"/>
        </w:rPr>
      </w:pPr>
      <w:r w:rsidRPr="00F13928">
        <w:rPr>
          <w:rFonts w:ascii="Times New Roman" w:eastAsiaTheme="minorEastAsia" w:hAnsi="Times New Roman" w:cs="Times New Roman"/>
          <w:sz w:val="20"/>
          <w:szCs w:val="20"/>
          <w:lang w:val="en-GB"/>
        </w:rPr>
        <w:t>The protein, CHO and lipid routings are the proportions of dietary protein, CHO and lipid carbon used for amino acid synthesis and consequently routed to carbon in tissue proteins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F13928">
        <w:rPr>
          <w:rFonts w:ascii="Times New Roman" w:eastAsiaTheme="minorEastAsia" w:hAnsi="Times New Roman" w:cs="Times New Roman"/>
          <w:sz w:val="20"/>
          <w:szCs w:val="20"/>
          <w:lang w:val="en-GB"/>
        </w:rPr>
        <w:t xml:space="preserve"> and the </w:t>
      </w:r>
      <w:proofErr w:type="spellStart"/>
      <w:r w:rsidRPr="00F13928">
        <w:rPr>
          <w:rFonts w:ascii="Times New Roman" w:eastAsiaTheme="minorEastAsia" w:hAnsi="Times New Roman" w:cs="Times New Roman"/>
          <w:sz w:val="20"/>
          <w:szCs w:val="20"/>
          <w:lang w:val="en-GB"/>
        </w:rPr>
        <w:t>trophic</w:t>
      </w:r>
      <w:proofErr w:type="spellEnd"/>
      <w:r w:rsidRPr="00F13928">
        <w:rPr>
          <w:rFonts w:ascii="Times New Roman" w:eastAsiaTheme="minorEastAsia" w:hAnsi="Times New Roman" w:cs="Times New Roman"/>
          <w:sz w:val="20"/>
          <w:szCs w:val="20"/>
          <w:lang w:val="en-GB"/>
        </w:rPr>
        <w:t xml:space="preserve"> step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 is t</w:t>
      </w:r>
      <w:r w:rsidRPr="00F13928">
        <w:rPr>
          <w:rFonts w:ascii="Times New Roman" w:eastAsiaTheme="minorEastAsia" w:hAnsi="Times New Roman" w:cs="Times New Roman"/>
          <w:sz w:val="20"/>
          <w:szCs w:val="20"/>
          <w:lang w:val="en-GB"/>
        </w:rPr>
        <w:t>he difference in δ</w:t>
      </w:r>
      <w:r w:rsidRPr="00F13928">
        <w:rPr>
          <w:rFonts w:ascii="Times New Roman" w:eastAsiaTheme="minorEastAsia" w:hAnsi="Times New Roman" w:cs="Times New Roman"/>
          <w:sz w:val="20"/>
          <w:szCs w:val="20"/>
          <w:vertAlign w:val="superscript"/>
          <w:lang w:val="en-GB"/>
        </w:rPr>
        <w:t>13</w:t>
      </w:r>
      <w:r w:rsidRPr="00F13928">
        <w:rPr>
          <w:rFonts w:ascii="Times New Roman" w:eastAsiaTheme="minorEastAsia" w:hAnsi="Times New Roman" w:cs="Times New Roman"/>
          <w:sz w:val="20"/>
          <w:szCs w:val="20"/>
          <w:lang w:val="en-GB"/>
        </w:rPr>
        <w:t>C between diet</w:t>
      </w:r>
      <w:r>
        <w:rPr>
          <w:rFonts w:ascii="Times New Roman" w:eastAsiaTheme="minorEastAsia" w:hAnsi="Times New Roman" w:cs="Times New Roman"/>
          <w:sz w:val="20"/>
          <w:szCs w:val="20"/>
          <w:lang w:val="en-GB"/>
        </w:rPr>
        <w:t>ary</w:t>
      </w:r>
      <w:r w:rsidRPr="00F13928">
        <w:rPr>
          <w:rFonts w:ascii="Times New Roman" w:eastAsiaTheme="minorEastAsia" w:hAnsi="Times New Roman" w:cs="Times New Roman"/>
          <w:sz w:val="20"/>
          <w:szCs w:val="20"/>
          <w:lang w:val="en-GB"/>
        </w:rPr>
        <w:t xml:space="preserve"> and tissue proteins due to isotopic fractionation along metabolic pathways (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i.e., the coefficients p, c, 1-p-c and TS of equation [6], see </w:t>
      </w:r>
      <w:r>
        <w:rPr>
          <w:rFonts w:ascii="Times New Roman" w:hAnsi="Times New Roman" w:cs="Times New Roman"/>
          <w:sz w:val="20"/>
          <w:szCs w:val="20"/>
          <w:lang w:val="en-GB"/>
        </w:rPr>
        <w:t>M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aterials and </w:t>
      </w:r>
      <w:r>
        <w:rPr>
          <w:rFonts w:ascii="Times New Roman" w:hAnsi="Times New Roman" w:cs="Times New Roman"/>
          <w:sz w:val="20"/>
          <w:szCs w:val="20"/>
          <w:lang w:val="en-GB"/>
        </w:rPr>
        <w:t>M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>ethods).</w:t>
      </w:r>
      <w:r w:rsidRPr="00F13928">
        <w:rPr>
          <w:rFonts w:ascii="Times New Roman" w:eastAsiaTheme="minorEastAsia" w:hAnsi="Times New Roman" w:cs="Times New Roman"/>
          <w:sz w:val="20"/>
          <w:szCs w:val="20"/>
          <w:lang w:val="en-GB"/>
        </w:rPr>
        <w:t xml:space="preserve"> The protein routing and </w:t>
      </w:r>
      <w:proofErr w:type="spellStart"/>
      <w:r w:rsidRPr="00F13928">
        <w:rPr>
          <w:rFonts w:ascii="Times New Roman" w:eastAsiaTheme="minorEastAsia" w:hAnsi="Times New Roman" w:cs="Times New Roman"/>
          <w:sz w:val="20"/>
          <w:szCs w:val="20"/>
          <w:lang w:val="en-GB"/>
        </w:rPr>
        <w:t>trophic</w:t>
      </w:r>
      <w:proofErr w:type="spellEnd"/>
      <w:r w:rsidRPr="00F13928">
        <w:rPr>
          <w:rFonts w:ascii="Times New Roman" w:eastAsiaTheme="minorEastAsia" w:hAnsi="Times New Roman" w:cs="Times New Roman"/>
          <w:sz w:val="20"/>
          <w:szCs w:val="20"/>
          <w:lang w:val="en-GB"/>
        </w:rPr>
        <w:t xml:space="preserve"> step were assumed </w:t>
      </w:r>
      <w:r>
        <w:rPr>
          <w:rFonts w:ascii="Times New Roman" w:eastAsiaTheme="minorEastAsia" w:hAnsi="Times New Roman" w:cs="Times New Roman"/>
          <w:sz w:val="20"/>
          <w:szCs w:val="20"/>
          <w:lang w:val="en-GB"/>
        </w:rPr>
        <w:t xml:space="preserve">to be </w:t>
      </w:r>
      <w:r w:rsidRPr="00F13928">
        <w:rPr>
          <w:rFonts w:ascii="Times New Roman" w:eastAsiaTheme="minorEastAsia" w:hAnsi="Times New Roman" w:cs="Times New Roman"/>
          <w:sz w:val="20"/>
          <w:szCs w:val="20"/>
          <w:lang w:val="en-GB"/>
        </w:rPr>
        <w:t xml:space="preserve">equal across </w:t>
      </w:r>
      <w:r>
        <w:rPr>
          <w:rFonts w:ascii="Times New Roman" w:eastAsiaTheme="minorEastAsia" w:hAnsi="Times New Roman" w:cs="Times New Roman"/>
          <w:sz w:val="20"/>
          <w:szCs w:val="20"/>
          <w:lang w:val="en-GB"/>
        </w:rPr>
        <w:t xml:space="preserve">the </w:t>
      </w:r>
      <w:r w:rsidRPr="00F13928">
        <w:rPr>
          <w:rFonts w:ascii="Times New Roman" w:eastAsiaTheme="minorEastAsia" w:hAnsi="Times New Roman" w:cs="Times New Roman"/>
          <w:sz w:val="20"/>
          <w:szCs w:val="20"/>
          <w:lang w:val="en-GB"/>
        </w:rPr>
        <w:t>diets, while the CHO and lipid routings differed in rats fed with the normal-fat (NF) or high-fat (HF) diet.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EDL, </w:t>
      </w:r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 xml:space="preserve">Extensor </w:t>
      </w:r>
      <w:proofErr w:type="spellStart"/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>digitorum</w:t>
      </w:r>
      <w:proofErr w:type="spellEnd"/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>longus</w:t>
      </w:r>
      <w:proofErr w:type="spellEnd"/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; G, </w:t>
      </w:r>
      <w:proofErr w:type="spellStart"/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>Gastro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c</w:t>
      </w:r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>nemius</w:t>
      </w:r>
      <w:proofErr w:type="spellEnd"/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; RBC red blood cells; S, </w:t>
      </w:r>
      <w:proofErr w:type="spellStart"/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>Soleus</w:t>
      </w:r>
      <w:proofErr w:type="spellEnd"/>
      <w:r w:rsidRPr="00F13928">
        <w:rPr>
          <w:rFonts w:ascii="Times New Roman" w:hAnsi="Times New Roman" w:cs="Times New Roman"/>
          <w:sz w:val="20"/>
          <w:szCs w:val="20"/>
          <w:lang w:val="en-GB"/>
        </w:rPr>
        <w:t xml:space="preserve">; TA, </w:t>
      </w:r>
      <w:proofErr w:type="spellStart"/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>Tibialis</w:t>
      </w:r>
      <w:proofErr w:type="spellEnd"/>
      <w:r w:rsidRPr="00F1392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anterior</w:t>
      </w:r>
      <w:r w:rsidRPr="00F13928"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4607C1" w:rsidRPr="0073399A" w:rsidSect="002C3C96">
      <w:footerReference w:type="default" r:id="rId4"/>
      <w:pgSz w:w="12240" w:h="15840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56" w:rsidRPr="009F6722" w:rsidRDefault="0073399A" w:rsidP="009F672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3399A"/>
    <w:rsid w:val="004607C1"/>
    <w:rsid w:val="0073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9A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9A"/>
    <w:rPr>
      <w:lang w:val="en-CA"/>
    </w:rPr>
  </w:style>
  <w:style w:type="table" w:styleId="TableGrid">
    <w:name w:val="Table Grid"/>
    <w:basedOn w:val="TableNormal"/>
    <w:uiPriority w:val="39"/>
    <w:rsid w:val="0073399A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33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Manasa</dc:creator>
  <cp:lastModifiedBy>Manasa</cp:lastModifiedBy>
  <cp:revision>1</cp:revision>
  <dcterms:created xsi:type="dcterms:W3CDTF">2018-03-02T07:37:00Z</dcterms:created>
  <dcterms:modified xsi:type="dcterms:W3CDTF">2018-03-02T07:38:00Z</dcterms:modified>
</cp:coreProperties>
</file>