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55" w:rsidRPr="00EE3199" w:rsidRDefault="00B16255" w:rsidP="00B16255">
      <w:pPr>
        <w:rPr>
          <w:b/>
          <w:lang w:val="en-US"/>
        </w:rPr>
      </w:pPr>
      <w:bookmarkStart w:id="0" w:name="_GoBack"/>
      <w:bookmarkEnd w:id="0"/>
      <w:r w:rsidRPr="00EE3199">
        <w:rPr>
          <w:b/>
          <w:lang w:val="en-US"/>
        </w:rPr>
        <w:t>Supplementary Table</w:t>
      </w:r>
      <w:r w:rsidR="00417ADD">
        <w:rPr>
          <w:b/>
          <w:lang w:val="en-US"/>
        </w:rPr>
        <w:t xml:space="preserve"> 1</w:t>
      </w:r>
      <w:r>
        <w:rPr>
          <w:b/>
          <w:lang w:val="en-US"/>
        </w:rPr>
        <w:t>. Geometric means and proportion of detectable measurements</w:t>
      </w:r>
    </w:p>
    <w:tbl>
      <w:tblPr>
        <w:tblW w:w="8026" w:type="dxa"/>
        <w:tblInd w:w="55" w:type="dxa"/>
        <w:tblCellMar>
          <w:left w:w="70" w:type="dxa"/>
          <w:right w:w="70" w:type="dxa"/>
        </w:tblCellMar>
        <w:tblLook w:val="04A0" w:firstRow="1" w:lastRow="0" w:firstColumn="1" w:lastColumn="0" w:noHBand="0" w:noVBand="1"/>
      </w:tblPr>
      <w:tblGrid>
        <w:gridCol w:w="978"/>
        <w:gridCol w:w="462"/>
        <w:gridCol w:w="1247"/>
        <w:gridCol w:w="817"/>
        <w:gridCol w:w="2261"/>
        <w:gridCol w:w="2261"/>
      </w:tblGrid>
      <w:tr w:rsidR="00B16255" w:rsidRPr="009A6EBD" w:rsidTr="00B16255">
        <w:trPr>
          <w:trHeight w:val="284"/>
        </w:trPr>
        <w:tc>
          <w:tcPr>
            <w:tcW w:w="978" w:type="dxa"/>
            <w:tcBorders>
              <w:top w:val="single" w:sz="4" w:space="0" w:color="auto"/>
              <w:left w:val="single" w:sz="4" w:space="0" w:color="auto"/>
              <w:bottom w:val="nil"/>
              <w:right w:val="nil"/>
            </w:tcBorders>
            <w:shd w:val="clear" w:color="000000" w:fill="FFFFFF"/>
            <w:noWrap/>
            <w:vAlign w:val="bottom"/>
            <w:hideMark/>
          </w:tcPr>
          <w:p w:rsidR="00B16255" w:rsidRPr="00B16255" w:rsidRDefault="00B16255" w:rsidP="00204434">
            <w:pPr>
              <w:spacing w:line="240" w:lineRule="auto"/>
              <w:jc w:val="center"/>
              <w:rPr>
                <w:rFonts w:ascii="Calibri" w:eastAsia="Times New Roman" w:hAnsi="Calibri" w:cs="Times New Roman"/>
                <w:color w:val="000000"/>
                <w:lang w:val="en-US" w:eastAsia="da-DK"/>
              </w:rPr>
            </w:pPr>
            <w:r w:rsidRPr="00B16255">
              <w:rPr>
                <w:rFonts w:ascii="Calibri" w:eastAsia="Times New Roman" w:hAnsi="Calibri" w:cs="Times New Roman"/>
                <w:color w:val="000000"/>
                <w:lang w:val="en-US" w:eastAsia="da-DK"/>
              </w:rPr>
              <w:t> </w:t>
            </w:r>
          </w:p>
        </w:tc>
        <w:tc>
          <w:tcPr>
            <w:tcW w:w="462" w:type="dxa"/>
            <w:tcBorders>
              <w:top w:val="single" w:sz="4" w:space="0" w:color="auto"/>
              <w:left w:val="nil"/>
              <w:bottom w:val="nil"/>
              <w:right w:val="nil"/>
            </w:tcBorders>
            <w:shd w:val="clear" w:color="000000" w:fill="FFFFFF"/>
            <w:noWrap/>
            <w:vAlign w:val="bottom"/>
            <w:hideMark/>
          </w:tcPr>
          <w:p w:rsidR="00B16255" w:rsidRPr="00B16255" w:rsidRDefault="00B16255" w:rsidP="00204434">
            <w:pPr>
              <w:spacing w:line="240" w:lineRule="auto"/>
              <w:jc w:val="center"/>
              <w:rPr>
                <w:rFonts w:ascii="Calibri" w:eastAsia="Times New Roman" w:hAnsi="Calibri" w:cs="Times New Roman"/>
                <w:color w:val="000000"/>
                <w:lang w:val="en-US" w:eastAsia="da-DK"/>
              </w:rPr>
            </w:pPr>
            <w:r w:rsidRPr="00B16255">
              <w:rPr>
                <w:rFonts w:ascii="Calibri" w:eastAsia="Times New Roman" w:hAnsi="Calibri" w:cs="Times New Roman"/>
                <w:color w:val="000000"/>
                <w:lang w:val="en-US" w:eastAsia="da-DK"/>
              </w:rPr>
              <w:t> </w:t>
            </w:r>
          </w:p>
        </w:tc>
        <w:tc>
          <w:tcPr>
            <w:tcW w:w="1247" w:type="dxa"/>
            <w:tcBorders>
              <w:top w:val="single" w:sz="4" w:space="0" w:color="auto"/>
              <w:left w:val="nil"/>
              <w:bottom w:val="nil"/>
              <w:right w:val="nil"/>
            </w:tcBorders>
            <w:shd w:val="clear" w:color="000000" w:fill="FFFFFF"/>
            <w:noWrap/>
            <w:vAlign w:val="bottom"/>
            <w:hideMark/>
          </w:tcPr>
          <w:p w:rsidR="00B16255" w:rsidRPr="00B16255" w:rsidRDefault="00B16255" w:rsidP="00204434">
            <w:pPr>
              <w:spacing w:line="240" w:lineRule="auto"/>
              <w:jc w:val="center"/>
              <w:rPr>
                <w:rFonts w:ascii="Calibri" w:eastAsia="Times New Roman" w:hAnsi="Calibri" w:cs="Times New Roman"/>
                <w:color w:val="000000"/>
                <w:lang w:val="en-US" w:eastAsia="da-DK"/>
              </w:rPr>
            </w:pPr>
            <w:r w:rsidRPr="00B16255">
              <w:rPr>
                <w:rFonts w:ascii="Calibri" w:eastAsia="Times New Roman" w:hAnsi="Calibri" w:cs="Times New Roman"/>
                <w:color w:val="000000"/>
                <w:lang w:val="en-US" w:eastAsia="da-DK"/>
              </w:rPr>
              <w:t> </w:t>
            </w:r>
          </w:p>
        </w:tc>
        <w:tc>
          <w:tcPr>
            <w:tcW w:w="817" w:type="dxa"/>
            <w:tcBorders>
              <w:top w:val="single" w:sz="4" w:space="0" w:color="auto"/>
              <w:left w:val="nil"/>
              <w:bottom w:val="nil"/>
              <w:right w:val="nil"/>
            </w:tcBorders>
            <w:shd w:val="clear" w:color="000000" w:fill="FFFFFF"/>
            <w:noWrap/>
            <w:vAlign w:val="bottom"/>
            <w:hideMark/>
          </w:tcPr>
          <w:p w:rsidR="00B16255" w:rsidRPr="00B16255" w:rsidRDefault="00B16255" w:rsidP="00204434">
            <w:pPr>
              <w:spacing w:line="240" w:lineRule="auto"/>
              <w:jc w:val="center"/>
              <w:rPr>
                <w:rFonts w:ascii="Calibri" w:eastAsia="Times New Roman" w:hAnsi="Calibri" w:cs="Times New Roman"/>
                <w:color w:val="000000"/>
                <w:lang w:val="en-US" w:eastAsia="da-DK"/>
              </w:rPr>
            </w:pPr>
            <w:r w:rsidRPr="00B16255">
              <w:rPr>
                <w:rFonts w:ascii="Calibri" w:eastAsia="Times New Roman" w:hAnsi="Calibri" w:cs="Times New Roman"/>
                <w:color w:val="000000"/>
                <w:lang w:val="en-US" w:eastAsia="da-DK"/>
              </w:rPr>
              <w:t> </w:t>
            </w:r>
          </w:p>
        </w:tc>
        <w:tc>
          <w:tcPr>
            <w:tcW w:w="2261" w:type="dxa"/>
            <w:tcBorders>
              <w:top w:val="single" w:sz="4" w:space="0" w:color="auto"/>
              <w:left w:val="nil"/>
              <w:bottom w:val="nil"/>
              <w:right w:val="nil"/>
            </w:tcBorders>
            <w:shd w:val="clear" w:color="000000" w:fill="FFFFFF"/>
            <w:noWrap/>
            <w:vAlign w:val="center"/>
            <w:hideMark/>
          </w:tcPr>
          <w:p w:rsidR="00B16255" w:rsidRPr="009A6EBD" w:rsidRDefault="00B16255" w:rsidP="00204434">
            <w:pPr>
              <w:spacing w:line="240" w:lineRule="auto"/>
              <w:jc w:val="center"/>
              <w:rPr>
                <w:rFonts w:ascii="Calibri" w:eastAsia="Times New Roman" w:hAnsi="Calibri" w:cs="Times New Roman"/>
                <w:b/>
                <w:bCs/>
                <w:color w:val="000000"/>
                <w:lang w:eastAsia="da-DK"/>
              </w:rPr>
            </w:pPr>
            <w:r w:rsidRPr="009A6EBD">
              <w:rPr>
                <w:rFonts w:ascii="Calibri" w:eastAsia="Times New Roman" w:hAnsi="Calibri" w:cs="Times New Roman"/>
                <w:b/>
                <w:bCs/>
                <w:color w:val="000000"/>
                <w:lang w:eastAsia="da-DK"/>
              </w:rPr>
              <w:t>NVAS</w:t>
            </w:r>
          </w:p>
        </w:tc>
        <w:tc>
          <w:tcPr>
            <w:tcW w:w="2261" w:type="dxa"/>
            <w:tcBorders>
              <w:top w:val="single" w:sz="4" w:space="0" w:color="auto"/>
              <w:left w:val="nil"/>
              <w:bottom w:val="nil"/>
              <w:right w:val="single" w:sz="4" w:space="0" w:color="auto"/>
            </w:tcBorders>
            <w:shd w:val="clear" w:color="000000" w:fill="FFFFFF"/>
            <w:noWrap/>
            <w:vAlign w:val="center"/>
            <w:hideMark/>
          </w:tcPr>
          <w:p w:rsidR="00B16255" w:rsidRPr="009A6EBD" w:rsidRDefault="00B16255" w:rsidP="00204434">
            <w:pPr>
              <w:spacing w:line="240" w:lineRule="auto"/>
              <w:jc w:val="center"/>
              <w:rPr>
                <w:rFonts w:ascii="Calibri" w:eastAsia="Times New Roman" w:hAnsi="Calibri" w:cs="Times New Roman"/>
                <w:b/>
                <w:bCs/>
                <w:color w:val="000000"/>
                <w:lang w:eastAsia="da-DK"/>
              </w:rPr>
            </w:pPr>
            <w:r w:rsidRPr="009A6EBD">
              <w:rPr>
                <w:rFonts w:ascii="Calibri" w:eastAsia="Times New Roman" w:hAnsi="Calibri" w:cs="Times New Roman"/>
                <w:b/>
                <w:bCs/>
                <w:color w:val="000000"/>
                <w:lang w:eastAsia="da-DK"/>
              </w:rPr>
              <w:t>Placebo</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817" w:type="dxa"/>
            <w:vMerge w:val="restart"/>
            <w:tcBorders>
              <w:top w:val="nil"/>
              <w:left w:val="nil"/>
              <w:bottom w:val="single" w:sz="4" w:space="0" w:color="000000"/>
              <w:right w:val="nil"/>
            </w:tcBorders>
            <w:shd w:val="clear" w:color="000000" w:fill="FFFFFF"/>
            <w:vAlign w:val="center"/>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in range</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n=143</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n=65</w:t>
            </w:r>
          </w:p>
        </w:tc>
      </w:tr>
      <w:tr w:rsidR="00B16255" w:rsidRPr="009A6EBD" w:rsidTr="00B16255">
        <w:trPr>
          <w:trHeight w:val="284"/>
        </w:trPr>
        <w:tc>
          <w:tcPr>
            <w:tcW w:w="978" w:type="dxa"/>
            <w:tcBorders>
              <w:top w:val="nil"/>
              <w:left w:val="single" w:sz="4" w:space="0" w:color="auto"/>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817" w:type="dxa"/>
            <w:vMerge/>
            <w:tcBorders>
              <w:top w:val="nil"/>
              <w:left w:val="nil"/>
              <w:bottom w:val="single" w:sz="4" w:space="0" w:color="000000"/>
              <w:right w:val="nil"/>
            </w:tcBorders>
            <w:vAlign w:val="center"/>
            <w:hideMark/>
          </w:tcPr>
          <w:p w:rsidR="00B16255" w:rsidRPr="009A6EBD" w:rsidRDefault="00B16255" w:rsidP="00204434">
            <w:pPr>
              <w:spacing w:line="240" w:lineRule="auto"/>
              <w:rPr>
                <w:rFonts w:ascii="Calibri" w:eastAsia="Times New Roman" w:hAnsi="Calibri" w:cs="Times New Roman"/>
                <w:color w:val="000000"/>
                <w:lang w:eastAsia="da-DK"/>
              </w:rPr>
            </w:pPr>
          </w:p>
        </w:tc>
        <w:tc>
          <w:tcPr>
            <w:tcW w:w="2261"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GM (95% CI)</w:t>
            </w:r>
          </w:p>
        </w:tc>
        <w:tc>
          <w:tcPr>
            <w:tcW w:w="2261" w:type="dxa"/>
            <w:tcBorders>
              <w:top w:val="nil"/>
              <w:left w:val="nil"/>
              <w:bottom w:val="single" w:sz="4" w:space="0" w:color="auto"/>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GM (95% CI)</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TNF-α</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d3</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medium</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75%</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51 (36-73)</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55 (33-93)</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PHA</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99%</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402 (332-487)</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367 (276-488)</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PPD</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98%</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286 (228-358)</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270 (194-376)</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TT</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96%</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352 (260-478)</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290 (184-456)</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Pam</w:t>
            </w:r>
          </w:p>
        </w:tc>
        <w:tc>
          <w:tcPr>
            <w:tcW w:w="81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87%</w:t>
            </w:r>
          </w:p>
        </w:tc>
        <w:tc>
          <w:tcPr>
            <w:tcW w:w="2261"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55 (45-68)</w:t>
            </w:r>
          </w:p>
        </w:tc>
        <w:tc>
          <w:tcPr>
            <w:tcW w:w="2261" w:type="dxa"/>
            <w:tcBorders>
              <w:top w:val="nil"/>
              <w:left w:val="nil"/>
              <w:bottom w:val="single" w:sz="4" w:space="0" w:color="auto"/>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53 (39-73)</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d1</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medium</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85%</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67 (51-87)</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75 (50-111)</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LPS</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100%</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663 (577-762)</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653 (532-803)</w:t>
            </w:r>
          </w:p>
        </w:tc>
      </w:tr>
      <w:tr w:rsidR="00B16255" w:rsidRPr="009A6EBD" w:rsidTr="00B16255">
        <w:trPr>
          <w:trHeight w:val="284"/>
        </w:trPr>
        <w:tc>
          <w:tcPr>
            <w:tcW w:w="978" w:type="dxa"/>
            <w:tcBorders>
              <w:top w:val="single" w:sz="4" w:space="0" w:color="auto"/>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IL-13</w:t>
            </w:r>
          </w:p>
        </w:tc>
        <w:tc>
          <w:tcPr>
            <w:tcW w:w="462"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d3</w:t>
            </w:r>
          </w:p>
        </w:tc>
        <w:tc>
          <w:tcPr>
            <w:tcW w:w="124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medium*</w:t>
            </w:r>
          </w:p>
        </w:tc>
        <w:tc>
          <w:tcPr>
            <w:tcW w:w="81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20%</w:t>
            </w:r>
          </w:p>
        </w:tc>
        <w:tc>
          <w:tcPr>
            <w:tcW w:w="2261"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20 (14-28)</w:t>
            </w:r>
          </w:p>
        </w:tc>
        <w:tc>
          <w:tcPr>
            <w:tcW w:w="2261" w:type="dxa"/>
            <w:tcBorders>
              <w:top w:val="single" w:sz="4" w:space="0" w:color="auto"/>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22 (14-34)</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PHA</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91%</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113 (88-145)</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96 (66-139)</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PPD</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56%</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13 (10-16)</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13 (9-18)</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TT</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73%</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33 (25-43)</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28 (18-42)</w:t>
            </w:r>
          </w:p>
        </w:tc>
      </w:tr>
      <w:tr w:rsidR="00B16255" w:rsidRPr="009A6EBD" w:rsidTr="00B16255">
        <w:trPr>
          <w:trHeight w:val="284"/>
        </w:trPr>
        <w:tc>
          <w:tcPr>
            <w:tcW w:w="978" w:type="dxa"/>
            <w:tcBorders>
              <w:top w:val="single" w:sz="4" w:space="0" w:color="auto"/>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IL-17</w:t>
            </w:r>
          </w:p>
        </w:tc>
        <w:tc>
          <w:tcPr>
            <w:tcW w:w="462"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d3</w:t>
            </w:r>
          </w:p>
        </w:tc>
        <w:tc>
          <w:tcPr>
            <w:tcW w:w="124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medium*</w:t>
            </w:r>
          </w:p>
        </w:tc>
        <w:tc>
          <w:tcPr>
            <w:tcW w:w="81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23%</w:t>
            </w:r>
          </w:p>
        </w:tc>
        <w:tc>
          <w:tcPr>
            <w:tcW w:w="2261"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24 (18-32)</w:t>
            </w:r>
          </w:p>
        </w:tc>
        <w:tc>
          <w:tcPr>
            <w:tcW w:w="2261" w:type="dxa"/>
            <w:tcBorders>
              <w:top w:val="single" w:sz="4" w:space="0" w:color="auto"/>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20 (12-33)</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PHA</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89%</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50 (42-61)</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37 (28-49)</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PPD*</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49%</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53 (45-62)</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42 (31-55)</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TT</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64%</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20 (15-26)</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17 (12-25)</w:t>
            </w:r>
          </w:p>
        </w:tc>
      </w:tr>
      <w:tr w:rsidR="00B16255" w:rsidRPr="009A6EBD" w:rsidTr="00B16255">
        <w:trPr>
          <w:trHeight w:val="284"/>
        </w:trPr>
        <w:tc>
          <w:tcPr>
            <w:tcW w:w="978" w:type="dxa"/>
            <w:tcBorders>
              <w:top w:val="single" w:sz="4" w:space="0" w:color="auto"/>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IL-10</w:t>
            </w:r>
          </w:p>
        </w:tc>
        <w:tc>
          <w:tcPr>
            <w:tcW w:w="462"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d3</w:t>
            </w:r>
          </w:p>
        </w:tc>
        <w:tc>
          <w:tcPr>
            <w:tcW w:w="124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medium*</w:t>
            </w:r>
          </w:p>
        </w:tc>
        <w:tc>
          <w:tcPr>
            <w:tcW w:w="81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35%</w:t>
            </w:r>
          </w:p>
        </w:tc>
        <w:tc>
          <w:tcPr>
            <w:tcW w:w="2261"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32 (26-41)</w:t>
            </w:r>
          </w:p>
        </w:tc>
        <w:tc>
          <w:tcPr>
            <w:tcW w:w="2261" w:type="dxa"/>
            <w:tcBorders>
              <w:top w:val="single" w:sz="4" w:space="0" w:color="auto"/>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42 (31-55)</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PHA</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95%</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32 (26-38)</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24 (19-32)</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PPD</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80%</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20 (16-26)</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13 (9-19)</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TT</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61%</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 (7-13)</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 (5-14)</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Pam</w:t>
            </w:r>
          </w:p>
        </w:tc>
        <w:tc>
          <w:tcPr>
            <w:tcW w:w="81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98%</w:t>
            </w:r>
          </w:p>
        </w:tc>
        <w:tc>
          <w:tcPr>
            <w:tcW w:w="2261"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56 (47-67)</w:t>
            </w:r>
          </w:p>
        </w:tc>
        <w:tc>
          <w:tcPr>
            <w:tcW w:w="2261" w:type="dxa"/>
            <w:tcBorders>
              <w:top w:val="nil"/>
              <w:left w:val="nil"/>
              <w:bottom w:val="single" w:sz="4" w:space="0" w:color="auto"/>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47 (36-60)</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d1</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medium</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64%</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12 (8-19)</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16 (9-29)</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LPS</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100%</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451 (388-524)</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387 (310-483)</w:t>
            </w:r>
          </w:p>
        </w:tc>
      </w:tr>
      <w:tr w:rsidR="00B16255" w:rsidRPr="009A6EBD" w:rsidTr="00B16255">
        <w:trPr>
          <w:trHeight w:val="284"/>
        </w:trPr>
        <w:tc>
          <w:tcPr>
            <w:tcW w:w="978" w:type="dxa"/>
            <w:tcBorders>
              <w:top w:val="single" w:sz="4" w:space="0" w:color="auto"/>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IFN-γ</w:t>
            </w:r>
          </w:p>
        </w:tc>
        <w:tc>
          <w:tcPr>
            <w:tcW w:w="462"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d3</w:t>
            </w:r>
          </w:p>
        </w:tc>
        <w:tc>
          <w:tcPr>
            <w:tcW w:w="124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medium*</w:t>
            </w:r>
          </w:p>
        </w:tc>
        <w:tc>
          <w:tcPr>
            <w:tcW w:w="81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11%</w:t>
            </w:r>
          </w:p>
        </w:tc>
        <w:tc>
          <w:tcPr>
            <w:tcW w:w="2261"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10 (6-16)</w:t>
            </w:r>
          </w:p>
        </w:tc>
        <w:tc>
          <w:tcPr>
            <w:tcW w:w="2261" w:type="dxa"/>
            <w:tcBorders>
              <w:top w:val="single" w:sz="4" w:space="0" w:color="auto"/>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14 (8-25)</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PHA</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90%</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59 (42-82)</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78 (47-129)</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PPD</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87%</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55 (40-75)</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66 (41-104)</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TT</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74%</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26 (18-39)</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20 (11-35)</w:t>
            </w:r>
          </w:p>
        </w:tc>
      </w:tr>
      <w:tr w:rsidR="00B16255" w:rsidRPr="009A6EBD" w:rsidTr="00B16255">
        <w:trPr>
          <w:trHeight w:val="284"/>
        </w:trPr>
        <w:tc>
          <w:tcPr>
            <w:tcW w:w="978" w:type="dxa"/>
            <w:tcBorders>
              <w:top w:val="single" w:sz="4" w:space="0" w:color="auto"/>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IL-5</w:t>
            </w:r>
          </w:p>
        </w:tc>
        <w:tc>
          <w:tcPr>
            <w:tcW w:w="462"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d3</w:t>
            </w:r>
          </w:p>
        </w:tc>
        <w:tc>
          <w:tcPr>
            <w:tcW w:w="124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medium*</w:t>
            </w:r>
          </w:p>
        </w:tc>
        <w:tc>
          <w:tcPr>
            <w:tcW w:w="817"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10%</w:t>
            </w:r>
          </w:p>
        </w:tc>
        <w:tc>
          <w:tcPr>
            <w:tcW w:w="2261" w:type="dxa"/>
            <w:tcBorders>
              <w:top w:val="single" w:sz="4" w:space="0" w:color="auto"/>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 (5-15)</w:t>
            </w:r>
          </w:p>
        </w:tc>
        <w:tc>
          <w:tcPr>
            <w:tcW w:w="2261" w:type="dxa"/>
            <w:tcBorders>
              <w:top w:val="single" w:sz="4" w:space="0" w:color="auto"/>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11 (5-22)</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PHA</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87%</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54 (38-76)</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47 (28-78)</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PPD</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72%</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11 (8-15)</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 (6-15)</w:t>
            </w:r>
          </w:p>
        </w:tc>
      </w:tr>
      <w:tr w:rsidR="00B16255" w:rsidRPr="009A6EBD" w:rsidTr="00B16255">
        <w:trPr>
          <w:trHeight w:val="284"/>
        </w:trPr>
        <w:tc>
          <w:tcPr>
            <w:tcW w:w="978" w:type="dxa"/>
            <w:tcBorders>
              <w:top w:val="nil"/>
              <w:left w:val="single" w:sz="4" w:space="0" w:color="auto"/>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TT</w:t>
            </w:r>
          </w:p>
        </w:tc>
        <w:tc>
          <w:tcPr>
            <w:tcW w:w="81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80%</w:t>
            </w:r>
          </w:p>
        </w:tc>
        <w:tc>
          <w:tcPr>
            <w:tcW w:w="2261"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35 (24-51)</w:t>
            </w:r>
          </w:p>
        </w:tc>
        <w:tc>
          <w:tcPr>
            <w:tcW w:w="2261" w:type="dxa"/>
            <w:tcBorders>
              <w:top w:val="nil"/>
              <w:left w:val="nil"/>
              <w:bottom w:val="single" w:sz="4" w:space="0" w:color="auto"/>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27 (15-47)</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817" w:type="dxa"/>
            <w:vMerge w:val="restart"/>
            <w:tcBorders>
              <w:top w:val="nil"/>
              <w:left w:val="nil"/>
              <w:bottom w:val="single" w:sz="4" w:space="0" w:color="000000"/>
              <w:right w:val="nil"/>
            </w:tcBorders>
            <w:shd w:val="clear" w:color="000000" w:fill="FFFFFF"/>
            <w:vAlign w:val="center"/>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in range</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n=167</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n=73</w:t>
            </w:r>
          </w:p>
        </w:tc>
      </w:tr>
      <w:tr w:rsidR="00B16255" w:rsidRPr="009A6EBD" w:rsidTr="00B16255">
        <w:trPr>
          <w:trHeight w:val="284"/>
        </w:trPr>
        <w:tc>
          <w:tcPr>
            <w:tcW w:w="978" w:type="dxa"/>
            <w:tcBorders>
              <w:top w:val="nil"/>
              <w:left w:val="single" w:sz="4" w:space="0" w:color="auto"/>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817" w:type="dxa"/>
            <w:vMerge/>
            <w:tcBorders>
              <w:top w:val="nil"/>
              <w:left w:val="nil"/>
              <w:bottom w:val="single" w:sz="4" w:space="0" w:color="000000"/>
              <w:right w:val="nil"/>
            </w:tcBorders>
            <w:vAlign w:val="center"/>
            <w:hideMark/>
          </w:tcPr>
          <w:p w:rsidR="00B16255" w:rsidRPr="009A6EBD" w:rsidRDefault="00B16255" w:rsidP="00204434">
            <w:pPr>
              <w:spacing w:line="240" w:lineRule="auto"/>
              <w:rPr>
                <w:rFonts w:ascii="Calibri" w:eastAsia="Times New Roman" w:hAnsi="Calibri" w:cs="Times New Roman"/>
                <w:color w:val="000000"/>
                <w:lang w:eastAsia="da-DK"/>
              </w:rPr>
            </w:pPr>
          </w:p>
        </w:tc>
        <w:tc>
          <w:tcPr>
            <w:tcW w:w="2261"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GM (95% CI)</w:t>
            </w:r>
          </w:p>
        </w:tc>
        <w:tc>
          <w:tcPr>
            <w:tcW w:w="2261" w:type="dxa"/>
            <w:tcBorders>
              <w:top w:val="nil"/>
              <w:left w:val="nil"/>
              <w:bottom w:val="single" w:sz="4" w:space="0" w:color="auto"/>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GM (95% CI)</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plasma</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IL-1Ra</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100%</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2,331 (2,192-2,479)</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2,161 (1,969-2,371)</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MCP-1</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100%</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141 (135-148)</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150 (139-160)</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TNF-α</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99%</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12 (11-13)</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13 (12-14)</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IL-10*</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42%</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42 (35-51)</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41 (31-55)</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IL-8</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100%</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21 (19-22)</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21 (19-23)</w:t>
            </w:r>
          </w:p>
        </w:tc>
      </w:tr>
      <w:tr w:rsidR="00B16255" w:rsidRPr="009A6EBD" w:rsidTr="00B16255">
        <w:trPr>
          <w:trHeight w:val="284"/>
        </w:trPr>
        <w:tc>
          <w:tcPr>
            <w:tcW w:w="978" w:type="dxa"/>
            <w:tcBorders>
              <w:top w:val="nil"/>
              <w:left w:val="single" w:sz="4" w:space="0" w:color="auto"/>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IL-6*</w:t>
            </w:r>
          </w:p>
        </w:tc>
        <w:tc>
          <w:tcPr>
            <w:tcW w:w="817"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11%</w:t>
            </w:r>
          </w:p>
        </w:tc>
        <w:tc>
          <w:tcPr>
            <w:tcW w:w="2261" w:type="dxa"/>
            <w:tcBorders>
              <w:top w:val="nil"/>
              <w:left w:val="nil"/>
              <w:bottom w:val="nil"/>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10 (6-16)</w:t>
            </w:r>
          </w:p>
        </w:tc>
        <w:tc>
          <w:tcPr>
            <w:tcW w:w="2261" w:type="dxa"/>
            <w:tcBorders>
              <w:top w:val="nil"/>
              <w:left w:val="nil"/>
              <w:bottom w:val="nil"/>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13 (7-25)</w:t>
            </w:r>
          </w:p>
        </w:tc>
      </w:tr>
      <w:tr w:rsidR="00B16255" w:rsidRPr="009A6EBD" w:rsidTr="00B16255">
        <w:trPr>
          <w:trHeight w:val="284"/>
        </w:trPr>
        <w:tc>
          <w:tcPr>
            <w:tcW w:w="978" w:type="dxa"/>
            <w:tcBorders>
              <w:top w:val="nil"/>
              <w:left w:val="single" w:sz="4" w:space="0" w:color="auto"/>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462"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 </w:t>
            </w:r>
          </w:p>
        </w:tc>
        <w:tc>
          <w:tcPr>
            <w:tcW w:w="124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suPAR</w:t>
            </w:r>
          </w:p>
        </w:tc>
        <w:tc>
          <w:tcPr>
            <w:tcW w:w="817"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100%</w:t>
            </w:r>
          </w:p>
        </w:tc>
        <w:tc>
          <w:tcPr>
            <w:tcW w:w="2261" w:type="dxa"/>
            <w:tcBorders>
              <w:top w:val="nil"/>
              <w:left w:val="nil"/>
              <w:bottom w:val="single" w:sz="4" w:space="0" w:color="auto"/>
              <w:right w:val="nil"/>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4.5 (4.4-4.7)</w:t>
            </w:r>
          </w:p>
        </w:tc>
        <w:tc>
          <w:tcPr>
            <w:tcW w:w="2261" w:type="dxa"/>
            <w:tcBorders>
              <w:top w:val="nil"/>
              <w:left w:val="nil"/>
              <w:bottom w:val="single" w:sz="4" w:space="0" w:color="auto"/>
              <w:right w:val="single" w:sz="4" w:space="0" w:color="auto"/>
            </w:tcBorders>
            <w:shd w:val="clear" w:color="000000" w:fill="FFFFFF"/>
            <w:noWrap/>
            <w:vAlign w:val="bottom"/>
            <w:hideMark/>
          </w:tcPr>
          <w:p w:rsidR="00B16255" w:rsidRPr="009A6EBD" w:rsidRDefault="00B16255" w:rsidP="00204434">
            <w:pPr>
              <w:spacing w:line="240" w:lineRule="auto"/>
              <w:jc w:val="center"/>
              <w:rPr>
                <w:rFonts w:ascii="Calibri" w:eastAsia="Times New Roman" w:hAnsi="Calibri" w:cs="Times New Roman"/>
                <w:color w:val="000000"/>
                <w:lang w:eastAsia="da-DK"/>
              </w:rPr>
            </w:pPr>
            <w:r w:rsidRPr="009A6EBD">
              <w:rPr>
                <w:rFonts w:ascii="Calibri" w:eastAsia="Times New Roman" w:hAnsi="Calibri" w:cs="Times New Roman"/>
                <w:color w:val="000000"/>
                <w:lang w:eastAsia="da-DK"/>
              </w:rPr>
              <w:t>4.5 (4.3-4.7)</w:t>
            </w:r>
          </w:p>
        </w:tc>
      </w:tr>
    </w:tbl>
    <w:p w:rsidR="00B16255" w:rsidRDefault="00B16255" w:rsidP="00B16255">
      <w:pPr>
        <w:rPr>
          <w:rFonts w:ascii="Calibri" w:eastAsia="Times New Roman" w:hAnsi="Calibri" w:cs="Times New Roman"/>
          <w:b/>
          <w:bCs/>
          <w:color w:val="000000"/>
          <w:lang w:eastAsia="da-DK"/>
        </w:rPr>
      </w:pPr>
    </w:p>
    <w:p w:rsidR="00B16255" w:rsidRPr="009A6EBD" w:rsidRDefault="00B16255" w:rsidP="00B16255">
      <w:pPr>
        <w:rPr>
          <w:lang w:val="en-US"/>
        </w:rPr>
      </w:pPr>
      <w:r w:rsidRPr="009A6EBD">
        <w:rPr>
          <w:bCs/>
          <w:lang w:val="en-US"/>
        </w:rPr>
        <w:lastRenderedPageBreak/>
        <w:t>G</w:t>
      </w:r>
      <w:r w:rsidRPr="009A6EBD">
        <w:rPr>
          <w:lang w:val="en-US"/>
        </w:rPr>
        <w:t>eometric means (GM, with 95% confidence intervals) of the outcomes measured (pg/ml, except for suPAR which is in ng/ml). Geometric means are estimated by use of Tobit regression, where observations outside the assay range are included as missing in the model producing the GM estimates.</w:t>
      </w:r>
    </w:p>
    <w:p w:rsidR="00B16255" w:rsidRPr="009A6EBD" w:rsidRDefault="00B16255" w:rsidP="00B16255">
      <w:pPr>
        <w:rPr>
          <w:lang w:val="en-US"/>
        </w:rPr>
      </w:pPr>
      <w:r w:rsidRPr="009A6EBD">
        <w:rPr>
          <w:lang w:val="en-US"/>
        </w:rPr>
        <w:t xml:space="preserve">For outcomes with &gt;50% of measurements below the lower detection limit, the proportion of measurements above the limit are presented, obtained by Poisson regression on the risk of a detectable measurement. </w:t>
      </w:r>
    </w:p>
    <w:p w:rsidR="00B16255" w:rsidRPr="009A6EBD" w:rsidRDefault="00B16255" w:rsidP="00B16255">
      <w:pPr>
        <w:rPr>
          <w:lang w:val="en-US"/>
        </w:rPr>
      </w:pPr>
      <w:r>
        <w:rPr>
          <w:lang w:val="en-US"/>
        </w:rPr>
        <w:t>in range</w:t>
      </w:r>
      <w:r w:rsidRPr="009A6EBD">
        <w:rPr>
          <w:lang w:val="en-US"/>
        </w:rPr>
        <w:t>: Proportion of measurements above the lower limit of detection</w:t>
      </w:r>
      <w:r>
        <w:rPr>
          <w:lang w:val="en-US"/>
        </w:rPr>
        <w:t xml:space="preserve"> (i.e. within assay working range)</w:t>
      </w:r>
      <w:r w:rsidRPr="009A6EBD">
        <w:rPr>
          <w:lang w:val="en-US"/>
        </w:rPr>
        <w:t>.</w:t>
      </w:r>
    </w:p>
    <w:p w:rsidR="00B16255" w:rsidRPr="009A6EBD" w:rsidRDefault="00B16255" w:rsidP="00B16255">
      <w:pPr>
        <w:rPr>
          <w:lang w:val="en-US"/>
        </w:rPr>
      </w:pPr>
      <w:r w:rsidRPr="009A6EBD">
        <w:rPr>
          <w:lang w:val="en-US"/>
        </w:rPr>
        <w:t>d1, d3: Day 1 and day 3 cultures, respectively.</w:t>
      </w:r>
    </w:p>
    <w:p w:rsidR="003045FD" w:rsidRDefault="003045FD">
      <w:pPr>
        <w:rPr>
          <w:lang w:val="en-US"/>
        </w:rPr>
      </w:pPr>
    </w:p>
    <w:p w:rsidR="00C2688D" w:rsidRPr="000D661E" w:rsidRDefault="00417ADD" w:rsidP="00C2688D">
      <w:pPr>
        <w:rPr>
          <w:b/>
          <w:lang w:val="en-GB"/>
        </w:rPr>
      </w:pPr>
      <w:r w:rsidRPr="00C2688D">
        <w:rPr>
          <w:b/>
          <w:lang w:val="en-US"/>
        </w:rPr>
        <w:t xml:space="preserve">Supplementary Table 2. </w:t>
      </w:r>
      <w:r w:rsidR="00C2688D" w:rsidRPr="00C2688D">
        <w:rPr>
          <w:b/>
          <w:lang w:val="en-GB"/>
        </w:rPr>
        <w:t xml:space="preserve">Comparing infants in NVAS trial included vs non-included in the present </w:t>
      </w:r>
      <w:r w:rsidR="00C2688D" w:rsidRPr="000D661E">
        <w:rPr>
          <w:b/>
          <w:lang w:val="en-GB"/>
        </w:rPr>
        <w:t>immunological study, using background parameters from the NVAS trial. From the NVAS trial only including infants born during the time period making them eligible (age-wise) to subsequent enrolment into the immunological</w:t>
      </w:r>
      <w:r w:rsidR="00C2688D">
        <w:rPr>
          <w:b/>
          <w:lang w:val="en-GB"/>
        </w:rPr>
        <w:t xml:space="preserve"> MV</w:t>
      </w:r>
      <w:r w:rsidR="00C2688D" w:rsidRPr="000D661E">
        <w:rPr>
          <w:b/>
          <w:lang w:val="en-GB"/>
        </w:rPr>
        <w:t xml:space="preserve"> sub-</w:t>
      </w:r>
      <w:r w:rsidR="00C2688D">
        <w:rPr>
          <w:b/>
          <w:lang w:val="en-GB"/>
        </w:rPr>
        <w:t>group study</w:t>
      </w:r>
    </w:p>
    <w:tbl>
      <w:tblPr>
        <w:tblW w:w="9268" w:type="dxa"/>
        <w:tblInd w:w="55" w:type="dxa"/>
        <w:tblCellMar>
          <w:left w:w="70" w:type="dxa"/>
          <w:right w:w="70" w:type="dxa"/>
        </w:tblCellMar>
        <w:tblLook w:val="04A0" w:firstRow="1" w:lastRow="0" w:firstColumn="1" w:lastColumn="0" w:noHBand="0" w:noVBand="1"/>
      </w:tblPr>
      <w:tblGrid>
        <w:gridCol w:w="5206"/>
        <w:gridCol w:w="1677"/>
        <w:gridCol w:w="1677"/>
        <w:gridCol w:w="708"/>
      </w:tblGrid>
      <w:tr w:rsidR="00C2688D" w:rsidRPr="000D661E" w:rsidTr="00174BA6">
        <w:trPr>
          <w:trHeight w:val="288"/>
        </w:trPr>
        <w:tc>
          <w:tcPr>
            <w:tcW w:w="5206" w:type="dxa"/>
            <w:tcBorders>
              <w:top w:val="single" w:sz="4" w:space="0" w:color="auto"/>
              <w:left w:val="single" w:sz="4" w:space="0" w:color="auto"/>
              <w:bottom w:val="nil"/>
              <w:right w:val="nil"/>
            </w:tcBorders>
            <w:shd w:val="clear" w:color="000000" w:fill="FFFFFF"/>
            <w:noWrap/>
            <w:vAlign w:val="bottom"/>
            <w:hideMark/>
          </w:tcPr>
          <w:p w:rsidR="00C2688D" w:rsidRPr="000D661E" w:rsidRDefault="00C2688D" w:rsidP="00174BA6">
            <w:pP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 </w:t>
            </w:r>
          </w:p>
        </w:tc>
        <w:tc>
          <w:tcPr>
            <w:tcW w:w="1677" w:type="dxa"/>
            <w:tcBorders>
              <w:top w:val="single" w:sz="4" w:space="0" w:color="auto"/>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b/>
                <w:bCs/>
                <w:color w:val="000000"/>
                <w:lang w:val="en-GB" w:eastAsia="da-DK"/>
              </w:rPr>
            </w:pPr>
            <w:r w:rsidRPr="000D661E">
              <w:rPr>
                <w:rFonts w:ascii="Calibri" w:eastAsia="Times New Roman" w:hAnsi="Calibri" w:cs="Times New Roman"/>
                <w:b/>
                <w:bCs/>
                <w:color w:val="000000"/>
                <w:lang w:val="en-GB" w:eastAsia="da-DK"/>
              </w:rPr>
              <w:t>Not analysed</w:t>
            </w:r>
          </w:p>
        </w:tc>
        <w:tc>
          <w:tcPr>
            <w:tcW w:w="1677" w:type="dxa"/>
            <w:tcBorders>
              <w:top w:val="single" w:sz="4" w:space="0" w:color="auto"/>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b/>
                <w:bCs/>
                <w:color w:val="000000"/>
                <w:lang w:val="en-GB" w:eastAsia="da-DK"/>
              </w:rPr>
            </w:pPr>
            <w:r w:rsidRPr="000D661E">
              <w:rPr>
                <w:rFonts w:ascii="Calibri" w:eastAsia="Times New Roman" w:hAnsi="Calibri" w:cs="Times New Roman"/>
                <w:b/>
                <w:bCs/>
                <w:color w:val="000000"/>
                <w:lang w:val="en-GB" w:eastAsia="da-DK"/>
              </w:rPr>
              <w:t>Analysed</w:t>
            </w:r>
          </w:p>
        </w:tc>
        <w:tc>
          <w:tcPr>
            <w:tcW w:w="708" w:type="dxa"/>
            <w:tcBorders>
              <w:top w:val="single" w:sz="4" w:space="0" w:color="auto"/>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 </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n</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1560</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247</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p</w:t>
            </w:r>
          </w:p>
        </w:tc>
      </w:tr>
      <w:tr w:rsidR="00C2688D" w:rsidRPr="000D661E" w:rsidTr="00174BA6">
        <w:trPr>
          <w:trHeight w:val="288"/>
        </w:trPr>
        <w:tc>
          <w:tcPr>
            <w:tcW w:w="5206" w:type="dxa"/>
            <w:tcBorders>
              <w:top w:val="nil"/>
              <w:left w:val="single" w:sz="4" w:space="0" w:color="auto"/>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boys, % (n)</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52% (804)</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57% (140)</w:t>
            </w:r>
          </w:p>
        </w:tc>
        <w:tc>
          <w:tcPr>
            <w:tcW w:w="708" w:type="dxa"/>
            <w:tcBorders>
              <w:top w:val="nil"/>
              <w:left w:val="nil"/>
              <w:bottom w:val="nil"/>
              <w:right w:val="single" w:sz="4" w:space="0" w:color="auto"/>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0.13</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age at enrolment, days, median (p10-p90)</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 (0-20.5)</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 (0-12)</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0.22</w:t>
            </w:r>
          </w:p>
        </w:tc>
      </w:tr>
      <w:tr w:rsidR="00C2688D" w:rsidRPr="000D661E" w:rsidTr="00174BA6">
        <w:trPr>
          <w:trHeight w:val="288"/>
        </w:trPr>
        <w:tc>
          <w:tcPr>
            <w:tcW w:w="5206" w:type="dxa"/>
            <w:tcBorders>
              <w:top w:val="nil"/>
              <w:left w:val="single" w:sz="4" w:space="0" w:color="auto"/>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enrolment weight, kg, median (p10-p90)</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3.18 (2.68-3.92)</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3.18 (2.64-3.78)</w:t>
            </w:r>
          </w:p>
        </w:tc>
        <w:tc>
          <w:tcPr>
            <w:tcW w:w="708" w:type="dxa"/>
            <w:tcBorders>
              <w:top w:val="nil"/>
              <w:left w:val="nil"/>
              <w:bottom w:val="nil"/>
              <w:right w:val="single" w:sz="4" w:space="0" w:color="auto"/>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0.22</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enrolment height, cm, mean (sd)</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50.6 (2.7)</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50.2 (1.9)</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0.02</w:t>
            </w:r>
          </w:p>
        </w:tc>
      </w:tr>
      <w:tr w:rsidR="00C2688D" w:rsidRPr="000D661E" w:rsidTr="00174BA6">
        <w:trPr>
          <w:trHeight w:val="288"/>
        </w:trPr>
        <w:tc>
          <w:tcPr>
            <w:tcW w:w="5206" w:type="dxa"/>
            <w:tcBorders>
              <w:top w:val="nil"/>
              <w:left w:val="single" w:sz="4" w:space="0" w:color="auto"/>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enrolment MUAC, mm, median (p10-p90)</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98 (88-112)</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94 (88-106)</w:t>
            </w:r>
          </w:p>
        </w:tc>
        <w:tc>
          <w:tcPr>
            <w:tcW w:w="708" w:type="dxa"/>
            <w:tcBorders>
              <w:top w:val="nil"/>
              <w:left w:val="nil"/>
              <w:bottom w:val="nil"/>
              <w:right w:val="single" w:sz="4" w:space="0" w:color="auto"/>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0.004</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enrolment head circumf., cm, median (p10-p90)</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34 (31.5-37)</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34 (32-36)</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0.58</w:t>
            </w:r>
          </w:p>
        </w:tc>
      </w:tr>
      <w:tr w:rsidR="00C2688D" w:rsidRPr="000D661E" w:rsidTr="00174BA6">
        <w:trPr>
          <w:trHeight w:val="288"/>
        </w:trPr>
        <w:tc>
          <w:tcPr>
            <w:tcW w:w="5206" w:type="dxa"/>
            <w:tcBorders>
              <w:top w:val="nil"/>
              <w:left w:val="single" w:sz="4" w:space="0" w:color="auto"/>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Pr>
                <w:rFonts w:ascii="Calibri" w:eastAsia="Times New Roman" w:hAnsi="Calibri" w:cs="Times New Roman"/>
                <w:color w:val="000000"/>
                <w:lang w:val="en-GB" w:eastAsia="da-DK"/>
              </w:rPr>
              <w:t>enrolment abdominal circu</w:t>
            </w:r>
            <w:r w:rsidRPr="000D661E">
              <w:rPr>
                <w:rFonts w:ascii="Calibri" w:eastAsia="Times New Roman" w:hAnsi="Calibri" w:cs="Times New Roman"/>
                <w:color w:val="000000"/>
                <w:lang w:val="en-GB" w:eastAsia="da-DK"/>
              </w:rPr>
              <w:t>mf</w:t>
            </w:r>
            <w:r>
              <w:rPr>
                <w:rFonts w:ascii="Calibri" w:eastAsia="Times New Roman" w:hAnsi="Calibri" w:cs="Times New Roman"/>
                <w:color w:val="000000"/>
                <w:lang w:val="en-GB" w:eastAsia="da-DK"/>
              </w:rPr>
              <w:t>.</w:t>
            </w:r>
            <w:r w:rsidRPr="000D661E">
              <w:rPr>
                <w:rFonts w:ascii="Calibri" w:eastAsia="Times New Roman" w:hAnsi="Calibri" w:cs="Times New Roman"/>
                <w:color w:val="000000"/>
                <w:lang w:val="en-GB" w:eastAsia="da-DK"/>
              </w:rPr>
              <w:t>, cm, median (p10-p90)</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30 (27-35)</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29.5 (27-34)</w:t>
            </w:r>
          </w:p>
        </w:tc>
        <w:tc>
          <w:tcPr>
            <w:tcW w:w="708" w:type="dxa"/>
            <w:tcBorders>
              <w:top w:val="nil"/>
              <w:left w:val="nil"/>
              <w:bottom w:val="nil"/>
              <w:right w:val="single" w:sz="4" w:space="0" w:color="auto"/>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0.10</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mother alive, % (n)</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100% (1559)</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100% (247)</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w:t>
            </w:r>
          </w:p>
        </w:tc>
      </w:tr>
      <w:tr w:rsidR="00C2688D" w:rsidRPr="000D661E" w:rsidTr="00174BA6">
        <w:trPr>
          <w:trHeight w:val="288"/>
        </w:trPr>
        <w:tc>
          <w:tcPr>
            <w:tcW w:w="5206" w:type="dxa"/>
            <w:tcBorders>
              <w:top w:val="nil"/>
              <w:left w:val="single" w:sz="4" w:space="0" w:color="auto"/>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mother MUAC, mm, mean (sd)</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251.1 (29.8)</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250.2 (27.3)</w:t>
            </w:r>
          </w:p>
        </w:tc>
        <w:tc>
          <w:tcPr>
            <w:tcW w:w="708" w:type="dxa"/>
            <w:tcBorders>
              <w:top w:val="nil"/>
              <w:left w:val="nil"/>
              <w:bottom w:val="nil"/>
              <w:right w:val="single" w:sz="4" w:space="0" w:color="auto"/>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0.68</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 xml:space="preserve">mother's </w:t>
            </w:r>
            <w:r>
              <w:rPr>
                <w:rFonts w:ascii="Calibri" w:eastAsia="Times New Roman" w:hAnsi="Calibri" w:cs="Times New Roman"/>
                <w:color w:val="000000"/>
                <w:lang w:val="en-GB" w:eastAsia="da-DK"/>
              </w:rPr>
              <w:t xml:space="preserve">number of </w:t>
            </w:r>
            <w:r w:rsidRPr="000D661E">
              <w:rPr>
                <w:rFonts w:ascii="Calibri" w:eastAsia="Times New Roman" w:hAnsi="Calibri" w:cs="Times New Roman"/>
                <w:color w:val="000000"/>
                <w:lang w:val="en-GB" w:eastAsia="da-DK"/>
              </w:rPr>
              <w:t>y</w:t>
            </w:r>
            <w:r>
              <w:rPr>
                <w:rFonts w:ascii="Calibri" w:eastAsia="Times New Roman" w:hAnsi="Calibri" w:cs="Times New Roman"/>
                <w:color w:val="000000"/>
                <w:lang w:val="en-GB" w:eastAsia="da-DK"/>
              </w:rPr>
              <w:t>ea</w:t>
            </w:r>
            <w:r w:rsidRPr="000D661E">
              <w:rPr>
                <w:rFonts w:ascii="Calibri" w:eastAsia="Times New Roman" w:hAnsi="Calibri" w:cs="Times New Roman"/>
                <w:color w:val="000000"/>
                <w:lang w:val="en-GB" w:eastAsia="da-DK"/>
              </w:rPr>
              <w:t>rs in school, median (p10-p90)</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5 (0-11)</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6 (0-10)</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0.20</w:t>
            </w:r>
          </w:p>
        </w:tc>
      </w:tr>
      <w:tr w:rsidR="00C2688D" w:rsidRPr="000D661E" w:rsidTr="00174BA6">
        <w:trPr>
          <w:trHeight w:val="288"/>
        </w:trPr>
        <w:tc>
          <w:tcPr>
            <w:tcW w:w="5206" w:type="dxa"/>
            <w:tcBorders>
              <w:top w:val="nil"/>
              <w:left w:val="single" w:sz="4" w:space="0" w:color="auto"/>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hard roof, % (n)</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96% (1488)</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96% (237)</w:t>
            </w:r>
          </w:p>
        </w:tc>
        <w:tc>
          <w:tcPr>
            <w:tcW w:w="708" w:type="dxa"/>
            <w:tcBorders>
              <w:top w:val="nil"/>
              <w:left w:val="nil"/>
              <w:bottom w:val="nil"/>
              <w:right w:val="single" w:sz="4" w:space="0" w:color="auto"/>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0.99</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toilet inside house, % (n)</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15% (227)</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17% (41)</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0.42</w:t>
            </w:r>
          </w:p>
        </w:tc>
      </w:tr>
      <w:tr w:rsidR="00C2688D" w:rsidRPr="000D661E" w:rsidTr="00174BA6">
        <w:trPr>
          <w:trHeight w:val="288"/>
        </w:trPr>
        <w:tc>
          <w:tcPr>
            <w:tcW w:w="5206" w:type="dxa"/>
            <w:tcBorders>
              <w:top w:val="nil"/>
              <w:left w:val="single" w:sz="4" w:space="0" w:color="auto"/>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breastfeeding, % (n)</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98% (933)</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99% (156)</w:t>
            </w:r>
          </w:p>
        </w:tc>
        <w:tc>
          <w:tcPr>
            <w:tcW w:w="708" w:type="dxa"/>
            <w:tcBorders>
              <w:top w:val="nil"/>
              <w:left w:val="nil"/>
              <w:bottom w:val="nil"/>
              <w:right w:val="single" w:sz="4" w:space="0" w:color="auto"/>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0.26</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BCG vaccinated, % (n)</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100% (1560)</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100% (247)</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w:t>
            </w:r>
          </w:p>
        </w:tc>
      </w:tr>
      <w:tr w:rsidR="00C2688D" w:rsidRPr="000D661E" w:rsidTr="00174BA6">
        <w:trPr>
          <w:trHeight w:val="288"/>
        </w:trPr>
        <w:tc>
          <w:tcPr>
            <w:tcW w:w="5206" w:type="dxa"/>
            <w:tcBorders>
              <w:top w:val="nil"/>
              <w:left w:val="single" w:sz="4" w:space="0" w:color="auto"/>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age at BCG, days, median (p10-p90)</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 (0-20.5)</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 (0-12)</w:t>
            </w:r>
          </w:p>
        </w:tc>
        <w:tc>
          <w:tcPr>
            <w:tcW w:w="708" w:type="dxa"/>
            <w:tcBorders>
              <w:top w:val="nil"/>
              <w:left w:val="nil"/>
              <w:bottom w:val="nil"/>
              <w:right w:val="single" w:sz="4" w:space="0" w:color="auto"/>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0.22</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OPV-vaccinated, % (n)</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100% (1560)</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100% (247)</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w:t>
            </w:r>
          </w:p>
        </w:tc>
      </w:tr>
      <w:tr w:rsidR="00C2688D" w:rsidRPr="000D661E" w:rsidTr="00174BA6">
        <w:trPr>
          <w:trHeight w:val="288"/>
        </w:trPr>
        <w:tc>
          <w:tcPr>
            <w:tcW w:w="5206" w:type="dxa"/>
            <w:tcBorders>
              <w:top w:val="nil"/>
              <w:left w:val="single" w:sz="4" w:space="0" w:color="auto"/>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age at first OPV, days, median (p10-p90)</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 (0-21)</w:t>
            </w:r>
          </w:p>
        </w:tc>
        <w:tc>
          <w:tcPr>
            <w:tcW w:w="1677" w:type="dxa"/>
            <w:tcBorders>
              <w:top w:val="nil"/>
              <w:left w:val="nil"/>
              <w:bottom w:val="nil"/>
              <w:right w:val="nil"/>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1 (0-12)</w:t>
            </w:r>
          </w:p>
        </w:tc>
        <w:tc>
          <w:tcPr>
            <w:tcW w:w="708" w:type="dxa"/>
            <w:tcBorders>
              <w:top w:val="nil"/>
              <w:left w:val="nil"/>
              <w:bottom w:val="nil"/>
              <w:right w:val="single" w:sz="4" w:space="0" w:color="auto"/>
            </w:tcBorders>
            <w:shd w:val="clear" w:color="000000" w:fill="BFBFB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0.18</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NVAS allocation</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 </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 </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0.58</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right"/>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50,000 IU</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33% (519)</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36% (88)</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 </w:t>
            </w:r>
          </w:p>
        </w:tc>
      </w:tr>
      <w:tr w:rsidR="00C2688D" w:rsidRPr="000D661E" w:rsidTr="00174BA6">
        <w:trPr>
          <w:trHeight w:val="288"/>
        </w:trPr>
        <w:tc>
          <w:tcPr>
            <w:tcW w:w="5206" w:type="dxa"/>
            <w:tcBorders>
              <w:top w:val="nil"/>
              <w:left w:val="single" w:sz="4" w:space="0" w:color="auto"/>
              <w:bottom w:val="nil"/>
              <w:right w:val="nil"/>
            </w:tcBorders>
            <w:shd w:val="clear" w:color="000000" w:fill="FFFFFF"/>
            <w:noWrap/>
            <w:vAlign w:val="bottom"/>
            <w:hideMark/>
          </w:tcPr>
          <w:p w:rsidR="00C2688D" w:rsidRPr="000D661E" w:rsidRDefault="00C2688D" w:rsidP="00174BA6">
            <w:pPr>
              <w:jc w:val="right"/>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25,000 IU</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32% (503)</w:t>
            </w:r>
          </w:p>
        </w:tc>
        <w:tc>
          <w:tcPr>
            <w:tcW w:w="1677" w:type="dxa"/>
            <w:tcBorders>
              <w:top w:val="nil"/>
              <w:left w:val="nil"/>
              <w:bottom w:val="nil"/>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33% (82)</w:t>
            </w:r>
          </w:p>
        </w:tc>
        <w:tc>
          <w:tcPr>
            <w:tcW w:w="708" w:type="dxa"/>
            <w:tcBorders>
              <w:top w:val="nil"/>
              <w:left w:val="nil"/>
              <w:bottom w:val="nil"/>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 </w:t>
            </w:r>
          </w:p>
        </w:tc>
      </w:tr>
      <w:tr w:rsidR="00C2688D" w:rsidRPr="000D661E" w:rsidTr="00174BA6">
        <w:trPr>
          <w:trHeight w:val="288"/>
        </w:trPr>
        <w:tc>
          <w:tcPr>
            <w:tcW w:w="5206" w:type="dxa"/>
            <w:tcBorders>
              <w:top w:val="nil"/>
              <w:left w:val="single" w:sz="4" w:space="0" w:color="auto"/>
              <w:bottom w:val="single" w:sz="4" w:space="0" w:color="auto"/>
              <w:right w:val="nil"/>
            </w:tcBorders>
            <w:shd w:val="clear" w:color="000000" w:fill="FFFFFF"/>
            <w:noWrap/>
            <w:vAlign w:val="bottom"/>
            <w:hideMark/>
          </w:tcPr>
          <w:p w:rsidR="00C2688D" w:rsidRPr="000D661E" w:rsidRDefault="00C2688D" w:rsidP="00174BA6">
            <w:pPr>
              <w:jc w:val="right"/>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placebo</w:t>
            </w:r>
          </w:p>
        </w:tc>
        <w:tc>
          <w:tcPr>
            <w:tcW w:w="1677" w:type="dxa"/>
            <w:tcBorders>
              <w:top w:val="nil"/>
              <w:left w:val="nil"/>
              <w:bottom w:val="single" w:sz="4" w:space="0" w:color="auto"/>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34% (538)</w:t>
            </w:r>
          </w:p>
        </w:tc>
        <w:tc>
          <w:tcPr>
            <w:tcW w:w="1677" w:type="dxa"/>
            <w:tcBorders>
              <w:top w:val="nil"/>
              <w:left w:val="nil"/>
              <w:bottom w:val="single" w:sz="4" w:space="0" w:color="auto"/>
              <w:right w:val="nil"/>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31% (77)</w:t>
            </w:r>
          </w:p>
        </w:tc>
        <w:tc>
          <w:tcPr>
            <w:tcW w:w="708" w:type="dxa"/>
            <w:tcBorders>
              <w:top w:val="nil"/>
              <w:left w:val="nil"/>
              <w:bottom w:val="single" w:sz="4" w:space="0" w:color="auto"/>
              <w:right w:val="single" w:sz="4" w:space="0" w:color="auto"/>
            </w:tcBorders>
            <w:shd w:val="clear" w:color="000000" w:fill="FFFFFF"/>
            <w:noWrap/>
            <w:vAlign w:val="bottom"/>
            <w:hideMark/>
          </w:tcPr>
          <w:p w:rsidR="00C2688D" w:rsidRPr="000D661E" w:rsidRDefault="00C2688D" w:rsidP="00174BA6">
            <w:pPr>
              <w:jc w:val="center"/>
              <w:rPr>
                <w:rFonts w:ascii="Calibri" w:eastAsia="Times New Roman" w:hAnsi="Calibri" w:cs="Times New Roman"/>
                <w:color w:val="000000"/>
                <w:lang w:val="en-GB" w:eastAsia="da-DK"/>
              </w:rPr>
            </w:pPr>
            <w:r w:rsidRPr="000D661E">
              <w:rPr>
                <w:rFonts w:ascii="Calibri" w:eastAsia="Times New Roman" w:hAnsi="Calibri" w:cs="Times New Roman"/>
                <w:color w:val="000000"/>
                <w:lang w:val="en-GB" w:eastAsia="da-DK"/>
              </w:rPr>
              <w:t> </w:t>
            </w:r>
          </w:p>
        </w:tc>
      </w:tr>
    </w:tbl>
    <w:p w:rsidR="00C2688D" w:rsidRPr="000D661E" w:rsidRDefault="00C2688D" w:rsidP="00C2688D">
      <w:pPr>
        <w:rPr>
          <w:lang w:val="en-GB"/>
        </w:rPr>
      </w:pPr>
      <w:r w:rsidRPr="000D661E">
        <w:rPr>
          <w:lang w:val="en-GB"/>
        </w:rPr>
        <w:t>Continuous or ordinal variables were analysed using Kruskal-Wallis test for non-normal distributions (presenting median, 10-percentile and 90-percentile), and Student’s t-test for normal distributions (presenting mean and standard deviation), and categorical variables were analysed using Chi2 test (presenting absolute number and percentage of parent population with the respective information available for dichotomous categorical variables and median, 10-percentile and 90-percentile for categorical outcomes with &gt;5 levels).</w:t>
      </w:r>
    </w:p>
    <w:p w:rsidR="00C2688D" w:rsidRPr="000D661E" w:rsidRDefault="00C2688D" w:rsidP="00C2688D">
      <w:pPr>
        <w:rPr>
          <w:lang w:val="en-GB"/>
        </w:rPr>
      </w:pPr>
      <w:r w:rsidRPr="000D661E">
        <w:rPr>
          <w:rFonts w:ascii="Calibri" w:eastAsia="Times New Roman" w:hAnsi="Calibri" w:cs="Times New Roman"/>
          <w:bCs/>
          <w:color w:val="000000"/>
          <w:lang w:val="en-GB" w:eastAsia="da-DK"/>
        </w:rPr>
        <w:t>MU</w:t>
      </w:r>
      <w:r w:rsidRPr="000D661E">
        <w:rPr>
          <w:lang w:val="en-GB"/>
        </w:rPr>
        <w:t>AC: mid-upper arm circumference.</w:t>
      </w:r>
    </w:p>
    <w:p w:rsidR="00417ADD" w:rsidRPr="00C2688D" w:rsidRDefault="00417ADD">
      <w:pPr>
        <w:rPr>
          <w:lang w:val="en-GB"/>
        </w:rPr>
      </w:pPr>
    </w:p>
    <w:p w:rsidR="00417ADD" w:rsidRDefault="00417ADD">
      <w:pPr>
        <w:rPr>
          <w:lang w:val="en-US"/>
        </w:rPr>
      </w:pPr>
    </w:p>
    <w:p w:rsidR="00417ADD" w:rsidRPr="00B16255" w:rsidRDefault="00417ADD">
      <w:pPr>
        <w:rPr>
          <w:lang w:val="en-US"/>
        </w:rPr>
      </w:pPr>
    </w:p>
    <w:sectPr w:rsidR="00417ADD" w:rsidRPr="00B162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55"/>
    <w:rsid w:val="003045FD"/>
    <w:rsid w:val="00417ADD"/>
    <w:rsid w:val="00B16255"/>
    <w:rsid w:val="00C2688D"/>
    <w:rsid w:val="00FF7C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55"/>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2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55"/>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2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4</DocSecurity>
  <Lines>31</Lines>
  <Paragraphs>8</Paragraphs>
  <ScaleCrop>false</ScaleCrop>
  <Company>DTU</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 Jarlov Jensen</dc:creator>
  <cp:lastModifiedBy>Juanita Goossens-Roach</cp:lastModifiedBy>
  <cp:revision>2</cp:revision>
  <dcterms:created xsi:type="dcterms:W3CDTF">2017-10-04T13:47:00Z</dcterms:created>
  <dcterms:modified xsi:type="dcterms:W3CDTF">2017-10-04T13:47:00Z</dcterms:modified>
</cp:coreProperties>
</file>