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8DD" w:rsidRPr="00AF17C7" w:rsidRDefault="005F78DD" w:rsidP="005F78DD">
      <w:pPr>
        <w:rPr>
          <w:rFonts w:cs="Times New Roman"/>
          <w:szCs w:val="24"/>
          <w:lang w:val="en-US"/>
        </w:rPr>
      </w:pPr>
      <w:bookmarkStart w:id="0" w:name="_GoBack"/>
      <w:r w:rsidRPr="00AF17C7">
        <w:rPr>
          <w:rFonts w:cs="Times New Roman"/>
          <w:b/>
          <w:szCs w:val="24"/>
          <w:lang w:val="en-US"/>
        </w:rPr>
        <w:t xml:space="preserve">Supplemental Table 1 </w:t>
      </w:r>
      <w:r w:rsidRPr="00AF17C7">
        <w:rPr>
          <w:rFonts w:cs="Times New Roman"/>
          <w:szCs w:val="24"/>
          <w:lang w:val="en-US"/>
        </w:rPr>
        <w:t xml:space="preserve">Associations between dietary, supplemental and total intakes of antioxidants and colorectal cancer risk, from multivariable Cox proportional hazards </w:t>
      </w:r>
      <w:proofErr w:type="spellStart"/>
      <w:r w:rsidRPr="00AF17C7">
        <w:rPr>
          <w:rFonts w:cs="Times New Roman"/>
          <w:szCs w:val="24"/>
          <w:lang w:val="en-US"/>
        </w:rPr>
        <w:t>models</w:t>
      </w:r>
      <w:r w:rsidRPr="00AF17C7">
        <w:rPr>
          <w:rFonts w:cs="Times New Roman"/>
          <w:szCs w:val="24"/>
          <w:vertAlign w:val="superscript"/>
          <w:lang w:val="en-US"/>
        </w:rPr>
        <w:t>a</w:t>
      </w:r>
      <w:proofErr w:type="spellEnd"/>
      <w:r w:rsidRPr="00AF17C7">
        <w:rPr>
          <w:rFonts w:cs="Times New Roman"/>
          <w:szCs w:val="24"/>
          <w:lang w:val="en-US"/>
        </w:rPr>
        <w:t xml:space="preserve">, NutriNet-Santé Cohort </w:t>
      </w:r>
      <w:r w:rsidRPr="00AF17C7">
        <w:rPr>
          <w:rFonts w:eastAsia="Times New Roman" w:cs="Times New Roman"/>
          <w:szCs w:val="24"/>
          <w:lang w:val="en-GB" w:eastAsia="fr-FR"/>
        </w:rPr>
        <w:t>(n=38 812)</w:t>
      </w:r>
      <w:r w:rsidRPr="00AF17C7">
        <w:rPr>
          <w:rFonts w:cs="Times New Roman"/>
          <w:szCs w:val="24"/>
          <w:lang w:val="en-US"/>
        </w:rPr>
        <w:t>, France, 2009-2016</w:t>
      </w:r>
    </w:p>
    <w:p w:rsidR="005F78DD" w:rsidRPr="00AF17C7" w:rsidRDefault="005F78DD" w:rsidP="005F78DD">
      <w:pPr>
        <w:rPr>
          <w:rFonts w:cs="Times New Roman"/>
          <w:szCs w:val="24"/>
          <w:lang w:val="en-US"/>
        </w:rPr>
      </w:pPr>
    </w:p>
    <w:tbl>
      <w:tblPr>
        <w:tblW w:w="15350" w:type="dxa"/>
        <w:tblInd w:w="-6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5"/>
        <w:gridCol w:w="1532"/>
        <w:gridCol w:w="1032"/>
        <w:gridCol w:w="561"/>
        <w:gridCol w:w="1103"/>
        <w:gridCol w:w="831"/>
        <w:gridCol w:w="1191"/>
        <w:gridCol w:w="1132"/>
        <w:gridCol w:w="566"/>
        <w:gridCol w:w="1152"/>
        <w:gridCol w:w="567"/>
        <w:gridCol w:w="1141"/>
        <w:gridCol w:w="1127"/>
        <w:gridCol w:w="567"/>
        <w:gridCol w:w="1140"/>
        <w:gridCol w:w="743"/>
      </w:tblGrid>
      <w:tr w:rsidR="00AF17C7" w:rsidRPr="00AF17C7" w:rsidTr="005F78DD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val="en-US" w:eastAsia="fr-FR"/>
              </w:rPr>
            </w:pPr>
          </w:p>
        </w:tc>
        <w:tc>
          <w:tcPr>
            <w:tcW w:w="50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Dietary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 xml:space="preserve"> 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intake</w:t>
            </w:r>
            <w:proofErr w:type="spellEnd"/>
          </w:p>
        </w:tc>
        <w:tc>
          <w:tcPr>
            <w:tcW w:w="460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Supplemental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 xml:space="preserve"> 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intake</w:t>
            </w:r>
            <w:proofErr w:type="spellEnd"/>
          </w:p>
        </w:tc>
        <w:tc>
          <w:tcPr>
            <w:tcW w:w="47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 xml:space="preserve">Total 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intake</w:t>
            </w:r>
            <w:proofErr w:type="spellEnd"/>
          </w:p>
        </w:tc>
      </w:tr>
      <w:tr w:rsidR="00AF17C7" w:rsidRPr="00AF17C7" w:rsidTr="005F78DD">
        <w:trPr>
          <w:trHeight w:val="422"/>
        </w:trPr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cases/non cases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HR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95%CI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P-trend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cases/non cases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HR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95%CI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P-trend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cases/non cases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HR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95%CI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P-trend</w:t>
            </w: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Vitamin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 xml:space="preserve"> C</w:t>
            </w:r>
          </w:p>
        </w:tc>
        <w:tc>
          <w:tcPr>
            <w:tcW w:w="15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Continuous</w:t>
            </w:r>
            <w:r w:rsidRPr="00AF17C7">
              <w:rPr>
                <w:rFonts w:eastAsia="Times New Roman" w:cs="Times New Roman"/>
                <w:sz w:val="19"/>
                <w:szCs w:val="19"/>
                <w:vertAlign w:val="superscript"/>
                <w:lang w:eastAsia="fr-FR"/>
              </w:rPr>
              <w:t>b</w:t>
            </w:r>
            <w:proofErr w:type="spellEnd"/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120/38,658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0.98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[0.95-1.02]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0.3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val="en-GB" w:eastAsia="fr-FR"/>
              </w:rPr>
              <w:t>Users vs non-users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17/5852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0.92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[0.55-1.55]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Continuous</w:t>
            </w:r>
            <w:proofErr w:type="spellEnd"/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120/38,658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0.98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[0.95-1.00]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0.09</w:t>
            </w: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vertAlign w:val="superscript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Q1</w:t>
            </w:r>
            <w:r w:rsidRPr="00AF17C7">
              <w:rPr>
                <w:rFonts w:eastAsia="Times New Roman" w:cs="Times New Roman"/>
                <w:sz w:val="19"/>
                <w:szCs w:val="19"/>
                <w:vertAlign w:val="superscript"/>
                <w:lang w:eastAsia="fr-FR"/>
              </w:rPr>
              <w:t>c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30/9617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0.09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Non-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users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103/32,806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0.2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28/9614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0.06</w:t>
            </w: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37/9660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1.10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[0.68-1.80]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10/1875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1.81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[0.94-3.48]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39/9654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[0.77-2.07]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30/9682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0.86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[0.51-1.45]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4/2001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0.64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[0.24-1.75]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33/9678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1.02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[0.61-1.71]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23/9699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0.66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[0.38-1.16]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3/1976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0.45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[0.14-1.41]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20/9712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0.60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[0.33-1.09]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Vitamin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 xml:space="preserve"> E</w:t>
            </w: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Continuous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120/38,629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[0.89-0.99]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Users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 xml:space="preserve"> vs non-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users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14/4993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0.90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[0.51-1.59]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0.7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Continuous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120/38,629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[0.93-1.01]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0.1</w:t>
            </w: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41/9613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0.003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Non-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users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106/33,636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40/9607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0.002</w:t>
            </w: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32/9647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0.71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[0.44-1.14]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5/1618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1.07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[0.44-2.64]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36/9647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[0.51-1.30]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26/9683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0.54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[0.32-0.92]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5/1740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0.94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[0.38-2.31]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22/9679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0.47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[0.27-0.82]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21/9686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0.42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[0.23-0.77]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4/1635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0.72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[0.27-1.98]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22/9696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[0.24-0.80]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Beta-carotene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Continuous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120/38,688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1.00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[1.00-1.00]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Users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 xml:space="preserve"> vs </w:t>
            </w:r>
            <w:r w:rsidRPr="00AF17C7">
              <w:rPr>
                <w:rFonts w:eastAsia="Times New Roman" w:cs="Times New Roman"/>
                <w:sz w:val="19"/>
                <w:szCs w:val="19"/>
                <w:lang w:val="en-GB" w:eastAsia="fr-FR"/>
              </w:rPr>
              <w:t>non-users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5/1338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1.30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[0.53-3.19]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0.6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Continuous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120/38,688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[1.00-1.00]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0.2</w:t>
            </w: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30/9620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0.07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Non-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users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115/37,350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30/9620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0.09</w:t>
            </w: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38/9682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1.17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[0.72-1.90]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2/446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1.66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[0.41-6.72]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37/9681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1.13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[0.70-1.84]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31/9693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0.91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[0.55-1.52]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0/445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[0-.]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31/9693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0.91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[0.55-1.52]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21/9693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0.62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[0.35-1.10]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3/447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2.14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[0.68-6.74]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Q4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22/9694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[0.37-1.14]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26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Selenium</w:t>
            </w:r>
            <w:proofErr w:type="spellEnd"/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Continuous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120/38,660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0.94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[0.86-1.03]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0.2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Users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 xml:space="preserve"> vs non-u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val="en-GB" w:eastAsia="fr-FR"/>
              </w:rPr>
              <w:t>sers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8/3282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0.76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[0.37-1.56]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0.4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Continuous</w:t>
            </w:r>
            <w:proofErr w:type="spellEnd"/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120/38,660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0.93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bCs/>
                <w:sz w:val="19"/>
                <w:szCs w:val="19"/>
                <w:lang w:eastAsia="fr-FR"/>
              </w:rPr>
              <w:t>[0.86-1.02]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0.1</w:t>
            </w:r>
          </w:p>
        </w:tc>
      </w:tr>
      <w:tr w:rsidR="00AF17C7" w:rsidRPr="00AF17C7" w:rsidTr="005F78DD">
        <w:trPr>
          <w:trHeight w:val="21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38/9634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0.6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Non-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users</w:t>
            </w:r>
            <w:proofErr w:type="spellEnd"/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112/35,378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0.5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36/9635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(</w:t>
            </w:r>
            <w:proofErr w:type="spellStart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ref</w:t>
            </w:r>
            <w:proofErr w:type="spellEnd"/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)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0.5</w:t>
            </w:r>
          </w:p>
        </w:tc>
      </w:tr>
      <w:tr w:rsidR="00AF17C7" w:rsidRPr="00AF17C7" w:rsidTr="005F78DD">
        <w:trPr>
          <w:trHeight w:val="301"/>
        </w:trPr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22/9680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0.59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[0.35-1.01]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T1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3/1068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0.95</w:t>
            </w: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[0.30-2.99]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Q2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25/9674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0.71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[0.42-1.20]</w:t>
            </w: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26"/>
        </w:trPr>
        <w:tc>
          <w:tcPr>
            <w:tcW w:w="9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Q3</w:t>
            </w:r>
          </w:p>
        </w:tc>
        <w:tc>
          <w:tcPr>
            <w:tcW w:w="10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34/9669</w:t>
            </w:r>
          </w:p>
        </w:tc>
        <w:tc>
          <w:tcPr>
            <w:tcW w:w="56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0.93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[0.57-1.52]</w:t>
            </w:r>
          </w:p>
        </w:tc>
        <w:tc>
          <w:tcPr>
            <w:tcW w:w="8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T2</w:t>
            </w:r>
          </w:p>
        </w:tc>
        <w:tc>
          <w:tcPr>
            <w:tcW w:w="113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1/1175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0.27</w:t>
            </w:r>
          </w:p>
        </w:tc>
        <w:tc>
          <w:tcPr>
            <w:tcW w:w="11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[0.04-1.93]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Q3</w:t>
            </w:r>
          </w:p>
        </w:tc>
        <w:tc>
          <w:tcPr>
            <w:tcW w:w="1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35/9669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1.01</w:t>
            </w:r>
          </w:p>
        </w:tc>
        <w:tc>
          <w:tcPr>
            <w:tcW w:w="11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[0.62-1.65]</w:t>
            </w:r>
          </w:p>
        </w:tc>
        <w:tc>
          <w:tcPr>
            <w:tcW w:w="7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  <w:tr w:rsidR="00AF17C7" w:rsidRPr="00AF17C7" w:rsidTr="005F78DD">
        <w:trPr>
          <w:trHeight w:val="256"/>
        </w:trPr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Q4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26/9677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0.75</w:t>
            </w: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[0.44-1.30]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T3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4/1039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1.08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[0.40-2.95]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Q4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24/9682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0.71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  <w:r w:rsidRPr="00AF17C7">
              <w:rPr>
                <w:rFonts w:eastAsia="Times New Roman" w:cs="Times New Roman"/>
                <w:sz w:val="19"/>
                <w:szCs w:val="19"/>
                <w:lang w:eastAsia="fr-FR"/>
              </w:rPr>
              <w:t>[0.41-1.25]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F78DD" w:rsidRPr="00AF17C7" w:rsidRDefault="005F78DD" w:rsidP="00BC454E">
            <w:pPr>
              <w:jc w:val="center"/>
              <w:rPr>
                <w:rFonts w:eastAsia="Times New Roman" w:cs="Times New Roman"/>
                <w:sz w:val="19"/>
                <w:szCs w:val="19"/>
                <w:lang w:eastAsia="fr-FR"/>
              </w:rPr>
            </w:pPr>
          </w:p>
        </w:tc>
      </w:tr>
    </w:tbl>
    <w:p w:rsidR="005F78DD" w:rsidRPr="00AF17C7" w:rsidRDefault="005F78DD" w:rsidP="005F78DD">
      <w:pPr>
        <w:spacing w:before="60"/>
        <w:jc w:val="both"/>
        <w:rPr>
          <w:rFonts w:cs="Times New Roman"/>
          <w:sz w:val="22"/>
          <w:lang w:val="en-GB"/>
        </w:rPr>
      </w:pPr>
      <w:r w:rsidRPr="00AF17C7">
        <w:rPr>
          <w:rFonts w:cs="Times New Roman"/>
          <w:sz w:val="22"/>
          <w:lang w:val="en-US"/>
        </w:rPr>
        <w:t xml:space="preserve">Q, quartile; T, </w:t>
      </w:r>
      <w:proofErr w:type="spellStart"/>
      <w:r w:rsidRPr="00AF17C7">
        <w:rPr>
          <w:rFonts w:cs="Times New Roman"/>
          <w:sz w:val="22"/>
          <w:lang w:val="en-US"/>
        </w:rPr>
        <w:t>tertiles</w:t>
      </w:r>
      <w:proofErr w:type="spellEnd"/>
      <w:r w:rsidRPr="00AF17C7">
        <w:rPr>
          <w:rFonts w:cs="Times New Roman"/>
          <w:sz w:val="22"/>
          <w:lang w:val="en-US"/>
        </w:rPr>
        <w:t xml:space="preserve"> (</w:t>
      </w:r>
      <w:proofErr w:type="spellStart"/>
      <w:r w:rsidRPr="00AF17C7">
        <w:rPr>
          <w:rFonts w:cs="Times New Roman"/>
          <w:sz w:val="22"/>
          <w:lang w:val="en-US"/>
        </w:rPr>
        <w:t>tertiles</w:t>
      </w:r>
      <w:proofErr w:type="spellEnd"/>
      <w:r w:rsidRPr="00AF17C7">
        <w:rPr>
          <w:rFonts w:cs="Times New Roman"/>
          <w:sz w:val="22"/>
          <w:lang w:val="en-US"/>
        </w:rPr>
        <w:t xml:space="preserve"> </w:t>
      </w:r>
      <w:r w:rsidRPr="00AF17C7">
        <w:rPr>
          <w:rFonts w:cs="Times New Roman"/>
          <w:sz w:val="22"/>
          <w:lang w:val="en-GB"/>
        </w:rPr>
        <w:t>of supplemental intake in users of the corresponding supplement)</w:t>
      </w:r>
    </w:p>
    <w:p w:rsidR="005F78DD" w:rsidRPr="00AF17C7" w:rsidRDefault="005F78DD" w:rsidP="005F78DD">
      <w:pPr>
        <w:rPr>
          <w:rFonts w:cs="Times New Roman"/>
          <w:sz w:val="22"/>
          <w:szCs w:val="24"/>
          <w:lang w:val="en-US"/>
        </w:rPr>
      </w:pPr>
      <w:r w:rsidRPr="00AF17C7">
        <w:rPr>
          <w:rFonts w:cs="Times New Roman"/>
          <w:szCs w:val="24"/>
          <w:vertAlign w:val="superscript"/>
          <w:lang w:val="en-US"/>
        </w:rPr>
        <w:t xml:space="preserve">a </w:t>
      </w:r>
      <w:r w:rsidRPr="00AF17C7">
        <w:rPr>
          <w:rFonts w:cs="Times New Roman"/>
          <w:sz w:val="22"/>
          <w:szCs w:val="24"/>
          <w:lang w:val="en-US"/>
        </w:rPr>
        <w:t>Models were adjusted for age (time-scale), sex, BMI (kg/m², continuous), height (cm, continuous), physical activity (high, moderate, low), smoking status (never smokers, former smokers, smokers), number of cigarette packs per year (continuous), numbers of dietary records (continuous), alcohol intake (g/d, continuous), energy intake (without alcohol, g/d, continuous), family history of cancer (yes/no) and educational level (&lt;high-school degree, &lt;2 years after high-school degree, ≥2 years after high-school degree).</w:t>
      </w:r>
    </w:p>
    <w:p w:rsidR="005F78DD" w:rsidRPr="00AF17C7" w:rsidRDefault="005F78DD" w:rsidP="005F78DD">
      <w:pPr>
        <w:rPr>
          <w:rFonts w:cs="Times New Roman"/>
          <w:szCs w:val="24"/>
          <w:lang w:val="en-US"/>
        </w:rPr>
      </w:pPr>
      <w:proofErr w:type="gramStart"/>
      <w:r w:rsidRPr="00AF17C7">
        <w:rPr>
          <w:rFonts w:cs="Times New Roman"/>
          <w:sz w:val="22"/>
          <w:szCs w:val="24"/>
          <w:vertAlign w:val="superscript"/>
          <w:lang w:val="en-US"/>
        </w:rPr>
        <w:t>b</w:t>
      </w:r>
      <w:proofErr w:type="gramEnd"/>
      <w:r w:rsidRPr="00AF17C7">
        <w:rPr>
          <w:rFonts w:cs="Times New Roman"/>
          <w:sz w:val="22"/>
          <w:szCs w:val="24"/>
          <w:vertAlign w:val="superscript"/>
          <w:lang w:val="en-US"/>
        </w:rPr>
        <w:t xml:space="preserve"> </w:t>
      </w:r>
      <w:r w:rsidRPr="00AF17C7">
        <w:rPr>
          <w:rFonts w:cs="Times New Roman"/>
          <w:sz w:val="22"/>
          <w:szCs w:val="24"/>
          <w:lang w:val="en-US"/>
        </w:rPr>
        <w:t xml:space="preserve">Increments for continuous variables were 1 mg/d for vitamin E, 10 mg/d for vitamin C, beta-carotene and 10 µg/d for selenium.  </w:t>
      </w:r>
    </w:p>
    <w:p w:rsidR="005F78DD" w:rsidRPr="00AF17C7" w:rsidRDefault="005F78DD" w:rsidP="005F78DD">
      <w:pPr>
        <w:jc w:val="both"/>
        <w:rPr>
          <w:rFonts w:cs="Times New Roman"/>
          <w:sz w:val="22"/>
          <w:lang w:val="en-GB"/>
        </w:rPr>
      </w:pPr>
      <w:r w:rsidRPr="00AF17C7">
        <w:rPr>
          <w:rFonts w:cs="Times New Roman"/>
          <w:sz w:val="22"/>
          <w:vertAlign w:val="superscript"/>
          <w:lang w:val="en-GB"/>
        </w:rPr>
        <w:t>c</w:t>
      </w:r>
      <w:r w:rsidRPr="00AF17C7">
        <w:rPr>
          <w:rFonts w:cs="Times New Roman"/>
          <w:sz w:val="22"/>
          <w:lang w:val="en-GB"/>
        </w:rPr>
        <w:t xml:space="preserve"> Cut-offs for sex-specific quartiles of dietary intakes were 72.8/104.9/143.6 mg/d for vitamin C, 8.4/10.6/13.5 mg/d for vitamin E, 2084.0/3126.5/4568.7 mg/d for beta carotene, and 52.2/64.2/78.6 µg/d for selenium for women, and 76.9/112.8/156.5 mg/d for vitamin C, 9.4/12.1/15.4 mg/d for vitamin E, 2079.0/3168.2/4677.7 mg/d for </w:t>
      </w:r>
      <w:proofErr w:type="gramStart"/>
      <w:r w:rsidRPr="00AF17C7">
        <w:rPr>
          <w:rFonts w:cs="Times New Roman"/>
          <w:sz w:val="22"/>
          <w:lang w:val="en-GB"/>
        </w:rPr>
        <w:lastRenderedPageBreak/>
        <w:t>beta</w:t>
      </w:r>
      <w:proofErr w:type="gramEnd"/>
      <w:r w:rsidRPr="00AF17C7">
        <w:rPr>
          <w:rFonts w:cs="Times New Roman"/>
          <w:sz w:val="22"/>
          <w:lang w:val="en-GB"/>
        </w:rPr>
        <w:t xml:space="preserve"> carotene, and 61.3/75.0/92.5 µg/d for selenium for men. Cut-offs for sex-specific </w:t>
      </w:r>
      <w:proofErr w:type="spellStart"/>
      <w:r w:rsidRPr="00AF17C7">
        <w:rPr>
          <w:rFonts w:cs="Times New Roman"/>
          <w:sz w:val="22"/>
          <w:lang w:val="en-GB"/>
        </w:rPr>
        <w:t>tertiles</w:t>
      </w:r>
      <w:proofErr w:type="spellEnd"/>
      <w:r w:rsidRPr="00AF17C7">
        <w:rPr>
          <w:rFonts w:cs="Times New Roman"/>
          <w:sz w:val="22"/>
          <w:lang w:val="en-GB"/>
        </w:rPr>
        <w:t xml:space="preserve"> of supplemental intakes in users of the corresponding supplement were 8.8/32.9 mg/d for vitamin C, 0.9/3.0 mg/d for vitamin E, 339.0/1052.1 mg/d for beta carotene, and 3.4/9.9 µg/d for selenium for women, and 9.9/41.1 mg/d for vitamin C, 0.8/3.3 mg/d for vitamin E, 328.8/1183.6 mg/d for beta carotene, and 2.9/12.3 µg/d for selenium for men. Cut-offs for sex-specific quartiles of total intakes were 75.7/109.1/151.1 mg/d for vitamin C, 8.5/10.9/14.0 mg/d for vitamin E, 2105.2/3154.9/4623.4 mg/d for beta carotene and 52.7/65.0/80.0 µg/d for selenium for women, and 78.9/115.5/162.0 mg/d for vitamin C, 9.5/12.3/15.8 mg/d for vitamin E, 2088.5/3184.7/4713.2 mg/d for beta carotene and 61.6/75.5/93.4 µg/d for selenium for men.</w:t>
      </w:r>
    </w:p>
    <w:bookmarkEnd w:id="0"/>
    <w:p w:rsidR="00D70E93" w:rsidRPr="00AF17C7" w:rsidRDefault="00D70E93" w:rsidP="005F78DD">
      <w:pPr>
        <w:ind w:left="-851"/>
        <w:rPr>
          <w:lang w:val="en-GB"/>
        </w:rPr>
      </w:pPr>
    </w:p>
    <w:sectPr w:rsidR="00D70E93" w:rsidRPr="00AF17C7" w:rsidSect="005F78DD">
      <w:pgSz w:w="16838" w:h="11906" w:orient="landscape"/>
      <w:pgMar w:top="1417" w:right="53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8DD"/>
    <w:rsid w:val="005F78DD"/>
    <w:rsid w:val="00AF17C7"/>
    <w:rsid w:val="00D7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8DD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Manon EGNELL</dc:creator>
  <cp:lastModifiedBy>Manon Egnell</cp:lastModifiedBy>
  <cp:revision>2</cp:revision>
  <dcterms:created xsi:type="dcterms:W3CDTF">2017-06-15T11:47:00Z</dcterms:created>
  <dcterms:modified xsi:type="dcterms:W3CDTF">2018-06-13T14:33:00Z</dcterms:modified>
</cp:coreProperties>
</file>