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B5" w:rsidRPr="00D41FB5" w:rsidRDefault="00345E6F" w:rsidP="00D41FB5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Supplemental t</w:t>
      </w:r>
      <w:r w:rsidR="00D41FB5" w:rsidRPr="00D41F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able</w:t>
      </w:r>
      <w:bookmarkStart w:id="0" w:name="_GoBack"/>
      <w:bookmarkEnd w:id="0"/>
      <w:r w:rsidR="00D41FB5" w:rsidRPr="00D41F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 w:rsidR="009319E0" w:rsidRPr="00762FF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Total SFA, MUFA and PUFA</w:t>
      </w:r>
      <w:r w:rsidR="00D41FB5" w:rsidRPr="00D41F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in leukocyte membranes at baseline and after 8 weeks*</w:t>
      </w:r>
      <w:r w:rsidR="007F7E9C" w:rsidRPr="00762FF9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</w:rPr>
        <w:t>$</w:t>
      </w:r>
    </w:p>
    <w:p w:rsidR="00D41FB5" w:rsidRPr="00D41FB5" w:rsidRDefault="00D41FB5" w:rsidP="00D41F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D41FB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(Medians and 25th–75th percentiles)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850"/>
        <w:gridCol w:w="1276"/>
        <w:gridCol w:w="992"/>
        <w:gridCol w:w="992"/>
      </w:tblGrid>
      <w:tr w:rsidR="00762FF9" w:rsidRPr="00762FF9" w:rsidTr="0098581B">
        <w:tc>
          <w:tcPr>
            <w:tcW w:w="1668" w:type="dxa"/>
            <w:tcBorders>
              <w:top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g/100g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fatty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acids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Baseline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8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D41FB5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P</w:t>
            </w:r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>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D41FB5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P</w:t>
            </w:r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>‡</w:t>
            </w: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033" w:rsidRPr="00D41FB5" w:rsidRDefault="00B14033" w:rsidP="00D41FB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>Median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25-75 </w:t>
            </w:r>
            <w:proofErr w:type="spellStart"/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>percentile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>Median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25-75 </w:t>
            </w:r>
            <w:proofErr w:type="spellStart"/>
            <w:r w:rsidRPr="00D41FB5">
              <w:rPr>
                <w:rFonts w:ascii="Times New Roman" w:hAnsi="Times New Roman"/>
                <w:color w:val="FF0000"/>
                <w:sz w:val="20"/>
                <w:szCs w:val="20"/>
              </w:rPr>
              <w:t>percentile</w:t>
            </w:r>
            <w:proofErr w:type="spell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SFA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Lean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fish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40.6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40.1, 42.3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40.4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39.8, 41.5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0.11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0.44</w:t>
            </w:r>
            <w:proofErr w:type="gramEnd"/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Fatty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fish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40.0, 40.6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39.9, 40.6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0.66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Control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40.0, 41.4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40.3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40.2, 40.6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0.59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MUFA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Lean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fish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30.3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28.1, 33.2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27.5, 32.0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0.29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0.10</w:t>
            </w:r>
            <w:proofErr w:type="gramEnd"/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Fatty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fish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30.6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29.7, 31.7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31.0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30.1, 31.9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0.48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Control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30.5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29.5, 31.7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30.1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29.4, 31.7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0.53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PUFA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Lean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fish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26.7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25.0, 28.4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28.0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26.3, 28.7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0.21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0.056</w:t>
            </w:r>
            <w:proofErr w:type="gramEnd"/>
          </w:p>
        </w:tc>
      </w:tr>
      <w:tr w:rsidR="00762FF9" w:rsidRPr="00762FF9" w:rsidTr="007F7E9C">
        <w:tc>
          <w:tcPr>
            <w:tcW w:w="1668" w:type="dxa"/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Fatty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fish</w:t>
            </w:r>
            <w:proofErr w:type="spellEnd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27.0</w:t>
            </w:r>
          </w:p>
        </w:tc>
        <w:tc>
          <w:tcPr>
            <w:tcW w:w="1418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25.9, 27.4</w:t>
            </w:r>
          </w:p>
        </w:tc>
        <w:tc>
          <w:tcPr>
            <w:tcW w:w="850" w:type="dxa"/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26.7</w:t>
            </w:r>
          </w:p>
        </w:tc>
        <w:tc>
          <w:tcPr>
            <w:tcW w:w="1276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25.8, 27.3</w:t>
            </w:r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0.37</w:t>
            </w:r>
            <w:proofErr w:type="gramEnd"/>
          </w:p>
        </w:tc>
        <w:tc>
          <w:tcPr>
            <w:tcW w:w="992" w:type="dxa"/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F9" w:rsidRPr="00762FF9" w:rsidTr="007F7E9C">
        <w:tc>
          <w:tcPr>
            <w:tcW w:w="1668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Control </w:t>
            </w:r>
            <w:proofErr w:type="spellStart"/>
            <w:r w:rsidRPr="00D41FB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25.8, 27.2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26.5, 27.9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62FF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0.25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4033" w:rsidRPr="00D41FB5" w:rsidRDefault="00B14033" w:rsidP="00D41FB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7E9C" w:rsidRPr="00762FF9" w:rsidRDefault="007F7E9C" w:rsidP="00D41FB5">
      <w:pPr>
        <w:rPr>
          <w:rFonts w:ascii="Times New Roman" w:hAnsi="Times New Roman"/>
          <w:color w:val="FF0000"/>
          <w:sz w:val="20"/>
          <w:szCs w:val="20"/>
        </w:rPr>
      </w:pPr>
    </w:p>
    <w:p w:rsidR="00D41FB5" w:rsidRPr="00762FF9" w:rsidRDefault="00D41FB5" w:rsidP="00D41FB5">
      <w:pPr>
        <w:rPr>
          <w:rFonts w:ascii="Times New Roman" w:hAnsi="Times New Roman"/>
          <w:color w:val="FF0000"/>
          <w:sz w:val="20"/>
          <w:szCs w:val="20"/>
        </w:rPr>
      </w:pPr>
      <w:r w:rsidRPr="00762FF9">
        <w:rPr>
          <w:rFonts w:ascii="Times New Roman" w:hAnsi="Times New Roman"/>
          <w:color w:val="FF0000"/>
          <w:sz w:val="20"/>
          <w:szCs w:val="20"/>
        </w:rPr>
        <w:t>* No differences were observed between the groups at baseline (</w:t>
      </w:r>
      <w:proofErr w:type="spellStart"/>
      <w:r w:rsidRPr="00762FF9">
        <w:rPr>
          <w:rFonts w:ascii="Times New Roman" w:hAnsi="Times New Roman"/>
          <w:color w:val="FF0000"/>
          <w:sz w:val="20"/>
          <w:szCs w:val="20"/>
        </w:rPr>
        <w:t>Kruskal</w:t>
      </w:r>
      <w:proofErr w:type="spellEnd"/>
      <w:r w:rsidRPr="00762FF9">
        <w:rPr>
          <w:rFonts w:ascii="Times New Roman" w:hAnsi="Times New Roman"/>
          <w:color w:val="FF0000"/>
          <w:sz w:val="20"/>
          <w:szCs w:val="20"/>
        </w:rPr>
        <w:t>–Wallis test). Results are presented for eleven participants in the lean fish group, eleven participants in the fatty fish group and eleven participants in the control group.</w:t>
      </w:r>
    </w:p>
    <w:p w:rsidR="007F7E9C" w:rsidRPr="00762FF9" w:rsidRDefault="007F7E9C" w:rsidP="00D41FB5">
      <w:pPr>
        <w:rPr>
          <w:rFonts w:ascii="Times New Roman" w:hAnsi="Times New Roman"/>
          <w:color w:val="FF0000"/>
          <w:sz w:val="16"/>
          <w:szCs w:val="20"/>
        </w:rPr>
      </w:pPr>
      <w:r w:rsidRPr="00762FF9">
        <w:rPr>
          <w:rFonts w:ascii="Times New Roman" w:eastAsia="Calibri" w:hAnsi="Times New Roman" w:cs="Times New Roman"/>
          <w:color w:val="FF0000"/>
          <w:sz w:val="20"/>
          <w:szCs w:val="24"/>
          <w:vertAlign w:val="superscript"/>
        </w:rPr>
        <w:t>$</w:t>
      </w:r>
      <w:r w:rsidRPr="00762FF9">
        <w:rPr>
          <w:rFonts w:ascii="Times New Roman" w:eastAsia="Calibri" w:hAnsi="Times New Roman" w:cs="Times New Roman"/>
          <w:color w:val="FF0000"/>
          <w:sz w:val="20"/>
          <w:szCs w:val="24"/>
        </w:rPr>
        <w:t xml:space="preserve"> Only fatty acids with group medians &gt; 0.05 g/100g fatty acids in at least one group is included in the calculation of total SFA, MUFA and PUFA</w:t>
      </w:r>
    </w:p>
    <w:p w:rsidR="00D41FB5" w:rsidRPr="00762FF9" w:rsidRDefault="00D41FB5" w:rsidP="00D41FB5">
      <w:pPr>
        <w:rPr>
          <w:rFonts w:ascii="Times New Roman" w:hAnsi="Times New Roman"/>
          <w:color w:val="FF0000"/>
          <w:sz w:val="20"/>
          <w:szCs w:val="20"/>
        </w:rPr>
      </w:pPr>
      <w:r w:rsidRPr="00762FF9">
        <w:rPr>
          <w:rFonts w:ascii="Times New Roman" w:hAnsi="Times New Roman"/>
          <w:color w:val="FF0000"/>
          <w:sz w:val="20"/>
          <w:szCs w:val="20"/>
        </w:rPr>
        <w:t>† Within-group changes are tested using Wilcoxon’s signed-rank test.</w:t>
      </w:r>
    </w:p>
    <w:p w:rsidR="00D41FB5" w:rsidRPr="00762FF9" w:rsidRDefault="00D41FB5" w:rsidP="00D41FB5">
      <w:pPr>
        <w:rPr>
          <w:rFonts w:ascii="Times New Roman" w:hAnsi="Times New Roman"/>
          <w:color w:val="FF0000"/>
          <w:sz w:val="20"/>
          <w:szCs w:val="20"/>
        </w:rPr>
      </w:pPr>
      <w:r w:rsidRPr="00762FF9">
        <w:rPr>
          <w:rFonts w:ascii="Times New Roman" w:hAnsi="Times New Roman"/>
          <w:color w:val="FF0000"/>
          <w:sz w:val="20"/>
          <w:szCs w:val="20"/>
        </w:rPr>
        <w:t xml:space="preserve">‡ Changes within lean fish, fatty fish and control groups are compared using the </w:t>
      </w:r>
      <w:proofErr w:type="spellStart"/>
      <w:r w:rsidRPr="00762FF9">
        <w:rPr>
          <w:rFonts w:ascii="Times New Roman" w:hAnsi="Times New Roman"/>
          <w:color w:val="FF0000"/>
          <w:sz w:val="20"/>
          <w:szCs w:val="20"/>
        </w:rPr>
        <w:t>Kruskal</w:t>
      </w:r>
      <w:proofErr w:type="spellEnd"/>
      <w:r w:rsidRPr="00762FF9">
        <w:rPr>
          <w:rFonts w:ascii="Times New Roman" w:hAnsi="Times New Roman"/>
          <w:color w:val="FF0000"/>
          <w:sz w:val="20"/>
          <w:szCs w:val="20"/>
        </w:rPr>
        <w:t>–Wallis test.</w:t>
      </w:r>
    </w:p>
    <w:sectPr w:rsidR="00D41FB5" w:rsidRPr="0076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E"/>
    <w:rsid w:val="00345E6F"/>
    <w:rsid w:val="0052704E"/>
    <w:rsid w:val="005859C4"/>
    <w:rsid w:val="00762FF9"/>
    <w:rsid w:val="007F7E9C"/>
    <w:rsid w:val="009319E0"/>
    <w:rsid w:val="009A58C3"/>
    <w:rsid w:val="00B14033"/>
    <w:rsid w:val="00D41FB5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41FB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D4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41FB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D4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8</cp:revision>
  <dcterms:created xsi:type="dcterms:W3CDTF">2017-01-21T11:07:00Z</dcterms:created>
  <dcterms:modified xsi:type="dcterms:W3CDTF">2017-01-21T11:28:00Z</dcterms:modified>
</cp:coreProperties>
</file>