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411"/>
        <w:gridCol w:w="946"/>
        <w:gridCol w:w="1141"/>
        <w:gridCol w:w="721"/>
        <w:gridCol w:w="1596"/>
        <w:gridCol w:w="742"/>
        <w:gridCol w:w="954"/>
        <w:gridCol w:w="954"/>
        <w:gridCol w:w="827"/>
        <w:gridCol w:w="1661"/>
        <w:gridCol w:w="1407"/>
        <w:gridCol w:w="816"/>
      </w:tblGrid>
      <w:tr w:rsidR="003E69C2" w:rsidRPr="003E69C2" w:rsidTr="003012C6">
        <w:trPr>
          <w:trHeight w:val="20"/>
        </w:trPr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Subgroup</w:t>
            </w:r>
          </w:p>
        </w:tc>
        <w:tc>
          <w:tcPr>
            <w:tcW w:w="9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Level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No. of Trials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B1C19" w:rsidRDefault="00E077F8" w:rsidP="00CB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Mean Difference [95% CI]</w:t>
            </w:r>
          </w:p>
          <w:p w:rsidR="00E077F8" w:rsidRPr="00E077F8" w:rsidRDefault="00E077F8" w:rsidP="00CB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in </w:t>
            </w:r>
            <w:r w:rsidR="00CB1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LDL-C (</w:t>
            </w:r>
            <w:proofErr w:type="spellStart"/>
            <w:r w:rsidR="00CB1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mmol</w:t>
            </w:r>
            <w:proofErr w:type="spellEnd"/>
            <w:r w:rsidR="00CB1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16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Residual I </w:t>
            </w: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-Value</w:t>
            </w:r>
          </w:p>
        </w:tc>
      </w:tr>
      <w:tr w:rsidR="003E69C2" w:rsidRPr="003E69C2" w:rsidTr="00A93358">
        <w:trPr>
          <w:trHeight w:val="20"/>
        </w:trPr>
        <w:tc>
          <w:tcPr>
            <w:tcW w:w="141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3012C6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05A392B" wp14:editId="305007E1">
                  <wp:simplePos x="0" y="0"/>
                  <wp:positionH relativeFrom="column">
                    <wp:posOffset>817880</wp:posOffset>
                  </wp:positionH>
                  <wp:positionV relativeFrom="paragraph">
                    <wp:posOffset>-15875</wp:posOffset>
                  </wp:positionV>
                  <wp:extent cx="2322195" cy="2596515"/>
                  <wp:effectExtent l="0" t="0" r="0" b="0"/>
                  <wp:wrapNone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77F8"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Within Subgroups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Between Subgroups</w:t>
            </w:r>
          </w:p>
        </w:tc>
        <w:tc>
          <w:tcPr>
            <w:tcW w:w="140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69C2" w:rsidRPr="003E69C2" w:rsidTr="00A93358">
        <w:trPr>
          <w:trHeight w:val="2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69C2" w:rsidRPr="003E69C2" w:rsidTr="00A93358">
        <w:trPr>
          <w:trHeight w:val="2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3E69C2" w:rsidRPr="003E69C2" w:rsidRDefault="00A93358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3E69C2" w:rsidRPr="003E69C2" w:rsidRDefault="00FC2E6B" w:rsidP="00C162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3745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3E69C2" w:rsidRPr="003E69C2" w:rsidRDefault="00A93358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33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-0.19 [-0.23, -0.14]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69C2" w:rsidRPr="003E69C2" w:rsidTr="00A93358">
        <w:trPr>
          <w:trHeight w:val="2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3E69C2" w:rsidRPr="003E69C2" w:rsidRDefault="003E69C2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3E69C2" w:rsidRPr="003E69C2" w:rsidRDefault="003E69C2" w:rsidP="003E6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3E69C2" w:rsidRPr="003E69C2" w:rsidRDefault="003E69C2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69C2" w:rsidRPr="003E69C2" w:rsidTr="00FC2E6B">
        <w:trPr>
          <w:trHeight w:val="2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Dose 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3E69C2" w:rsidRPr="003E69C2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6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 3.0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3E69C2" w:rsidRPr="003E69C2" w:rsidRDefault="00A93358" w:rsidP="00FC2E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C2E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3E69C2" w:rsidRPr="003E69C2" w:rsidRDefault="004A3836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3E69C2" w:rsidRPr="003E69C2" w:rsidRDefault="00FC2E6B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-0.12 [-0.20, -0.05]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vMerge w:val="restart"/>
            <w:shd w:val="clear" w:color="auto" w:fill="auto"/>
            <w:noWrap/>
            <w:vAlign w:val="center"/>
            <w:hideMark/>
          </w:tcPr>
          <w:p w:rsidR="003E69C2" w:rsidRPr="003E69C2" w:rsidRDefault="00A93358" w:rsidP="00FC2E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33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FC2E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 [-0.18, 0.00]</w:t>
            </w:r>
          </w:p>
        </w:tc>
        <w:tc>
          <w:tcPr>
            <w:tcW w:w="1407" w:type="dxa"/>
            <w:vMerge w:val="restart"/>
            <w:shd w:val="clear" w:color="auto" w:fill="auto"/>
            <w:noWrap/>
            <w:vAlign w:val="center"/>
          </w:tcPr>
          <w:p w:rsidR="003E69C2" w:rsidRPr="003E69C2" w:rsidRDefault="00FC2E6B" w:rsidP="003E6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70.71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vAlign w:val="center"/>
          </w:tcPr>
          <w:p w:rsidR="003E69C2" w:rsidRPr="003E69C2" w:rsidRDefault="00FC2E6B" w:rsidP="003E6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0.051</w:t>
            </w:r>
          </w:p>
        </w:tc>
      </w:tr>
      <w:tr w:rsidR="003E69C2" w:rsidRPr="003E69C2" w:rsidTr="00FC2E6B">
        <w:trPr>
          <w:trHeight w:val="2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(g/d</w:t>
            </w:r>
            <w:r w:rsidR="005264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</w:t>
            </w: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3E69C2" w:rsidRPr="003E69C2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6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 3.0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3E69C2" w:rsidRPr="003E69C2" w:rsidRDefault="00FC2E6B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3E69C2" w:rsidRPr="003E69C2" w:rsidRDefault="004A3836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2698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3E69C2" w:rsidRPr="003E69C2" w:rsidRDefault="00FC2E6B" w:rsidP="00C162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-0.21 [-0.26, -0.17]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69C2" w:rsidRPr="003E69C2" w:rsidTr="00FC2E6B">
        <w:trPr>
          <w:trHeight w:val="2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3E69C2" w:rsidRPr="003E69C2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3E69C2" w:rsidRPr="003E69C2" w:rsidRDefault="003E69C2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3E69C2" w:rsidRPr="003E69C2" w:rsidRDefault="003E69C2" w:rsidP="003E6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3E69C2" w:rsidRPr="003E69C2" w:rsidRDefault="003E69C2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3E69C2" w:rsidRPr="003E69C2" w:rsidRDefault="003E69C2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E69C2" w:rsidRPr="003E69C2" w:rsidRDefault="003E69C2" w:rsidP="003E6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3E69C2" w:rsidRPr="003E69C2" w:rsidRDefault="003E69C2" w:rsidP="003E6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69C2" w:rsidRPr="003E69C2" w:rsidTr="00FC2E6B">
        <w:trPr>
          <w:trHeight w:val="2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3E69C2" w:rsidRPr="003E69C2" w:rsidRDefault="00A9335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 6</w:t>
            </w:r>
            <w:r w:rsidR="003E69C2" w:rsidRPr="003E6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3E69C2" w:rsidRPr="003E69C2" w:rsidRDefault="004A3836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3E69C2" w:rsidRPr="003E69C2" w:rsidRDefault="004A3836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1616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3E69C2" w:rsidRPr="003E69C2" w:rsidRDefault="00FC2E6B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-0.24 [-0.29, -0.18]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vMerge w:val="restart"/>
            <w:shd w:val="clear" w:color="auto" w:fill="auto"/>
            <w:noWrap/>
            <w:vAlign w:val="center"/>
          </w:tcPr>
          <w:p w:rsidR="003E69C2" w:rsidRPr="003E69C2" w:rsidRDefault="00FC2E6B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 [0.02, 0.17]</w:t>
            </w:r>
          </w:p>
        </w:tc>
        <w:tc>
          <w:tcPr>
            <w:tcW w:w="1407" w:type="dxa"/>
            <w:vMerge w:val="restart"/>
            <w:shd w:val="clear" w:color="auto" w:fill="auto"/>
            <w:noWrap/>
            <w:vAlign w:val="center"/>
          </w:tcPr>
          <w:p w:rsidR="003E69C2" w:rsidRPr="003E69C2" w:rsidRDefault="00FC2E6B" w:rsidP="003E6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62.45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vAlign w:val="center"/>
          </w:tcPr>
          <w:p w:rsidR="003E69C2" w:rsidRPr="003E69C2" w:rsidRDefault="00FC2E6B" w:rsidP="003E6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0.018</w:t>
            </w:r>
          </w:p>
        </w:tc>
      </w:tr>
      <w:tr w:rsidR="003E69C2" w:rsidRPr="003E69C2" w:rsidTr="00FC2E6B">
        <w:trPr>
          <w:trHeight w:val="2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(weeks)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3E69C2" w:rsidRPr="003E69C2" w:rsidRDefault="00A9335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 6</w:t>
            </w: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3E69C2" w:rsidRPr="003E69C2" w:rsidRDefault="004A3836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3E69C2" w:rsidRPr="003E69C2" w:rsidRDefault="004A3836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2129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3E69C2" w:rsidRPr="003E69C2" w:rsidRDefault="00FC2E6B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-0.15 [-0.20, -0.09]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vMerge/>
            <w:vAlign w:val="center"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69C2" w:rsidRPr="003E69C2" w:rsidTr="00FC2E6B">
        <w:trPr>
          <w:trHeight w:val="2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3E69C2" w:rsidRPr="003E69C2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3E69C2" w:rsidRPr="003E69C2" w:rsidRDefault="003E69C2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3E69C2" w:rsidRPr="003E69C2" w:rsidRDefault="003E69C2" w:rsidP="003E6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3E69C2" w:rsidRPr="003E69C2" w:rsidRDefault="003E69C2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3E69C2" w:rsidRPr="003E69C2" w:rsidRDefault="003E69C2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E69C2" w:rsidRPr="003E69C2" w:rsidRDefault="003E69C2" w:rsidP="003E6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3E69C2" w:rsidRPr="003E69C2" w:rsidRDefault="003E69C2" w:rsidP="003E6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69C2" w:rsidRPr="003E69C2" w:rsidTr="00FC2E6B">
        <w:trPr>
          <w:trHeight w:val="2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Study Design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3E69C2" w:rsidRPr="003E69C2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6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Crossover</w:t>
            </w: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3E69C2" w:rsidRPr="003E69C2" w:rsidRDefault="004A3836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3E69C2" w:rsidRPr="003E69C2" w:rsidRDefault="004A3836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3E69C2" w:rsidRPr="003E69C2" w:rsidRDefault="00FC2E6B" w:rsidP="00FC2E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-0.25 [-0.31, -0.18]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vMerge w:val="restart"/>
            <w:shd w:val="clear" w:color="auto" w:fill="auto"/>
            <w:noWrap/>
            <w:vAlign w:val="center"/>
          </w:tcPr>
          <w:p w:rsidR="003E69C2" w:rsidRPr="003E69C2" w:rsidRDefault="00FC2E6B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 [0.01, 0.17]</w:t>
            </w:r>
          </w:p>
        </w:tc>
        <w:tc>
          <w:tcPr>
            <w:tcW w:w="1407" w:type="dxa"/>
            <w:vMerge w:val="restart"/>
            <w:shd w:val="clear" w:color="auto" w:fill="auto"/>
            <w:noWrap/>
            <w:vAlign w:val="center"/>
          </w:tcPr>
          <w:p w:rsidR="003E69C2" w:rsidRPr="003E69C2" w:rsidRDefault="00FC2E6B" w:rsidP="003E6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63.93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vAlign w:val="center"/>
          </w:tcPr>
          <w:p w:rsidR="003E69C2" w:rsidRPr="003E69C2" w:rsidRDefault="00FC2E6B" w:rsidP="003E6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0.030</w:t>
            </w:r>
          </w:p>
        </w:tc>
      </w:tr>
      <w:tr w:rsidR="003E69C2" w:rsidRPr="003E69C2" w:rsidTr="00FC2E6B">
        <w:trPr>
          <w:trHeight w:val="2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3E69C2" w:rsidRPr="003E69C2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6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Parallel</w:t>
            </w: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3E69C2" w:rsidRPr="003E69C2" w:rsidRDefault="004A3836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3E69C2" w:rsidRPr="003E69C2" w:rsidRDefault="004A3836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3249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3E69C2" w:rsidRPr="003E69C2" w:rsidRDefault="00FC2E6B" w:rsidP="00C162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-0.16 [-0.20, -0.11]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vMerge/>
            <w:vAlign w:val="center"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69C2" w:rsidRPr="003E69C2" w:rsidTr="00FC2E6B">
        <w:trPr>
          <w:trHeight w:val="2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3E69C2" w:rsidRPr="003E69C2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3E69C2" w:rsidRPr="003E69C2" w:rsidRDefault="003E69C2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3E69C2" w:rsidRPr="003E69C2" w:rsidRDefault="003E69C2" w:rsidP="003E6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3E69C2" w:rsidRPr="003E69C2" w:rsidRDefault="003E69C2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3E69C2" w:rsidRPr="003E69C2" w:rsidRDefault="003E69C2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E69C2" w:rsidRPr="003E69C2" w:rsidRDefault="003E69C2" w:rsidP="003E6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3E69C2" w:rsidRPr="003E69C2" w:rsidRDefault="003E69C2" w:rsidP="003E6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69C2" w:rsidRPr="003E69C2" w:rsidTr="00FC2E6B">
        <w:trPr>
          <w:trHeight w:val="2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MQS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3E69C2" w:rsidRPr="003E69C2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6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 8</w:t>
            </w: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3E69C2" w:rsidRPr="003E69C2" w:rsidRDefault="004A3836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3E69C2" w:rsidRPr="003E69C2" w:rsidRDefault="004A3836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2917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3E69C2" w:rsidRPr="003E69C2" w:rsidRDefault="00FC2E6B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-0.18 [-0.22, -0.13]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vMerge w:val="restart"/>
            <w:shd w:val="clear" w:color="auto" w:fill="auto"/>
            <w:noWrap/>
            <w:vAlign w:val="center"/>
          </w:tcPr>
          <w:p w:rsidR="003E69C2" w:rsidRPr="003E69C2" w:rsidRDefault="00FC2E6B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-0.05 [-0.15, 0.05]</w:t>
            </w:r>
          </w:p>
        </w:tc>
        <w:tc>
          <w:tcPr>
            <w:tcW w:w="1407" w:type="dxa"/>
            <w:vMerge w:val="restart"/>
            <w:shd w:val="clear" w:color="auto" w:fill="auto"/>
            <w:noWrap/>
            <w:vAlign w:val="center"/>
          </w:tcPr>
          <w:p w:rsidR="003E69C2" w:rsidRPr="003E69C2" w:rsidRDefault="00FC2E6B" w:rsidP="003E6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66.29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vAlign w:val="center"/>
          </w:tcPr>
          <w:p w:rsidR="003E69C2" w:rsidRPr="003E69C2" w:rsidRDefault="00FC2E6B" w:rsidP="003E6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0.311</w:t>
            </w:r>
          </w:p>
        </w:tc>
      </w:tr>
      <w:tr w:rsidR="003E69C2" w:rsidRPr="003E69C2" w:rsidTr="00FC2E6B">
        <w:trPr>
          <w:trHeight w:val="2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3E69C2" w:rsidRPr="003E69C2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6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 8</w:t>
            </w: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3E69C2" w:rsidRPr="003E69C2" w:rsidRDefault="004A3836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3E69C2" w:rsidRPr="003E69C2" w:rsidRDefault="004A3836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3E69C2" w:rsidRPr="003E69C2" w:rsidRDefault="00FC2E6B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-0.23 [-0.32, -0.14]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vMerge/>
            <w:vAlign w:val="center"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  <w:vAlign w:val="center"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69C2" w:rsidRPr="003E69C2" w:rsidTr="00FC2E6B">
        <w:trPr>
          <w:trHeight w:val="2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3E69C2" w:rsidRPr="003E69C2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3E69C2" w:rsidRPr="003E69C2" w:rsidRDefault="003E69C2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3E69C2" w:rsidRPr="003E69C2" w:rsidRDefault="003E69C2" w:rsidP="003E6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3E69C2" w:rsidRPr="003E69C2" w:rsidRDefault="003E69C2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3E69C2" w:rsidRPr="003E69C2" w:rsidRDefault="003E69C2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</w:tcPr>
          <w:p w:rsidR="003E69C2" w:rsidRPr="003E69C2" w:rsidRDefault="003E69C2" w:rsidP="003E6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3E69C2" w:rsidRPr="003E69C2" w:rsidRDefault="003E69C2" w:rsidP="003E6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69C2" w:rsidRPr="003E69C2" w:rsidTr="00FC2E6B">
        <w:trPr>
          <w:trHeight w:val="2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3E69C2" w:rsidRPr="003E69C2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6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Baseline LDL-C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3E69C2" w:rsidRPr="003E69C2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6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 3.5</w:t>
            </w: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3E69C2" w:rsidRPr="003E69C2" w:rsidRDefault="004A3836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3E69C2" w:rsidRPr="003E69C2" w:rsidRDefault="00D31530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3E69C2" w:rsidRPr="003E69C2" w:rsidRDefault="004A3836" w:rsidP="00192B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-0.18 [-0.26, -0.10]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vMerge w:val="restart"/>
            <w:shd w:val="clear" w:color="auto" w:fill="auto"/>
            <w:noWrap/>
            <w:vAlign w:val="center"/>
          </w:tcPr>
          <w:p w:rsidR="003E69C2" w:rsidRPr="003E69C2" w:rsidRDefault="004A3836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-0.02 [-0.11, 0.08]</w:t>
            </w:r>
          </w:p>
        </w:tc>
        <w:tc>
          <w:tcPr>
            <w:tcW w:w="1407" w:type="dxa"/>
            <w:vMerge w:val="restart"/>
            <w:shd w:val="clear" w:color="auto" w:fill="auto"/>
            <w:noWrap/>
            <w:vAlign w:val="center"/>
          </w:tcPr>
          <w:p w:rsidR="003E69C2" w:rsidRPr="003E69C2" w:rsidRDefault="00FC2E6B" w:rsidP="003E6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70.46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vAlign w:val="center"/>
          </w:tcPr>
          <w:p w:rsidR="003E69C2" w:rsidRPr="003E69C2" w:rsidRDefault="00FC2E6B" w:rsidP="00192B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0.703</w:t>
            </w:r>
          </w:p>
        </w:tc>
      </w:tr>
      <w:tr w:rsidR="003E69C2" w:rsidRPr="003E69C2" w:rsidTr="00FC2E6B">
        <w:trPr>
          <w:trHeight w:val="20"/>
        </w:trPr>
        <w:tc>
          <w:tcPr>
            <w:tcW w:w="141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69C2" w:rsidRPr="003E69C2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6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3E6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mmol</w:t>
            </w:r>
            <w:proofErr w:type="spellEnd"/>
            <w:r w:rsidRPr="003E6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/L)</w:t>
            </w:r>
          </w:p>
        </w:tc>
        <w:tc>
          <w:tcPr>
            <w:tcW w:w="94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E69C2" w:rsidRPr="003E69C2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6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 3.5</w:t>
            </w:r>
          </w:p>
        </w:tc>
        <w:tc>
          <w:tcPr>
            <w:tcW w:w="114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E69C2" w:rsidRPr="003E69C2" w:rsidRDefault="004A3836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E69C2" w:rsidRPr="003E69C2" w:rsidRDefault="00D31530" w:rsidP="003E69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1703</w:t>
            </w:r>
          </w:p>
        </w:tc>
        <w:tc>
          <w:tcPr>
            <w:tcW w:w="159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69C2" w:rsidRPr="003E69C2" w:rsidRDefault="004A3836" w:rsidP="00192B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-0.20 [-0.25, -0.15]</w:t>
            </w:r>
          </w:p>
        </w:tc>
        <w:tc>
          <w:tcPr>
            <w:tcW w:w="74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1" w:type="dxa"/>
            <w:vMerge/>
            <w:tcBorders>
              <w:bottom w:val="single" w:sz="12" w:space="0" w:color="auto"/>
            </w:tcBorders>
            <w:vAlign w:val="bottom"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bottom w:val="single" w:sz="12" w:space="0" w:color="auto"/>
            </w:tcBorders>
            <w:vAlign w:val="bottom"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bottom w:val="single" w:sz="12" w:space="0" w:color="auto"/>
            </w:tcBorders>
            <w:vAlign w:val="bottom"/>
          </w:tcPr>
          <w:p w:rsidR="003E69C2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69C2" w:rsidRPr="003E69C2" w:rsidTr="00A93358">
        <w:trPr>
          <w:trHeight w:val="20"/>
        </w:trPr>
        <w:tc>
          <w:tcPr>
            <w:tcW w:w="141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3E69C2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4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69C2" w:rsidRPr="003E69C2" w:rsidTr="00A93358">
        <w:trPr>
          <w:trHeight w:val="2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shd w:val="clear" w:color="auto" w:fill="auto"/>
            <w:noWrap/>
            <w:vAlign w:val="bottom"/>
            <w:hideMark/>
          </w:tcPr>
          <w:p w:rsidR="00E077F8" w:rsidRPr="00E077F8" w:rsidRDefault="00A93358" w:rsidP="003E6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Favours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Oats</w:t>
            </w:r>
          </w:p>
        </w:tc>
        <w:tc>
          <w:tcPr>
            <w:tcW w:w="1781" w:type="dxa"/>
            <w:gridSpan w:val="2"/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Favours</w:t>
            </w:r>
            <w:proofErr w:type="spellEnd"/>
            <w:r w:rsidRPr="00E077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Control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077F8" w:rsidRPr="00E077F8" w:rsidRDefault="00E077F8" w:rsidP="003E6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B30F4" w:rsidRDefault="004B30F4" w:rsidP="00E077F8">
      <w:pPr>
        <w:tabs>
          <w:tab w:val="left" w:pos="900"/>
        </w:tabs>
      </w:pPr>
    </w:p>
    <w:p w:rsidR="001128E9" w:rsidRPr="00806119" w:rsidRDefault="0052640C" w:rsidP="001128E9">
      <w:pPr>
        <w:pStyle w:val="Caption"/>
        <w:spacing w:line="276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Figure</w:t>
      </w:r>
      <w:r w:rsidR="001128E9" w:rsidRPr="00806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217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128E9" w:rsidRPr="00806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Categorical </w:t>
      </w:r>
      <w:r w:rsidR="001128E9" w:rsidRPr="008061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priori</w:t>
      </w:r>
      <w:r w:rsidR="001128E9" w:rsidRPr="00806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subgroup analyses for LDL-C</w:t>
      </w:r>
      <w:r w:rsidR="001128E9" w:rsidRPr="0080611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128E9" w:rsidRPr="00806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Point estimates for each subgroup level (diamonds) are the pooled effect estimates. The residuals I</w:t>
      </w:r>
      <w:r w:rsidR="001128E9" w:rsidRPr="00806119">
        <w:rPr>
          <w:rFonts w:ascii="Times New Roman" w:hAnsi="Times New Roman" w:cs="Times New Roman"/>
          <w:b w:val="0"/>
          <w:color w:val="000000"/>
          <w:sz w:val="24"/>
          <w:szCs w:val="24"/>
          <w:vertAlign w:val="superscript"/>
        </w:rPr>
        <w:t>2</w:t>
      </w:r>
      <w:r w:rsidR="001128E9" w:rsidRPr="00806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value indicates heterogeneity unexplained by the subgroup. Between subgroup differences represent differences between </w:t>
      </w:r>
      <w:r w:rsidR="00A93358">
        <w:rPr>
          <w:rFonts w:ascii="Times New Roman" w:hAnsi="Times New Roman" w:cs="Times New Roman"/>
          <w:b w:val="0"/>
          <w:color w:val="000000"/>
          <w:sz w:val="24"/>
          <w:szCs w:val="24"/>
        </w:rPr>
        <w:t>oat</w:t>
      </w:r>
      <w:r w:rsidR="001128E9" w:rsidRPr="00806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β-</w:t>
      </w:r>
      <w:bookmarkStart w:id="0" w:name="_GoBack"/>
      <w:bookmarkEnd w:id="0"/>
      <w:r w:rsidR="001128E9" w:rsidRPr="00806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Glucan and control group. Within subgroup differences represent the difference between end and baseline values. MQS = </w:t>
      </w:r>
      <w:proofErr w:type="spellStart"/>
      <w:r w:rsidR="001128E9" w:rsidRPr="00806119">
        <w:rPr>
          <w:rFonts w:ascii="Times New Roman" w:hAnsi="Times New Roman" w:cs="Times New Roman"/>
          <w:b w:val="0"/>
          <w:color w:val="000000"/>
          <w:sz w:val="24"/>
          <w:szCs w:val="24"/>
        </w:rPr>
        <w:t>Heyland</w:t>
      </w:r>
      <w:proofErr w:type="spellEnd"/>
      <w:r w:rsidR="001128E9" w:rsidRPr="0080611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Methodological Quality Score</w:t>
      </w:r>
      <w:r w:rsidR="001128E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; </w:t>
      </w:r>
      <w:r w:rsidR="001128E9" w:rsidRPr="00806119">
        <w:rPr>
          <w:rFonts w:ascii="Times New Roman" w:hAnsi="Times New Roman" w:cs="Times New Roman"/>
          <w:b w:val="0"/>
          <w:color w:val="000000"/>
          <w:sz w:val="24"/>
          <w:szCs w:val="24"/>
        </w:rPr>
        <w:t>N = number of parti</w:t>
      </w:r>
      <w:r w:rsidR="001128E9">
        <w:rPr>
          <w:rFonts w:ascii="Times New Roman" w:hAnsi="Times New Roman" w:cs="Times New Roman"/>
          <w:b w:val="0"/>
          <w:color w:val="000000"/>
          <w:sz w:val="24"/>
          <w:szCs w:val="24"/>
        </w:rPr>
        <w:t>cipants in each treatment group</w:t>
      </w:r>
      <w:r w:rsidR="001128E9" w:rsidRPr="00806119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1128E9" w:rsidRDefault="001128E9" w:rsidP="00E077F8">
      <w:pPr>
        <w:tabs>
          <w:tab w:val="left" w:pos="900"/>
        </w:tabs>
      </w:pPr>
    </w:p>
    <w:sectPr w:rsidR="001128E9" w:rsidSect="00E077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F8"/>
    <w:rsid w:val="0009619E"/>
    <w:rsid w:val="001128E9"/>
    <w:rsid w:val="00192B0F"/>
    <w:rsid w:val="003012C6"/>
    <w:rsid w:val="00342177"/>
    <w:rsid w:val="003E69C2"/>
    <w:rsid w:val="004952B7"/>
    <w:rsid w:val="004A3836"/>
    <w:rsid w:val="004B30F4"/>
    <w:rsid w:val="0052640C"/>
    <w:rsid w:val="006D5648"/>
    <w:rsid w:val="00A877B3"/>
    <w:rsid w:val="00A93358"/>
    <w:rsid w:val="00C162FA"/>
    <w:rsid w:val="00CB1C19"/>
    <w:rsid w:val="00D31530"/>
    <w:rsid w:val="00E077F8"/>
    <w:rsid w:val="00FC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C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128E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C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128E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1\home\HoHo\Studies\Metas%20for%20MSc\OAT\For%20Thesis\Tables%20for%20Manuscript\Subgroup%20-%20Categorical%20Variables\OATS_LDL-C_Categorical%20Table_Aug2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702777777777803E-2"/>
          <c:y val="0"/>
          <c:w val="0.87802722222222196"/>
          <c:h val="0.95214777777777804"/>
        </c:manualLayout>
      </c:layout>
      <c:scatterChart>
        <c:scatterStyle val="lineMarker"/>
        <c:varyColors val="0"/>
        <c:ser>
          <c:idx val="0"/>
          <c:order val="0"/>
          <c:spPr>
            <a:ln w="6350"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LDL!$B$1:$B$48</c:f>
              <c:numCache>
                <c:formatCode>0.00</c:formatCode>
                <c:ptCount val="48"/>
                <c:pt idx="0">
                  <c:v>-0.19</c:v>
                </c:pt>
                <c:pt idx="1">
                  <c:v>-0.23</c:v>
                </c:pt>
                <c:pt idx="2">
                  <c:v>-0.14000000000000001</c:v>
                </c:pt>
                <c:pt idx="6">
                  <c:v>-0.12</c:v>
                </c:pt>
                <c:pt idx="7">
                  <c:v>-0.2</c:v>
                </c:pt>
                <c:pt idx="8">
                  <c:v>-0.05</c:v>
                </c:pt>
                <c:pt idx="9">
                  <c:v>-0.21</c:v>
                </c:pt>
                <c:pt idx="10">
                  <c:v>-0.26</c:v>
                </c:pt>
                <c:pt idx="11">
                  <c:v>-0.17</c:v>
                </c:pt>
                <c:pt idx="15">
                  <c:v>-0.24</c:v>
                </c:pt>
                <c:pt idx="16">
                  <c:v>-0.28999999999999998</c:v>
                </c:pt>
                <c:pt idx="17">
                  <c:v>-0.18</c:v>
                </c:pt>
                <c:pt idx="18">
                  <c:v>-0.15</c:v>
                </c:pt>
                <c:pt idx="19">
                  <c:v>-0.2</c:v>
                </c:pt>
                <c:pt idx="20">
                  <c:v>-0.09</c:v>
                </c:pt>
                <c:pt idx="24">
                  <c:v>-0.25</c:v>
                </c:pt>
                <c:pt idx="25">
                  <c:v>-0.31</c:v>
                </c:pt>
                <c:pt idx="26">
                  <c:v>-0.18</c:v>
                </c:pt>
                <c:pt idx="27">
                  <c:v>-0.16</c:v>
                </c:pt>
                <c:pt idx="28">
                  <c:v>-0.2</c:v>
                </c:pt>
                <c:pt idx="29">
                  <c:v>-0.11</c:v>
                </c:pt>
                <c:pt idx="33">
                  <c:v>-0.18</c:v>
                </c:pt>
                <c:pt idx="34">
                  <c:v>-0.22</c:v>
                </c:pt>
                <c:pt idx="35">
                  <c:v>-0.13</c:v>
                </c:pt>
                <c:pt idx="36">
                  <c:v>-0.23</c:v>
                </c:pt>
                <c:pt idx="37">
                  <c:v>-0.32</c:v>
                </c:pt>
                <c:pt idx="38">
                  <c:v>-0.14000000000000001</c:v>
                </c:pt>
                <c:pt idx="42">
                  <c:v>-0.18</c:v>
                </c:pt>
                <c:pt idx="43">
                  <c:v>-0.26</c:v>
                </c:pt>
                <c:pt idx="44">
                  <c:v>-0.1</c:v>
                </c:pt>
                <c:pt idx="45">
                  <c:v>-0.2</c:v>
                </c:pt>
                <c:pt idx="46">
                  <c:v>-0.25</c:v>
                </c:pt>
                <c:pt idx="47">
                  <c:v>-0.15</c:v>
                </c:pt>
              </c:numCache>
            </c:numRef>
          </c:xVal>
          <c:yVal>
            <c:numRef>
              <c:f>LDL!$C$1:$C$48</c:f>
              <c:numCache>
                <c:formatCode>General</c:formatCode>
                <c:ptCount val="48"/>
                <c:pt idx="1">
                  <c:v>41</c:v>
                </c:pt>
                <c:pt idx="2">
                  <c:v>41</c:v>
                </c:pt>
                <c:pt idx="4">
                  <c:v>36</c:v>
                </c:pt>
                <c:pt idx="5">
                  <c:v>36</c:v>
                </c:pt>
                <c:pt idx="7">
                  <c:v>35</c:v>
                </c:pt>
                <c:pt idx="8">
                  <c:v>35</c:v>
                </c:pt>
                <c:pt idx="10">
                  <c:v>33</c:v>
                </c:pt>
                <c:pt idx="11">
                  <c:v>33</c:v>
                </c:pt>
                <c:pt idx="13">
                  <c:v>33</c:v>
                </c:pt>
                <c:pt idx="14">
                  <c:v>33</c:v>
                </c:pt>
                <c:pt idx="16">
                  <c:v>27</c:v>
                </c:pt>
                <c:pt idx="17">
                  <c:v>27</c:v>
                </c:pt>
                <c:pt idx="19">
                  <c:v>25</c:v>
                </c:pt>
                <c:pt idx="20">
                  <c:v>25</c:v>
                </c:pt>
                <c:pt idx="22">
                  <c:v>12</c:v>
                </c:pt>
                <c:pt idx="23">
                  <c:v>12</c:v>
                </c:pt>
                <c:pt idx="25">
                  <c:v>19</c:v>
                </c:pt>
                <c:pt idx="26">
                  <c:v>19</c:v>
                </c:pt>
                <c:pt idx="28">
                  <c:v>17</c:v>
                </c:pt>
                <c:pt idx="29">
                  <c:v>17</c:v>
                </c:pt>
                <c:pt idx="31">
                  <c:v>9</c:v>
                </c:pt>
                <c:pt idx="32">
                  <c:v>9</c:v>
                </c:pt>
                <c:pt idx="34">
                  <c:v>11</c:v>
                </c:pt>
                <c:pt idx="35">
                  <c:v>11</c:v>
                </c:pt>
                <c:pt idx="37">
                  <c:v>9</c:v>
                </c:pt>
                <c:pt idx="38">
                  <c:v>9</c:v>
                </c:pt>
                <c:pt idx="40">
                  <c:v>6</c:v>
                </c:pt>
                <c:pt idx="41">
                  <c:v>6</c:v>
                </c:pt>
                <c:pt idx="43">
                  <c:v>3</c:v>
                </c:pt>
                <c:pt idx="44">
                  <c:v>3</c:v>
                </c:pt>
                <c:pt idx="46">
                  <c:v>1</c:v>
                </c:pt>
                <c:pt idx="47">
                  <c:v>1</c:v>
                </c:pt>
              </c:numCache>
            </c:numRef>
          </c:yVal>
          <c:smooth val="0"/>
        </c:ser>
        <c:ser>
          <c:idx val="1"/>
          <c:order val="1"/>
          <c:spPr>
            <a:ln>
              <a:solidFill>
                <a:schemeClr val="tx1"/>
              </a:solidFill>
            </a:ln>
          </c:spPr>
          <c:marker>
            <c:symbol val="diamond"/>
            <c:size val="7"/>
            <c:spPr>
              <a:solidFill>
                <a:schemeClr val="tx1"/>
              </a:solidFill>
              <a:ln w="6350">
                <a:solidFill>
                  <a:schemeClr val="tx1"/>
                </a:solidFill>
              </a:ln>
            </c:spPr>
          </c:marker>
          <c:xVal>
            <c:numRef>
              <c:f>LDL!$B$1:$B$48</c:f>
              <c:numCache>
                <c:formatCode>0.00</c:formatCode>
                <c:ptCount val="48"/>
                <c:pt idx="0">
                  <c:v>-0.19</c:v>
                </c:pt>
                <c:pt idx="1">
                  <c:v>-0.23</c:v>
                </c:pt>
                <c:pt idx="2">
                  <c:v>-0.14000000000000001</c:v>
                </c:pt>
                <c:pt idx="6">
                  <c:v>-0.12</c:v>
                </c:pt>
                <c:pt idx="7">
                  <c:v>-0.2</c:v>
                </c:pt>
                <c:pt idx="8">
                  <c:v>-0.05</c:v>
                </c:pt>
                <c:pt idx="9">
                  <c:v>-0.21</c:v>
                </c:pt>
                <c:pt idx="10">
                  <c:v>-0.26</c:v>
                </c:pt>
                <c:pt idx="11">
                  <c:v>-0.17</c:v>
                </c:pt>
                <c:pt idx="15">
                  <c:v>-0.24</c:v>
                </c:pt>
                <c:pt idx="16">
                  <c:v>-0.28999999999999998</c:v>
                </c:pt>
                <c:pt idx="17">
                  <c:v>-0.18</c:v>
                </c:pt>
                <c:pt idx="18">
                  <c:v>-0.15</c:v>
                </c:pt>
                <c:pt idx="19">
                  <c:v>-0.2</c:v>
                </c:pt>
                <c:pt idx="20">
                  <c:v>-0.09</c:v>
                </c:pt>
                <c:pt idx="24">
                  <c:v>-0.25</c:v>
                </c:pt>
                <c:pt idx="25">
                  <c:v>-0.31</c:v>
                </c:pt>
                <c:pt idx="26">
                  <c:v>-0.18</c:v>
                </c:pt>
                <c:pt idx="27">
                  <c:v>-0.16</c:v>
                </c:pt>
                <c:pt idx="28">
                  <c:v>-0.2</c:v>
                </c:pt>
                <c:pt idx="29">
                  <c:v>-0.11</c:v>
                </c:pt>
                <c:pt idx="33">
                  <c:v>-0.18</c:v>
                </c:pt>
                <c:pt idx="34">
                  <c:v>-0.22</c:v>
                </c:pt>
                <c:pt idx="35">
                  <c:v>-0.13</c:v>
                </c:pt>
                <c:pt idx="36">
                  <c:v>-0.23</c:v>
                </c:pt>
                <c:pt idx="37">
                  <c:v>-0.32</c:v>
                </c:pt>
                <c:pt idx="38">
                  <c:v>-0.14000000000000001</c:v>
                </c:pt>
                <c:pt idx="42">
                  <c:v>-0.18</c:v>
                </c:pt>
                <c:pt idx="43">
                  <c:v>-0.26</c:v>
                </c:pt>
                <c:pt idx="44">
                  <c:v>-0.1</c:v>
                </c:pt>
                <c:pt idx="45">
                  <c:v>-0.2</c:v>
                </c:pt>
                <c:pt idx="46">
                  <c:v>-0.25</c:v>
                </c:pt>
                <c:pt idx="47">
                  <c:v>-0.15</c:v>
                </c:pt>
              </c:numCache>
            </c:numRef>
          </c:xVal>
          <c:yVal>
            <c:numRef>
              <c:f>LDL!$D$1:$D$48</c:f>
              <c:numCache>
                <c:formatCode>General</c:formatCode>
                <c:ptCount val="48"/>
                <c:pt idx="0">
                  <c:v>41</c:v>
                </c:pt>
                <c:pt idx="3">
                  <c:v>36</c:v>
                </c:pt>
                <c:pt idx="6">
                  <c:v>35</c:v>
                </c:pt>
                <c:pt idx="9">
                  <c:v>33</c:v>
                </c:pt>
                <c:pt idx="12">
                  <c:v>33</c:v>
                </c:pt>
                <c:pt idx="15">
                  <c:v>27</c:v>
                </c:pt>
                <c:pt idx="18">
                  <c:v>25</c:v>
                </c:pt>
                <c:pt idx="21">
                  <c:v>12</c:v>
                </c:pt>
                <c:pt idx="24">
                  <c:v>19</c:v>
                </c:pt>
                <c:pt idx="27">
                  <c:v>17</c:v>
                </c:pt>
                <c:pt idx="30">
                  <c:v>9</c:v>
                </c:pt>
                <c:pt idx="33">
                  <c:v>11</c:v>
                </c:pt>
                <c:pt idx="36">
                  <c:v>9</c:v>
                </c:pt>
                <c:pt idx="39">
                  <c:v>6</c:v>
                </c:pt>
                <c:pt idx="42">
                  <c:v>3</c:v>
                </c:pt>
                <c:pt idx="45">
                  <c:v>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2753408"/>
        <c:axId val="102875136"/>
      </c:scatterChart>
      <c:valAx>
        <c:axId val="102753408"/>
        <c:scaling>
          <c:orientation val="minMax"/>
          <c:max val="0.65"/>
          <c:min val="-0.65"/>
        </c:scaling>
        <c:delete val="0"/>
        <c:axPos val="b"/>
        <c:numFmt formatCode="0.00" sourceLinked="1"/>
        <c:majorTickMark val="out"/>
        <c:minorTickMark val="none"/>
        <c:tickLblPos val="low"/>
        <c:spPr>
          <a:ln>
            <a:noFill/>
          </a:ln>
        </c:spPr>
        <c:crossAx val="102875136"/>
        <c:crossesAt val="0"/>
        <c:crossBetween val="midCat"/>
        <c:majorUnit val="0.65"/>
        <c:minorUnit val="0.5"/>
      </c:valAx>
      <c:valAx>
        <c:axId val="102875136"/>
        <c:scaling>
          <c:orientation val="minMax"/>
          <c:max val="49"/>
          <c:min val="0"/>
        </c:scaling>
        <c:delete val="0"/>
        <c:axPos val="l"/>
        <c:numFmt formatCode="General" sourceLinked="1"/>
        <c:majorTickMark val="none"/>
        <c:minorTickMark val="none"/>
        <c:tickLblPos val="none"/>
        <c:spPr>
          <a:ln>
            <a:noFill/>
          </a:ln>
        </c:spPr>
        <c:crossAx val="102753408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(Thanh) Ho</dc:creator>
  <cp:lastModifiedBy>Hoang (Thanh) Ho</cp:lastModifiedBy>
  <cp:revision>2</cp:revision>
  <dcterms:created xsi:type="dcterms:W3CDTF">2016-02-18T20:00:00Z</dcterms:created>
  <dcterms:modified xsi:type="dcterms:W3CDTF">2016-02-18T20:00:00Z</dcterms:modified>
</cp:coreProperties>
</file>