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4"/>
        <w:gridCol w:w="1956"/>
        <w:gridCol w:w="2126"/>
        <w:gridCol w:w="1458"/>
        <w:gridCol w:w="810"/>
        <w:gridCol w:w="2410"/>
        <w:gridCol w:w="2126"/>
        <w:gridCol w:w="1180"/>
      </w:tblGrid>
      <w:tr w:rsidR="003F4A6A" w:rsidRPr="003F4A6A" w:rsidTr="005C0B29">
        <w:trPr>
          <w:trHeight w:val="360"/>
        </w:trPr>
        <w:tc>
          <w:tcPr>
            <w:tcW w:w="1551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708" w:rsidRPr="003F4A6A" w:rsidRDefault="00281987" w:rsidP="000876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Supplementary 1. Prevalence ratios (PRs)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*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 and 95% confidence intervals (CIs) of non-alcoholic fatty liver (NAFLD) with ALT &gt; 20 U/L by intake of energy-adjusted sodium, potassium, and sodium to potassium </w:t>
            </w:r>
          </w:p>
        </w:tc>
      </w:tr>
      <w:tr w:rsidR="003F4A6A" w:rsidRPr="003F4A6A" w:rsidTr="005C0B29">
        <w:trPr>
          <w:trHeight w:val="345"/>
        </w:trPr>
        <w:tc>
          <w:tcPr>
            <w:tcW w:w="3444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86" w:type="dxa"/>
            <w:gridSpan w:val="6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Quintiles of intake </w:t>
            </w:r>
          </w:p>
        </w:tc>
        <w:tc>
          <w:tcPr>
            <w:tcW w:w="1180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 for trend</w:t>
            </w:r>
          </w:p>
        </w:tc>
      </w:tr>
      <w:tr w:rsidR="003F4A6A" w:rsidRPr="003F4A6A" w:rsidTr="00746E91">
        <w:trPr>
          <w:trHeight w:val="345"/>
        </w:trPr>
        <w:tc>
          <w:tcPr>
            <w:tcW w:w="344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Q5</w:t>
            </w: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Men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4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Sodium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Median, mg/d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1219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1697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2126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2641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3485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No. of cases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2,510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2,597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2,598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2,682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2,708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Age and energy-adjusted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1.04 (0.99–1.09)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1.04 (0.99–1.10)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1.08 (1.03–1.14)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(1.05–1.18)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Multivariable-adjusted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1.07 (1.02–1.12)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(1.05–1.17)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1.19 (1.12–1.26)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1.27 (1.18–1.35)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746E91">
        <w:trPr>
          <w:trHeight w:val="34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Potassium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Median, mg/d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1384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1718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1977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2270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2774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No. of cases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2,562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2,592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2,687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2,661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2,593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Age and energy-adjusted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0.98 (0.94–1.03)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(0.95–1.05)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0.98 (0.92–1.03)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0.93 (0.88–0.98)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0.007</w:t>
            </w: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Multivariable-adjusted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1.02 (0.97–1.07)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1.07 (1.01–1.14)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(1.02–1.16)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1.08 (1.00–1.17)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0.05</w:t>
            </w: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Sodium to potassium ratio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Median, ratio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0.7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0.9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1.1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1.3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1.6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No. of cases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2,466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2,612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2,679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2,628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2,710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Age and energy-adjusted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1.06 (1.01–1.11)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(1.04–1.14)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1.07 (1.02–1.12)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(1.06–1.16)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Multivariable-adjusted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1.06 (1.01–1.11)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1.10 (1.05–1.15)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(1.04–1.15)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1.16 (1.10–1.21)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08" w:rsidRPr="003F4A6A" w:rsidRDefault="00F56708" w:rsidP="00572C20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Women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4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Sodium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Median, mg/d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1077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1502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1902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2397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3310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No. of cases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334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379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449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504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lastRenderedPageBreak/>
              <w:t>Age and energy-adjusted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1.14 (0.98–1.32)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1.17 (1.00–1.36)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1.24 (1.06–1.44)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1.34 (1.14–1.58)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Multivariable-adjusted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1.16 (1.00–1.35)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1.21 (1.03–1.41)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1.28 (1.09–1.52)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1.39 (1.16–1.67)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0.001</w:t>
            </w:r>
          </w:p>
        </w:tc>
      </w:tr>
      <w:tr w:rsidR="003F4A6A" w:rsidRPr="003F4A6A" w:rsidTr="00746E91">
        <w:trPr>
          <w:trHeight w:val="345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Potassium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Median, mg/d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1347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1686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1968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2296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2896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No. of cases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361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395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414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434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464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Age and energy-adjusted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(0.86–1.15)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0.97 (0.83–1.13)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0.93 (0.79–1.08)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0.86 (0.73–1.01)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0.03</w:t>
            </w: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Multivariable-adjusted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1.10 (0.94–1.29)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1.15 (0.96–1.38)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1.18 (0.97–1.44)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1.19 (0.93–1.51)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0.24</w:t>
            </w: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Sodium to potassium ratio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Median, ratio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0.6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0.8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1.0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1.2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1.5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No. of cases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382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355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425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480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746E91">
        <w:trPr>
          <w:trHeight w:val="330"/>
        </w:trPr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Age and energy-adjusted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0.95 (0.82–1.09)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(0.97–1.27)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1.10 (0.97–1.26)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1.19 (1.05–1.36)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0.001</w:t>
            </w:r>
          </w:p>
        </w:tc>
      </w:tr>
      <w:tr w:rsidR="003F4A6A" w:rsidRPr="003F4A6A" w:rsidTr="00746E91">
        <w:trPr>
          <w:trHeight w:val="345"/>
        </w:trPr>
        <w:tc>
          <w:tcPr>
            <w:tcW w:w="3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Multivariable-adjusted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0.93 (0.80–1.07)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1.07 (0.94–1.23)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1.06 (0.93–1.21)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1.12 (0.97–1.28)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0.03</w:t>
            </w:r>
          </w:p>
        </w:tc>
      </w:tr>
      <w:tr w:rsidR="003F4A6A" w:rsidRPr="003F4A6A" w:rsidTr="00E22E24">
        <w:trPr>
          <w:trHeight w:val="330"/>
        </w:trPr>
        <w:tc>
          <w:tcPr>
            <w:tcW w:w="15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08" w:rsidRPr="003F4A6A" w:rsidRDefault="00281987" w:rsidP="000876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Note: </w:t>
            </w:r>
            <w:r w:rsidR="003C3014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The o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verall interactions between </w:t>
            </w:r>
            <w:r w:rsidR="003C3014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sex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and sodium </w:t>
            </w:r>
            <w:r w:rsidR="003C3014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and</w:t>
            </w:r>
            <w:r w:rsidR="003C3014"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potassium intake in relation to </w:t>
            </w:r>
            <w:r w:rsidR="003C3014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the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prevalence of NAFLD was &lt;0.05 for in age</w:t>
            </w:r>
            <w:r w:rsidR="003C3014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-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, energy-adjusted and multivariate-adjusted model.</w:t>
            </w:r>
          </w:p>
        </w:tc>
      </w:tr>
      <w:tr w:rsidR="003F4A6A" w:rsidRPr="003F4A6A" w:rsidTr="008D7E5D">
        <w:trPr>
          <w:trHeight w:val="330"/>
        </w:trPr>
        <w:tc>
          <w:tcPr>
            <w:tcW w:w="1551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56708" w:rsidRPr="003F4A6A" w:rsidRDefault="00281987" w:rsidP="00C659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 xml:space="preserve">*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Estimated from a Poisson regression model with a robust error variance using </w:t>
            </w:r>
            <w:r w:rsidR="00A0746E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a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binary outcome variable (presence or absence).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Multivariable-adjusted model was adjusted for age, total energy intake (quintiles), study cent</w:t>
            </w:r>
            <w:r w:rsidR="00C6598F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er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(two categories), year of screening exam (one-year categories), education level (&lt;community college, </w:t>
            </w:r>
            <w:r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community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college graduate, or unknown), physical activity level (inactive, minimally active, HEPA, or unknown), smoking (never, past, current, or unknown), alcohol intake (0, &lt; 10, or </w:t>
            </w:r>
            <w:r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10 g/d), and intake of energy-adjusted calcium, protein, and fiber (quintiles).</w:t>
            </w:r>
          </w:p>
        </w:tc>
      </w:tr>
      <w:tr w:rsidR="003F4A6A" w:rsidRPr="003F4A6A" w:rsidTr="00746E91">
        <w:trPr>
          <w:trHeight w:val="330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 xml:space="preserve">†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Additionally adjusted for quintiles of energy-adjusted potassium intake.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746E91" w:rsidRPr="003F4A6A" w:rsidTr="00746E91">
        <w:trPr>
          <w:trHeight w:val="330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281987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 xml:space="preserve">‡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Additionally adjusted for quintiles of energy-adjusted sodium intake.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E91" w:rsidRPr="003F4A6A" w:rsidRDefault="00746E91" w:rsidP="00746E9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</w:tbl>
    <w:p w:rsidR="00746E91" w:rsidRPr="003F4A6A" w:rsidRDefault="00746E91" w:rsidP="005D1F4B">
      <w:pPr>
        <w:wordWrap/>
        <w:spacing w:line="24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</w:p>
    <w:p w:rsidR="00746E91" w:rsidRPr="003F4A6A" w:rsidRDefault="00746E91">
      <w:pPr>
        <w:widowControl/>
        <w:wordWrap/>
        <w:autoSpaceDE/>
        <w:autoSpaceDN/>
        <w:rPr>
          <w:rFonts w:ascii="Times New Roman" w:eastAsia="맑은 고딕" w:hAnsi="Times New Roman" w:cs="Times New Roman"/>
          <w:sz w:val="24"/>
          <w:szCs w:val="24"/>
        </w:rPr>
      </w:pPr>
      <w:r w:rsidRPr="003F4A6A">
        <w:rPr>
          <w:rFonts w:ascii="Times New Roman" w:eastAsia="맑은 고딕" w:hAnsi="Times New Roman" w:cs="Times New Roman"/>
          <w:sz w:val="24"/>
          <w:szCs w:val="24"/>
        </w:rPr>
        <w:br w:type="page"/>
      </w:r>
    </w:p>
    <w:p w:rsidR="00746E91" w:rsidRPr="003F4A6A" w:rsidRDefault="00746E91" w:rsidP="005D1F4B">
      <w:pPr>
        <w:wordWrap/>
        <w:spacing w:line="24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</w:p>
    <w:tbl>
      <w:tblPr>
        <w:tblW w:w="0" w:type="auto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8"/>
        <w:gridCol w:w="2013"/>
        <w:gridCol w:w="2126"/>
        <w:gridCol w:w="681"/>
        <w:gridCol w:w="1304"/>
        <w:gridCol w:w="1137"/>
        <w:gridCol w:w="847"/>
        <w:gridCol w:w="1985"/>
        <w:gridCol w:w="1463"/>
      </w:tblGrid>
      <w:tr w:rsidR="003F4A6A" w:rsidRPr="003F4A6A" w:rsidTr="00E40AAA">
        <w:trPr>
          <w:trHeight w:val="360"/>
        </w:trPr>
        <w:tc>
          <w:tcPr>
            <w:tcW w:w="1405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6708" w:rsidRPr="003F4A6A" w:rsidRDefault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Supplementary Table </w:t>
            </w:r>
            <w:r w:rsidR="00DB5008" w:rsidRPr="003F4A6A">
              <w:rPr>
                <w:rFonts w:ascii="Arial" w:eastAsia="맑은 고딕" w:hAnsi="Arial" w:cs="Arial" w:hint="eastAsia"/>
                <w:b/>
                <w:bCs/>
                <w:kern w:val="0"/>
                <w:sz w:val="24"/>
                <w:szCs w:val="24"/>
              </w:rPr>
              <w:t>2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. Multivariable-adjusted PRs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 xml:space="preserve">* 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and 95% CIs of NAFLD using the fatty liver index (FLI)† by intake of energy-adjusted sodium and potassium and sodium to potassium ratio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3F4A6A" w:rsidRPr="003F4A6A" w:rsidTr="00E40AAA">
        <w:trPr>
          <w:trHeight w:val="315"/>
        </w:trPr>
        <w:tc>
          <w:tcPr>
            <w:tcW w:w="3958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3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Quintiles of intake </w:t>
            </w:r>
          </w:p>
        </w:tc>
        <w:tc>
          <w:tcPr>
            <w:tcW w:w="1463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 for</w:t>
            </w:r>
          </w:p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 trend</w:t>
            </w:r>
          </w:p>
        </w:tc>
      </w:tr>
      <w:tr w:rsidR="003F4A6A" w:rsidRPr="003F4A6A" w:rsidTr="00C5320A">
        <w:trPr>
          <w:trHeight w:val="315"/>
        </w:trPr>
        <w:tc>
          <w:tcPr>
            <w:tcW w:w="39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Q5</w:t>
            </w:r>
          </w:p>
        </w:tc>
        <w:tc>
          <w:tcPr>
            <w:tcW w:w="14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30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Men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34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Sodium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PR (95% CI) for FLI 30–&lt;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(1.00–1.18)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(1.00–1.19)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1.17 (1.06–1.29)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1.29 (1.16–1.43)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PR (95% CI) for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1.17 (1.05–1.31)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1.23 (1.08–1.38)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1.33 (1.16–1.51)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1.64 (1.42–1.90)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C5320A">
        <w:trPr>
          <w:trHeight w:val="34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Potassium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PR (95% CI) for FLI 30–&lt;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1.03 (0.94–1.12)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(0.98–1.20)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1.07 (0.96–1.19)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1.06 (0.93–1.21)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0.44</w:t>
            </w: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PR (95% CI) for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1.03 (0.91–1.16)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1.13 (0.99–1.29)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1.12 (0.96–1.30)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1.08 (0.91–1.29)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0.43</w:t>
            </w:r>
          </w:p>
        </w:tc>
      </w:tr>
      <w:tr w:rsidR="003F4A6A" w:rsidRPr="003F4A6A" w:rsidTr="00C5320A">
        <w:trPr>
          <w:trHeight w:val="30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Sodium to potassium ratio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PR (95% CI) for FLI 30–&lt;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(0.93–1.08)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1.08 (1.00–1.17)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1.12 (1.03–1.20)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(1.01–1.19)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0.004</w:t>
            </w: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PR (95% CI) for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1.06 (0.96–1.18)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1.17 (1.05–1.30)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1.19 (1.07–1.33)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1.35 (1.21–1.51)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200" w:firstLine="48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30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Women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34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Sodium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PR (95% CI) for FLI 30–&lt;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(0.95–1.31)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1.28 (1.09–1.52)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1.36 (1.14–1.62)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1.57 (1.29–1.90)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PR (95% CI) for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1.05 (0.78–1.41)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1.28 (0.94–1.73)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1.43 (1.04–1.96)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1.75 (1.23–2.50)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0.001</w:t>
            </w:r>
          </w:p>
        </w:tc>
      </w:tr>
      <w:tr w:rsidR="003F4A6A" w:rsidRPr="003F4A6A" w:rsidTr="00C5320A">
        <w:trPr>
          <w:trHeight w:val="34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Potassium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  <w:vertAlign w:val="superscript"/>
              </w:rPr>
              <w:t>§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PR (95% CI) for FLI 30–&lt;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1.08 (0.92–1.27)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0.91 (0.75–1.10)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1.05 (0.85–1.30)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1.03 (0.80–1.32)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0.85</w:t>
            </w:r>
          </w:p>
        </w:tc>
      </w:tr>
      <w:tr w:rsidR="003F4A6A" w:rsidRPr="003F4A6A" w:rsidTr="00C5320A">
        <w:trPr>
          <w:trHeight w:val="285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PR (95% CI) for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60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1.06 (0.78–1.44)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1.07 (0.75–1.52)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1.17 (0.79–1.74)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1.50 (0.96–2.36)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0.05</w:t>
            </w:r>
          </w:p>
        </w:tc>
      </w:tr>
      <w:tr w:rsidR="003F4A6A" w:rsidRPr="003F4A6A" w:rsidTr="00C5320A">
        <w:trPr>
          <w:trHeight w:val="30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Sodium to potassium ratio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E40AAA">
        <w:trPr>
          <w:trHeight w:val="285"/>
        </w:trPr>
        <w:tc>
          <w:tcPr>
            <w:tcW w:w="39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PR (95% CI) for FLI 30–&lt; 60</w:t>
            </w:r>
          </w:p>
        </w:tc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0.95 (0.82–1.10)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(0.95–1.26)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(0.96–1.28)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1.24 (1.07–1.43)</w:t>
            </w:r>
          </w:p>
        </w:tc>
        <w:tc>
          <w:tcPr>
            <w:tcW w:w="14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</w:tr>
      <w:tr w:rsidR="003F4A6A" w:rsidRPr="003F4A6A" w:rsidTr="00E40AAA">
        <w:trPr>
          <w:trHeight w:val="300"/>
        </w:trPr>
        <w:tc>
          <w:tcPr>
            <w:tcW w:w="395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PR (95% CI) for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1.01 (0.76–1.34)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1.15 (0.87–1.51)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1.39 (1.06–1.82)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1.39 (1.06–1.83)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0.003 </w:t>
            </w:r>
          </w:p>
        </w:tc>
      </w:tr>
      <w:tr w:rsidR="003F4A6A" w:rsidRPr="003F4A6A" w:rsidTr="00E40AAA">
        <w:trPr>
          <w:trHeight w:val="285"/>
        </w:trPr>
        <w:tc>
          <w:tcPr>
            <w:tcW w:w="15514" w:type="dxa"/>
            <w:gridSpan w:val="9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7E9B" w:rsidRPr="003F4A6A" w:rsidRDefault="00AD7E9B" w:rsidP="00AD7E9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lastRenderedPageBreak/>
              <w:t>Note : A total of 81,395 participants (men 37,541; women 43,854) out of all study participants (81.3%) were available for the analysis of FLI</w:t>
            </w:r>
            <w:r w:rsidR="00CD3598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.</w:t>
            </w:r>
          </w:p>
        </w:tc>
      </w:tr>
      <w:tr w:rsidR="003F4A6A" w:rsidRPr="003F4A6A" w:rsidTr="00DA49AD">
        <w:trPr>
          <w:trHeight w:val="285"/>
        </w:trPr>
        <w:tc>
          <w:tcPr>
            <w:tcW w:w="15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659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>*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</w:t>
            </w:r>
            <w:r w:rsidR="008959EB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Estimated from a </w:t>
            </w:r>
            <w:r w:rsidR="008959EB"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multinomial logistic regression models using 3 categories (</w:t>
            </w:r>
            <w:r w:rsidR="008959EB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FLI</w:t>
            </w:r>
            <w:r w:rsidR="008959EB"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score 30–&lt; 60 and </w:t>
            </w:r>
            <w:r w:rsidR="008959EB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≥</w:t>
            </w:r>
            <w:r w:rsidR="008959EB"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60 compared to </w:t>
            </w:r>
            <w:r w:rsidR="008959EB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FLI &lt;30</w:t>
            </w:r>
            <w:r w:rsidR="008959EB"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).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Multivariable-adjusted model was adjusted for age, total energy intake (quintiles), study cent</w:t>
            </w:r>
            <w:r w:rsidR="00C6598F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er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(two categories), year of screening exam (one-year categories), education level (&lt;community college,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community college graduate, or unknown), alcohol intake (0, &lt; 10, or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10g/d), physical activity level (inactive, minimally active, HEPA, or unknown), smoking (never, past, current, or unknown), and intake of energy-adjusted calcium, protein, fiber (quintiles).</w:t>
            </w:r>
          </w:p>
        </w:tc>
      </w:tr>
      <w:tr w:rsidR="003F4A6A" w:rsidRPr="003F4A6A" w:rsidTr="00FF2B58">
        <w:trPr>
          <w:trHeight w:val="285"/>
        </w:trPr>
        <w:tc>
          <w:tcPr>
            <w:tcW w:w="15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 xml:space="preserve">†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Fatty liver index was calculated according to the published formula: FLI = (e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>0.953*loge (triglycerides) + 0.139*BMI + 0.718*loge (ggt) +0.053*waist circumference - 15.745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) / (1 + e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>0.953*loge (triglycerides) +0.139*BMI + 0.718*loge (ggt) + 0.053*waist circumference - 15.745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) * 100 </w:t>
            </w:r>
          </w:p>
        </w:tc>
      </w:tr>
      <w:tr w:rsidR="003F4A6A" w:rsidRPr="003F4A6A" w:rsidTr="00C5320A">
        <w:trPr>
          <w:trHeight w:val="285"/>
        </w:trPr>
        <w:tc>
          <w:tcPr>
            <w:tcW w:w="8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 xml:space="preserve">‡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Additionally adjusted for quintiles of energy-adjusted potassium intake.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C5320A">
        <w:trPr>
          <w:trHeight w:val="285"/>
        </w:trPr>
        <w:tc>
          <w:tcPr>
            <w:tcW w:w="8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 xml:space="preserve">§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Additionally adjusted for quintiles of energy-adjusted sodium intake.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0A" w:rsidRPr="003F4A6A" w:rsidRDefault="00C5320A" w:rsidP="00C5320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</w:tbl>
    <w:p w:rsidR="00105AE2" w:rsidRPr="003F4A6A" w:rsidRDefault="00105AE2">
      <w:pPr>
        <w:widowControl/>
        <w:wordWrap/>
        <w:autoSpaceDE/>
        <w:autoSpaceDN/>
        <w:rPr>
          <w:rFonts w:ascii="Times New Roman" w:eastAsia="맑은 고딕" w:hAnsi="Times New Roman" w:cs="Times New Roman"/>
          <w:sz w:val="24"/>
          <w:szCs w:val="24"/>
        </w:rPr>
      </w:pPr>
      <w:r w:rsidRPr="003F4A6A">
        <w:rPr>
          <w:rFonts w:ascii="Times New Roman" w:eastAsia="맑은 고딕" w:hAnsi="Times New Roman" w:cs="Times New Roman"/>
          <w:sz w:val="24"/>
          <w:szCs w:val="24"/>
        </w:rPr>
        <w:br w:type="page"/>
      </w:r>
    </w:p>
    <w:p w:rsidR="005D1F4B" w:rsidRPr="003F4A6A" w:rsidRDefault="005D1F4B" w:rsidP="005D1F4B">
      <w:pPr>
        <w:wordWrap/>
        <w:spacing w:line="240" w:lineRule="auto"/>
        <w:jc w:val="center"/>
        <w:rPr>
          <w:rFonts w:ascii="Times New Roman" w:eastAsia="맑은 고딕" w:hAnsi="Times New Roman" w:cs="Times New Roman"/>
          <w:sz w:val="24"/>
          <w:szCs w:val="24"/>
        </w:rPr>
        <w:sectPr w:rsidR="005D1F4B" w:rsidRPr="003F4A6A" w:rsidSect="005D1F4B">
          <w:headerReference w:type="default" r:id="rId8"/>
          <w:footerReference w:type="default" r:id="rId9"/>
          <w:pgSz w:w="16838" w:h="11906" w:orient="landscape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W w:w="15754" w:type="dxa"/>
        <w:tblInd w:w="8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80"/>
        <w:gridCol w:w="1984"/>
        <w:gridCol w:w="1985"/>
        <w:gridCol w:w="1984"/>
        <w:gridCol w:w="1985"/>
        <w:gridCol w:w="1984"/>
        <w:gridCol w:w="992"/>
        <w:gridCol w:w="1560"/>
      </w:tblGrid>
      <w:tr w:rsidR="003F4A6A" w:rsidRPr="003F4A6A" w:rsidTr="00C8401B">
        <w:trPr>
          <w:trHeight w:val="342"/>
        </w:trPr>
        <w:tc>
          <w:tcPr>
            <w:tcW w:w="1575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DD8" w:rsidRPr="003F4A6A" w:rsidRDefault="00E54DD8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</w:p>
          <w:p w:rsidR="00D044F1" w:rsidRPr="003F4A6A" w:rsidRDefault="00105A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Supplementary Table </w:t>
            </w:r>
            <w:r w:rsidR="00E54DD8" w:rsidRPr="003F4A6A">
              <w:rPr>
                <w:rFonts w:ascii="Arial" w:eastAsia="맑은 고딕" w:hAnsi="Arial" w:cs="Arial" w:hint="eastAsia"/>
                <w:b/>
                <w:bCs/>
                <w:kern w:val="0"/>
                <w:sz w:val="24"/>
                <w:szCs w:val="24"/>
              </w:rPr>
              <w:t>3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>. Multivariable-adjusted PRs* and 95% CIs for prevalence of NAFLD by intake of energy-adjusted sodium in selected subgroups from the overall population</w:t>
            </w: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2" w:type="dxa"/>
            <w:gridSpan w:val="5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Quintiles of intake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  <w:t>P</w:t>
            </w: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 for interaction</w:t>
            </w: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Q1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Q2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Q3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Q4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Q5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b/>
                <w:bCs/>
                <w:kern w:val="0"/>
                <w:sz w:val="24"/>
                <w:szCs w:val="24"/>
              </w:rPr>
              <w:t xml:space="preserve">Sodium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Age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40 years (n=65,167)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1.07 (1.02–1.13)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1.13 (1.07–1.20)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1.19 (1.12–1.27)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1.25 (1.17–1.35)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0.08</w:t>
            </w: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≥ 40 years (n=35,010)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(1.05–1.18)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1.13 (1.06–1.21)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1.23 (1.15–1.31)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1.33 (1.24–1.44)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Smoking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Non-current smoker (n=68,807)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1.08 (1.03–1.14)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1.15 (1.09–1.21)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1.23 (1.16–1.30)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1.31 (1.23–1.40)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0.79</w:t>
            </w: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Current smoker (n=16,574)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1.10 (1.02–1.19)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(1.03–1.21)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1.20 (1.10–1.31)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1.21 (1.10–1.34)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Physical activity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Inactive (n=42,012)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(1.05–1.18)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1.17 (1.10–1.25)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1.26 (1.17–1.35)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1.36 (1.26–1.47)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0.76</w:t>
            </w: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Minimally active or more (n=52,899)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1.08 (1.03–1.15)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1.13 (1.06–1.20)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1.21 (1.13–1.29)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1.27 (1.19–1.37)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BMI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23kg/m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>2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(n=58,628)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1.07 (0.97–1.18)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(0.98–1.21)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1.14 (1.01–1.28)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1.28 (1.12–1.46)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0.27</w:t>
            </w: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≥ 23kg/m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  <w:vertAlign w:val="superscript"/>
              </w:rPr>
              <w:t xml:space="preserve">2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(n=41,435)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1.05 (1.01–1.09)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1.06 (1.02–1.11)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1.11 (1.06–1.16)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1.14 (1.08–1.19)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BF%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 23% men, &lt;35% women (n=73,765)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1.08 (1.01–1.16)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(1.02–1.18)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1.13 (1.05–1.22)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1.18 (1.08–1.28)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0.001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0.01</w:t>
            </w:r>
          </w:p>
        </w:tc>
      </w:tr>
      <w:tr w:rsidR="003F4A6A" w:rsidRPr="003F4A6A" w:rsidTr="00D915CA">
        <w:trPr>
          <w:trHeight w:val="342"/>
        </w:trPr>
        <w:tc>
          <w:tcPr>
            <w:tcW w:w="32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812094">
            <w:pPr>
              <w:widowControl/>
              <w:wordWrap/>
              <w:autoSpaceDE/>
              <w:autoSpaceDN/>
              <w:spacing w:after="0" w:line="240" w:lineRule="auto"/>
              <w:ind w:leftChars="102" w:left="204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23% men,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35% women (n=26,225)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1.04 (0.99–1.08)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1.04 (1.00–1.09)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1.09 (1.04–1.14)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1.12 (1.07–1.18)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283E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105AE2" w:rsidRPr="003F4A6A" w:rsidTr="00C8401B">
        <w:trPr>
          <w:trHeight w:val="342"/>
        </w:trPr>
        <w:tc>
          <w:tcPr>
            <w:tcW w:w="15754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AE2" w:rsidRPr="003F4A6A" w:rsidRDefault="00105AE2" w:rsidP="00C6598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4"/>
                <w:szCs w:val="24"/>
              </w:rPr>
            </w:pP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lastRenderedPageBreak/>
              <w:t xml:space="preserve">* </w:t>
            </w:r>
            <w:r w:rsidR="00C75A24"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Estimated from a Poisson regression model with a robust error variance using </w:t>
            </w:r>
            <w:r w:rsidR="00084F53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a </w:t>
            </w:r>
            <w:r w:rsidR="00C75A24"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binary outcome variable (presence or absence)</w:t>
            </w:r>
            <w:r w:rsidR="00C75A24" w:rsidRPr="003F4A6A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 xml:space="preserve">. 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>Multivariable-adjusted model was adjusted for age, total energy intake (quintiles), study cent</w:t>
            </w:r>
            <w:r w:rsidR="00C6598F">
              <w:rPr>
                <w:rFonts w:ascii="Arial" w:eastAsia="맑은 고딕" w:hAnsi="Arial" w:cs="Arial" w:hint="eastAsia"/>
                <w:kern w:val="0"/>
                <w:sz w:val="24"/>
                <w:szCs w:val="24"/>
              </w:rPr>
              <w:t>er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(two categories), year of screening exam (one-year categories), education level (&lt;community college,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community college graduate, or unknown), physical activity level (inactive, minimally active, HEPA, or unknown), smoking (never, past, current, or unknown), alcohol intake (0, &lt; 10, or </w:t>
            </w:r>
            <w:r w:rsidRPr="003F4A6A">
              <w:rPr>
                <w:rFonts w:ascii="Arial" w:eastAsia="돋움" w:hAnsi="Arial" w:cs="Arial"/>
                <w:kern w:val="0"/>
                <w:sz w:val="24"/>
                <w:szCs w:val="24"/>
              </w:rPr>
              <w:t>≥</w:t>
            </w:r>
            <w:r w:rsidRPr="003F4A6A">
              <w:rPr>
                <w:rFonts w:ascii="Arial" w:eastAsia="맑은 고딕" w:hAnsi="Arial" w:cs="Arial"/>
                <w:kern w:val="0"/>
                <w:sz w:val="24"/>
                <w:szCs w:val="24"/>
              </w:rPr>
              <w:t xml:space="preserve"> 10 g/d), and intake of energy-adjusted calcium, protein, fiber, and potassium (quintiles).</w:t>
            </w:r>
          </w:p>
        </w:tc>
      </w:tr>
    </w:tbl>
    <w:p w:rsidR="00105AE2" w:rsidRPr="003F4A6A" w:rsidRDefault="00105AE2" w:rsidP="005D1F4B">
      <w:pPr>
        <w:wordWrap/>
        <w:spacing w:line="24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</w:p>
    <w:p w:rsidR="005D1F4B" w:rsidRPr="003F4A6A" w:rsidRDefault="005D1F4B" w:rsidP="005D1F4B">
      <w:pPr>
        <w:wordWrap/>
        <w:spacing w:line="240" w:lineRule="auto"/>
        <w:jc w:val="left"/>
        <w:rPr>
          <w:rFonts w:ascii="Times New Roman" w:eastAsia="맑은 고딕" w:hAnsi="Times New Roman" w:cs="Times New Roman"/>
          <w:sz w:val="24"/>
          <w:szCs w:val="24"/>
        </w:rPr>
      </w:pPr>
    </w:p>
    <w:p w:rsidR="005D1F4B" w:rsidRPr="003F4A6A" w:rsidRDefault="005D1F4B" w:rsidP="005D1F4B">
      <w:pPr>
        <w:wordWrap/>
        <w:spacing w:line="24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</w:p>
    <w:p w:rsidR="005D1F4B" w:rsidRPr="003F4A6A" w:rsidRDefault="005D1F4B" w:rsidP="005D1F4B">
      <w:pPr>
        <w:wordWrap/>
        <w:spacing w:line="240" w:lineRule="auto"/>
        <w:jc w:val="center"/>
        <w:rPr>
          <w:rFonts w:ascii="Times New Roman" w:eastAsia="맑은 고딕" w:hAnsi="Times New Roman" w:cs="Times New Roman"/>
          <w:sz w:val="24"/>
          <w:szCs w:val="24"/>
        </w:rPr>
      </w:pPr>
    </w:p>
    <w:sectPr w:rsidR="005D1F4B" w:rsidRPr="003F4A6A" w:rsidSect="005D1F4B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9F" w:rsidRDefault="0093219F" w:rsidP="005D1F4B">
      <w:pPr>
        <w:spacing w:after="0" w:line="240" w:lineRule="auto"/>
      </w:pPr>
      <w:r>
        <w:separator/>
      </w:r>
    </w:p>
  </w:endnote>
  <w:endnote w:type="continuationSeparator" w:id="0">
    <w:p w:rsidR="0093219F" w:rsidRDefault="0093219F" w:rsidP="005D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26017"/>
      <w:docPartObj>
        <w:docPartGallery w:val="Page Numbers (Bottom of Page)"/>
        <w:docPartUnique/>
      </w:docPartObj>
    </w:sdtPr>
    <w:sdtEndPr/>
    <w:sdtContent>
      <w:p w:rsidR="005D1F4B" w:rsidRDefault="00B05E84">
        <w:pPr>
          <w:pStyle w:val="a4"/>
          <w:jc w:val="center"/>
        </w:pPr>
        <w:r>
          <w:fldChar w:fldCharType="begin"/>
        </w:r>
        <w:r w:rsidR="005D1F4B">
          <w:instrText>PAGE   \* MERGEFORMAT</w:instrText>
        </w:r>
        <w:r>
          <w:fldChar w:fldCharType="separate"/>
        </w:r>
        <w:r w:rsidR="00D315AF" w:rsidRPr="00D315AF">
          <w:rPr>
            <w:noProof/>
            <w:lang w:val="ko-KR"/>
          </w:rPr>
          <w:t>6</w:t>
        </w:r>
        <w:r>
          <w:fldChar w:fldCharType="end"/>
        </w:r>
      </w:p>
    </w:sdtContent>
  </w:sdt>
  <w:p w:rsidR="005D1F4B" w:rsidRDefault="005D1F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9F" w:rsidRDefault="0093219F" w:rsidP="005D1F4B">
      <w:pPr>
        <w:spacing w:after="0" w:line="240" w:lineRule="auto"/>
      </w:pPr>
      <w:r>
        <w:separator/>
      </w:r>
    </w:p>
  </w:footnote>
  <w:footnote w:type="continuationSeparator" w:id="0">
    <w:p w:rsidR="0093219F" w:rsidRDefault="0093219F" w:rsidP="005D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F4B" w:rsidRDefault="005D1F4B">
    <w:pPr>
      <w:pStyle w:val="a3"/>
    </w:pPr>
    <w:r>
      <w:rPr>
        <w:rFonts w:ascii="Arial" w:hAnsi="Arial" w:cs="Arial"/>
        <w:b/>
        <w:bCs/>
        <w:color w:val="333333"/>
        <w:sz w:val="24"/>
        <w:szCs w:val="24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Obesit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5D1F4B"/>
    <w:rsid w:val="00003705"/>
    <w:rsid w:val="00072CD0"/>
    <w:rsid w:val="00084F53"/>
    <w:rsid w:val="000876AB"/>
    <w:rsid w:val="001018DB"/>
    <w:rsid w:val="00105AE2"/>
    <w:rsid w:val="00114CE8"/>
    <w:rsid w:val="0013494A"/>
    <w:rsid w:val="0014081C"/>
    <w:rsid w:val="001B2B2C"/>
    <w:rsid w:val="001E1898"/>
    <w:rsid w:val="001F00A9"/>
    <w:rsid w:val="001F08CC"/>
    <w:rsid w:val="00242B40"/>
    <w:rsid w:val="00263092"/>
    <w:rsid w:val="00281987"/>
    <w:rsid w:val="00321851"/>
    <w:rsid w:val="0036135D"/>
    <w:rsid w:val="003A1B62"/>
    <w:rsid w:val="003C3014"/>
    <w:rsid w:val="003E0DC4"/>
    <w:rsid w:val="003F4A6A"/>
    <w:rsid w:val="0043094B"/>
    <w:rsid w:val="0043148E"/>
    <w:rsid w:val="00436D63"/>
    <w:rsid w:val="004B5033"/>
    <w:rsid w:val="004C5749"/>
    <w:rsid w:val="00511720"/>
    <w:rsid w:val="0052581B"/>
    <w:rsid w:val="00572C20"/>
    <w:rsid w:val="005768B9"/>
    <w:rsid w:val="00586778"/>
    <w:rsid w:val="00593CAC"/>
    <w:rsid w:val="005B267E"/>
    <w:rsid w:val="005C0B29"/>
    <w:rsid w:val="005D1F4B"/>
    <w:rsid w:val="005D529C"/>
    <w:rsid w:val="005F4FD4"/>
    <w:rsid w:val="0061246A"/>
    <w:rsid w:val="00613886"/>
    <w:rsid w:val="00625A75"/>
    <w:rsid w:val="006607B6"/>
    <w:rsid w:val="00676C8C"/>
    <w:rsid w:val="006826F2"/>
    <w:rsid w:val="006839A2"/>
    <w:rsid w:val="006C5C33"/>
    <w:rsid w:val="00715EAB"/>
    <w:rsid w:val="00746E91"/>
    <w:rsid w:val="00763390"/>
    <w:rsid w:val="00765B7C"/>
    <w:rsid w:val="0079474C"/>
    <w:rsid w:val="007B28E5"/>
    <w:rsid w:val="00812094"/>
    <w:rsid w:val="00856C17"/>
    <w:rsid w:val="00872AFF"/>
    <w:rsid w:val="008959EB"/>
    <w:rsid w:val="008B5ED9"/>
    <w:rsid w:val="008B6FBD"/>
    <w:rsid w:val="008D7918"/>
    <w:rsid w:val="00920611"/>
    <w:rsid w:val="0093219F"/>
    <w:rsid w:val="00932F6B"/>
    <w:rsid w:val="00A0746E"/>
    <w:rsid w:val="00A3498C"/>
    <w:rsid w:val="00A815B5"/>
    <w:rsid w:val="00AC6E4B"/>
    <w:rsid w:val="00AD7E9B"/>
    <w:rsid w:val="00B05E84"/>
    <w:rsid w:val="00B911BA"/>
    <w:rsid w:val="00B94C58"/>
    <w:rsid w:val="00BB03C8"/>
    <w:rsid w:val="00BE5011"/>
    <w:rsid w:val="00C52F3B"/>
    <w:rsid w:val="00C5320A"/>
    <w:rsid w:val="00C57F34"/>
    <w:rsid w:val="00C6598F"/>
    <w:rsid w:val="00C75A24"/>
    <w:rsid w:val="00C8401B"/>
    <w:rsid w:val="00CA74D3"/>
    <w:rsid w:val="00CB5AC8"/>
    <w:rsid w:val="00CD20E5"/>
    <w:rsid w:val="00CD3598"/>
    <w:rsid w:val="00CD60B7"/>
    <w:rsid w:val="00D044F1"/>
    <w:rsid w:val="00D315AF"/>
    <w:rsid w:val="00D515C7"/>
    <w:rsid w:val="00D6123F"/>
    <w:rsid w:val="00D74BF5"/>
    <w:rsid w:val="00D915CA"/>
    <w:rsid w:val="00D94769"/>
    <w:rsid w:val="00DA333F"/>
    <w:rsid w:val="00DB5008"/>
    <w:rsid w:val="00DE1020"/>
    <w:rsid w:val="00E22DD3"/>
    <w:rsid w:val="00E40AAA"/>
    <w:rsid w:val="00E54DD8"/>
    <w:rsid w:val="00EB2956"/>
    <w:rsid w:val="00ED70DE"/>
    <w:rsid w:val="00EF5C4F"/>
    <w:rsid w:val="00F0656A"/>
    <w:rsid w:val="00F10075"/>
    <w:rsid w:val="00F46557"/>
    <w:rsid w:val="00F53891"/>
    <w:rsid w:val="00F56708"/>
    <w:rsid w:val="00FD3313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1F4B"/>
  </w:style>
  <w:style w:type="paragraph" w:styleId="a4">
    <w:name w:val="footer"/>
    <w:basedOn w:val="a"/>
    <w:link w:val="Char0"/>
    <w:uiPriority w:val="99"/>
    <w:unhideWhenUsed/>
    <w:rsid w:val="005D1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1F4B"/>
  </w:style>
  <w:style w:type="paragraph" w:styleId="a5">
    <w:name w:val="Balloon Text"/>
    <w:basedOn w:val="a"/>
    <w:link w:val="Char1"/>
    <w:uiPriority w:val="99"/>
    <w:semiHidden/>
    <w:unhideWhenUsed/>
    <w:rsid w:val="005D1F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1F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1246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4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1F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1F4B"/>
  </w:style>
  <w:style w:type="paragraph" w:styleId="a4">
    <w:name w:val="footer"/>
    <w:basedOn w:val="a"/>
    <w:link w:val="Char0"/>
    <w:uiPriority w:val="99"/>
    <w:unhideWhenUsed/>
    <w:rsid w:val="005D1F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1F4B"/>
  </w:style>
  <w:style w:type="paragraph" w:styleId="a5">
    <w:name w:val="Balloon Text"/>
    <w:basedOn w:val="a"/>
    <w:link w:val="Char1"/>
    <w:uiPriority w:val="99"/>
    <w:semiHidden/>
    <w:unhideWhenUsed/>
    <w:rsid w:val="005D1F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1F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124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B4D6-FC21-4A5C-B7CB-2F4D2668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smcuser</dc:creator>
  <cp:lastModifiedBy>user</cp:lastModifiedBy>
  <cp:revision>2</cp:revision>
  <dcterms:created xsi:type="dcterms:W3CDTF">2016-08-12T11:42:00Z</dcterms:created>
  <dcterms:modified xsi:type="dcterms:W3CDTF">2016-08-12T11:42:00Z</dcterms:modified>
</cp:coreProperties>
</file>