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05"/>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1150"/>
        <w:gridCol w:w="1599"/>
      </w:tblGrid>
      <w:tr w:rsidR="000C1076" w:rsidRPr="00381F10" w:rsidTr="000C1076">
        <w:trPr>
          <w:trHeight w:val="334"/>
        </w:trPr>
        <w:tc>
          <w:tcPr>
            <w:tcW w:w="5430" w:type="dxa"/>
            <w:tcBorders>
              <w:top w:val="single" w:sz="4" w:space="0" w:color="auto"/>
              <w:bottom w:val="single" w:sz="4" w:space="0" w:color="auto"/>
            </w:tcBorders>
          </w:tcPr>
          <w:p w:rsidR="000C1076" w:rsidRPr="00381F10" w:rsidRDefault="000C1076" w:rsidP="000C1076">
            <w:pPr>
              <w:rPr>
                <w:rFonts w:asciiTheme="majorBidi" w:eastAsiaTheme="minorHAnsi" w:hAnsiTheme="majorBidi" w:cstheme="majorBidi"/>
                <w:b/>
                <w:bCs/>
                <w:sz w:val="24"/>
                <w:szCs w:val="24"/>
              </w:rPr>
            </w:pPr>
            <w:r w:rsidRPr="00381F10">
              <w:rPr>
                <w:rFonts w:asciiTheme="majorBidi" w:eastAsiaTheme="minorHAnsi" w:hAnsiTheme="majorBidi" w:cstheme="majorBidi"/>
                <w:b/>
                <w:bCs/>
                <w:sz w:val="24"/>
                <w:szCs w:val="24"/>
              </w:rPr>
              <w:t>Name</w:t>
            </w:r>
          </w:p>
        </w:tc>
        <w:tc>
          <w:tcPr>
            <w:tcW w:w="1150" w:type="dxa"/>
            <w:tcBorders>
              <w:top w:val="single" w:sz="4" w:space="0" w:color="auto"/>
              <w:bottom w:val="single" w:sz="4" w:space="0" w:color="auto"/>
            </w:tcBorders>
          </w:tcPr>
          <w:p w:rsidR="000C1076" w:rsidRPr="00381F10" w:rsidRDefault="000C1076" w:rsidP="000C1076">
            <w:pPr>
              <w:rPr>
                <w:rFonts w:asciiTheme="majorBidi" w:eastAsiaTheme="minorHAnsi" w:hAnsiTheme="majorBidi" w:cstheme="majorBidi"/>
                <w:b/>
                <w:bCs/>
                <w:sz w:val="24"/>
                <w:szCs w:val="24"/>
              </w:rPr>
            </w:pPr>
            <w:r w:rsidRPr="00381F10">
              <w:rPr>
                <w:rFonts w:asciiTheme="majorBidi" w:eastAsiaTheme="minorHAnsi" w:hAnsiTheme="majorBidi" w:cstheme="majorBidi"/>
                <w:b/>
                <w:bCs/>
                <w:sz w:val="24"/>
                <w:szCs w:val="24"/>
              </w:rPr>
              <w:t>Unit</w:t>
            </w:r>
          </w:p>
        </w:tc>
        <w:tc>
          <w:tcPr>
            <w:tcW w:w="1599" w:type="dxa"/>
            <w:tcBorders>
              <w:top w:val="single" w:sz="4" w:space="0" w:color="auto"/>
              <w:bottom w:val="single" w:sz="4" w:space="0" w:color="auto"/>
            </w:tcBorders>
          </w:tcPr>
          <w:p w:rsidR="000C1076" w:rsidRPr="00381F10" w:rsidRDefault="000C1076" w:rsidP="000C1076">
            <w:pPr>
              <w:rPr>
                <w:rFonts w:asciiTheme="majorBidi" w:eastAsiaTheme="minorHAnsi" w:hAnsiTheme="majorBidi" w:cstheme="majorBidi"/>
                <w:b/>
                <w:bCs/>
                <w:sz w:val="24"/>
                <w:szCs w:val="24"/>
              </w:rPr>
            </w:pPr>
            <w:r w:rsidRPr="00381F10">
              <w:rPr>
                <w:rFonts w:asciiTheme="majorBidi" w:eastAsiaTheme="minorHAnsi" w:hAnsiTheme="majorBidi" w:cstheme="majorBidi"/>
                <w:b/>
                <w:bCs/>
                <w:sz w:val="24"/>
                <w:szCs w:val="24"/>
              </w:rPr>
              <w:t>End product</w:t>
            </w:r>
          </w:p>
        </w:tc>
      </w:tr>
      <w:tr w:rsidR="000C1076" w:rsidRPr="00381F10" w:rsidTr="000C1076">
        <w:trPr>
          <w:trHeight w:val="304"/>
        </w:trPr>
        <w:tc>
          <w:tcPr>
            <w:tcW w:w="5430" w:type="dxa"/>
            <w:tcBorders>
              <w:top w:val="single" w:sz="4" w:space="0" w:color="auto"/>
            </w:tcBorders>
          </w:tcPr>
          <w:p w:rsidR="000C1076" w:rsidRPr="00381F10" w:rsidRDefault="000C1076" w:rsidP="000C1076">
            <w:pPr>
              <w:tabs>
                <w:tab w:val="left" w:pos="1390"/>
              </w:tabs>
              <w:rPr>
                <w:rFonts w:asciiTheme="majorBidi" w:eastAsiaTheme="minorHAnsi" w:hAnsiTheme="majorBidi" w:cstheme="majorBidi"/>
                <w:lang w:val="fr-FR"/>
              </w:rPr>
            </w:pPr>
            <w:r w:rsidRPr="00381F10">
              <w:rPr>
                <w:rFonts w:asciiTheme="majorBidi" w:eastAsiaTheme="minorHAnsi" w:hAnsiTheme="majorBidi" w:cstheme="majorBidi"/>
                <w:lang w:val="fr-FR"/>
              </w:rPr>
              <w:t xml:space="preserve">Dry </w:t>
            </w:r>
            <w:proofErr w:type="spellStart"/>
            <w:r w:rsidRPr="00381F10">
              <w:rPr>
                <w:rFonts w:asciiTheme="majorBidi" w:eastAsiaTheme="minorHAnsi" w:hAnsiTheme="majorBidi" w:cstheme="majorBidi"/>
                <w:lang w:val="fr-FR"/>
              </w:rPr>
              <w:t>matter</w:t>
            </w:r>
            <w:proofErr w:type="spellEnd"/>
          </w:p>
        </w:tc>
        <w:tc>
          <w:tcPr>
            <w:tcW w:w="1150" w:type="dxa"/>
            <w:tcBorders>
              <w:top w:val="single" w:sz="4" w:space="0" w:color="auto"/>
            </w:tcBorders>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g/kg</w:t>
            </w:r>
          </w:p>
        </w:tc>
        <w:tc>
          <w:tcPr>
            <w:tcW w:w="1599" w:type="dxa"/>
            <w:tcBorders>
              <w:top w:val="single" w:sz="4" w:space="0" w:color="auto"/>
            </w:tcBorders>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965.00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Moisture</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35.00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Crude</w:t>
            </w:r>
            <w:proofErr w:type="spellEnd"/>
            <w:r w:rsidRPr="00381F10">
              <w:rPr>
                <w:rFonts w:asciiTheme="majorBidi" w:eastAsiaTheme="minorHAnsi" w:hAnsiTheme="majorBidi" w:cstheme="majorBidi"/>
                <w:lang w:val="fr-FR"/>
              </w:rPr>
              <w:t xml:space="preserve"> </w:t>
            </w:r>
            <w:proofErr w:type="spellStart"/>
            <w:r w:rsidRPr="00381F10">
              <w:rPr>
                <w:rFonts w:asciiTheme="majorBidi" w:eastAsiaTheme="minorHAnsi" w:hAnsiTheme="majorBidi" w:cstheme="majorBidi"/>
                <w:lang w:val="fr-FR"/>
              </w:rPr>
              <w:t>protein</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200.00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Crude</w:t>
            </w:r>
            <w:proofErr w:type="spellEnd"/>
            <w:r w:rsidRPr="00381F10">
              <w:rPr>
                <w:rFonts w:asciiTheme="majorBidi" w:eastAsiaTheme="minorHAnsi" w:hAnsiTheme="majorBidi" w:cstheme="majorBidi"/>
                <w:lang w:val="fr-FR"/>
              </w:rPr>
              <w:t xml:space="preserve"> fat</w:t>
            </w:r>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200.00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Crude</w:t>
            </w:r>
            <w:proofErr w:type="spellEnd"/>
            <w:r w:rsidRPr="00381F10">
              <w:rPr>
                <w:rFonts w:asciiTheme="majorBidi" w:eastAsiaTheme="minorHAnsi" w:hAnsiTheme="majorBidi" w:cstheme="majorBidi"/>
                <w:lang w:val="fr-FR"/>
              </w:rPr>
              <w:t xml:space="preserve"> </w:t>
            </w:r>
            <w:proofErr w:type="spellStart"/>
            <w:r w:rsidRPr="00381F10">
              <w:rPr>
                <w:rFonts w:asciiTheme="majorBidi" w:eastAsiaTheme="minorHAnsi" w:hAnsiTheme="majorBidi" w:cstheme="majorBidi"/>
                <w:lang w:val="fr-FR"/>
              </w:rPr>
              <w:t>ash</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58.00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r w:rsidRPr="00381F10">
              <w:rPr>
                <w:rFonts w:asciiTheme="majorBidi" w:eastAsiaTheme="minorHAnsi" w:hAnsiTheme="majorBidi" w:cstheme="majorBidi"/>
                <w:lang w:val="fr-FR"/>
              </w:rPr>
              <w:t>Lactose</w:t>
            </w:r>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325.00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Crude</w:t>
            </w:r>
            <w:proofErr w:type="spellEnd"/>
            <w:r w:rsidRPr="00381F10">
              <w:rPr>
                <w:rFonts w:asciiTheme="majorBidi" w:eastAsiaTheme="minorHAnsi" w:hAnsiTheme="majorBidi" w:cstheme="majorBidi"/>
                <w:lang w:val="fr-FR"/>
              </w:rPr>
              <w:t xml:space="preserve"> </w:t>
            </w:r>
            <w:proofErr w:type="spellStart"/>
            <w:r w:rsidRPr="00381F10">
              <w:rPr>
                <w:rFonts w:asciiTheme="majorBidi" w:eastAsiaTheme="minorHAnsi" w:hAnsiTheme="majorBidi" w:cstheme="majorBidi"/>
                <w:lang w:val="fr-FR"/>
              </w:rPr>
              <w:t>fiber</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0.10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r w:rsidRPr="00381F10">
              <w:rPr>
                <w:rFonts w:asciiTheme="majorBidi" w:eastAsiaTheme="minorHAnsi" w:hAnsiTheme="majorBidi" w:cstheme="majorBidi"/>
                <w:lang w:val="fr-FR"/>
              </w:rPr>
              <w:t>Lysine</w:t>
            </w:r>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17.00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Methionine</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5.50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Methionine</w:t>
            </w:r>
            <w:proofErr w:type="spellEnd"/>
            <w:r w:rsidRPr="00381F10">
              <w:rPr>
                <w:rFonts w:asciiTheme="majorBidi" w:eastAsiaTheme="minorHAnsi" w:hAnsiTheme="majorBidi" w:cstheme="majorBidi"/>
                <w:lang w:val="fr-FR"/>
              </w:rPr>
              <w:t xml:space="preserve"> + </w:t>
            </w:r>
            <w:proofErr w:type="spellStart"/>
            <w:r w:rsidRPr="00381F10">
              <w:rPr>
                <w:rFonts w:asciiTheme="majorBidi" w:eastAsiaTheme="minorHAnsi" w:hAnsiTheme="majorBidi" w:cstheme="majorBidi"/>
                <w:lang w:val="fr-FR"/>
              </w:rPr>
              <w:t>cysteine</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9.70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Threonine</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10.00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Tryptophan</w:t>
            </w:r>
            <w:proofErr w:type="spellEnd"/>
          </w:p>
        </w:tc>
        <w:tc>
          <w:tcPr>
            <w:tcW w:w="1150" w:type="dxa"/>
          </w:tcPr>
          <w:p w:rsidR="000C1076" w:rsidRPr="00381F10" w:rsidRDefault="000C1076" w:rsidP="000C1076">
            <w:pPr>
              <w:rPr>
                <w:rFonts w:asciiTheme="minorHAnsi" w:eastAsiaTheme="minorHAnsi" w:hAnsiTheme="minorHAnsi" w:cstheme="minorBidi"/>
              </w:rPr>
            </w:pPr>
            <w:r w:rsidRPr="00381F10">
              <w:rPr>
                <w:rFonts w:asciiTheme="majorBidi" w:eastAsiaTheme="minorHAnsi" w:hAnsiTheme="majorBidi" w:cstheme="majorBidi"/>
                <w:lang w:val="fr-FR"/>
              </w:rPr>
              <w:t>g/kg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2.60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r w:rsidRPr="00381F10">
              <w:rPr>
                <w:rFonts w:asciiTheme="majorBidi" w:eastAsiaTheme="minorHAnsi" w:hAnsiTheme="majorBidi" w:cstheme="majorBidi"/>
                <w:lang w:val="fr-FR"/>
              </w:rPr>
              <w:t>Calcium</w:t>
            </w:r>
          </w:p>
        </w:tc>
        <w:tc>
          <w:tcPr>
            <w:tcW w:w="1150" w:type="dxa"/>
          </w:tcPr>
          <w:p w:rsidR="000C1076" w:rsidRPr="00381F10" w:rsidRDefault="002E6500" w:rsidP="000C1076">
            <w:pPr>
              <w:rPr>
                <w:rFonts w:asciiTheme="minorHAnsi" w:eastAsiaTheme="minorHAnsi" w:hAnsiTheme="minorHAnsi" w:cstheme="minorBidi"/>
              </w:rPr>
            </w:pPr>
            <w:r>
              <w:rPr>
                <w:rFonts w:asciiTheme="majorBidi" w:eastAsiaTheme="minorHAnsi" w:hAnsiTheme="majorBidi" w:cstheme="majorBidi"/>
                <w:lang w:val="fr-FR"/>
              </w:rPr>
              <w:t>g/kg</w:t>
            </w:r>
          </w:p>
        </w:tc>
        <w:tc>
          <w:tcPr>
            <w:tcW w:w="1599" w:type="dxa"/>
          </w:tcPr>
          <w:p w:rsidR="000C1076" w:rsidRPr="00381F10" w:rsidRDefault="002E6500" w:rsidP="000C1076">
            <w:pPr>
              <w:rPr>
                <w:rFonts w:asciiTheme="majorBidi" w:eastAsiaTheme="minorHAnsi" w:hAnsiTheme="majorBidi" w:cstheme="majorBidi"/>
                <w:lang w:val="fr-FR"/>
              </w:rPr>
            </w:pPr>
            <w:r>
              <w:rPr>
                <w:rFonts w:asciiTheme="majorBidi" w:eastAsiaTheme="minorHAnsi" w:hAnsiTheme="majorBidi" w:cstheme="majorBidi"/>
                <w:lang w:val="fr-FR"/>
              </w:rPr>
              <w:t>3.50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Phosphorus</w:t>
            </w:r>
            <w:proofErr w:type="spellEnd"/>
          </w:p>
        </w:tc>
        <w:tc>
          <w:tcPr>
            <w:tcW w:w="1150" w:type="dxa"/>
          </w:tcPr>
          <w:p w:rsidR="000C1076" w:rsidRPr="00381F10" w:rsidRDefault="002E6500" w:rsidP="000C1076">
            <w:pPr>
              <w:rPr>
                <w:rFonts w:asciiTheme="minorHAnsi" w:eastAsiaTheme="minorHAnsi" w:hAnsiTheme="minorHAnsi" w:cstheme="minorBidi"/>
              </w:rPr>
            </w:pPr>
            <w:r>
              <w:rPr>
                <w:rFonts w:asciiTheme="majorBidi" w:eastAsiaTheme="minorHAnsi" w:hAnsiTheme="majorBidi" w:cstheme="majorBidi"/>
                <w:lang w:val="fr-FR"/>
              </w:rPr>
              <w:t>g/kg</w:t>
            </w:r>
          </w:p>
        </w:tc>
        <w:tc>
          <w:tcPr>
            <w:tcW w:w="1599" w:type="dxa"/>
          </w:tcPr>
          <w:p w:rsidR="000C1076" w:rsidRPr="00381F10" w:rsidRDefault="002E6500" w:rsidP="000C1076">
            <w:pPr>
              <w:rPr>
                <w:rFonts w:asciiTheme="majorBidi" w:eastAsiaTheme="minorHAnsi" w:hAnsiTheme="majorBidi" w:cstheme="majorBidi"/>
                <w:lang w:val="fr-FR"/>
              </w:rPr>
            </w:pPr>
            <w:r>
              <w:rPr>
                <w:rFonts w:asciiTheme="majorBidi" w:eastAsiaTheme="minorHAnsi" w:hAnsiTheme="majorBidi" w:cstheme="majorBidi"/>
                <w:lang w:val="fr-FR"/>
              </w:rPr>
              <w:t>4.80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r w:rsidRPr="00381F10">
              <w:rPr>
                <w:rFonts w:asciiTheme="majorBidi" w:eastAsiaTheme="minorHAnsi" w:hAnsiTheme="majorBidi" w:cstheme="majorBidi"/>
                <w:lang w:val="fr-FR"/>
              </w:rPr>
              <w:t>Sodium</w:t>
            </w:r>
          </w:p>
        </w:tc>
        <w:tc>
          <w:tcPr>
            <w:tcW w:w="1150" w:type="dxa"/>
          </w:tcPr>
          <w:p w:rsidR="000C1076" w:rsidRPr="00381F10" w:rsidRDefault="002E6500" w:rsidP="000C1076">
            <w:pPr>
              <w:rPr>
                <w:rFonts w:asciiTheme="minorHAnsi" w:eastAsiaTheme="minorHAnsi" w:hAnsiTheme="minorHAnsi" w:cstheme="minorBidi"/>
              </w:rPr>
            </w:pPr>
            <w:r>
              <w:rPr>
                <w:rFonts w:asciiTheme="majorBidi" w:eastAsiaTheme="minorHAnsi" w:hAnsiTheme="majorBidi" w:cstheme="majorBidi"/>
                <w:lang w:val="fr-FR"/>
              </w:rPr>
              <w:t>g/kg</w:t>
            </w:r>
          </w:p>
        </w:tc>
        <w:tc>
          <w:tcPr>
            <w:tcW w:w="1599" w:type="dxa"/>
          </w:tcPr>
          <w:p w:rsidR="000C1076" w:rsidRPr="00381F10" w:rsidRDefault="002E6500" w:rsidP="000C1076">
            <w:pPr>
              <w:rPr>
                <w:rFonts w:asciiTheme="majorBidi" w:eastAsiaTheme="minorHAnsi" w:hAnsiTheme="majorBidi" w:cstheme="majorBidi"/>
                <w:lang w:val="fr-FR"/>
              </w:rPr>
            </w:pPr>
            <w:r>
              <w:rPr>
                <w:rFonts w:asciiTheme="majorBidi" w:eastAsiaTheme="minorHAnsi" w:hAnsiTheme="majorBidi" w:cstheme="majorBidi"/>
                <w:lang w:val="fr-FR"/>
              </w:rPr>
              <w:t>3.80</w:t>
            </w:r>
          </w:p>
        </w:tc>
      </w:tr>
      <w:tr w:rsidR="000C1076" w:rsidRPr="00381F10" w:rsidTr="000C1076">
        <w:trPr>
          <w:trHeight w:val="304"/>
        </w:trPr>
        <w:tc>
          <w:tcPr>
            <w:tcW w:w="5430" w:type="dxa"/>
          </w:tcPr>
          <w:p w:rsidR="000C1076" w:rsidRPr="00381F10" w:rsidRDefault="000C1076" w:rsidP="000C1076">
            <w:pPr>
              <w:tabs>
                <w:tab w:val="left" w:pos="1390"/>
              </w:tabs>
              <w:rPr>
                <w:rFonts w:asciiTheme="majorBidi" w:eastAsiaTheme="minorHAnsi" w:hAnsiTheme="majorBidi" w:cstheme="majorBidi"/>
                <w:lang w:val="fr-FR"/>
              </w:rPr>
            </w:pPr>
            <w:proofErr w:type="spellStart"/>
            <w:r w:rsidRPr="00381F10">
              <w:rPr>
                <w:rFonts w:asciiTheme="majorBidi" w:eastAsiaTheme="minorHAnsi" w:hAnsiTheme="majorBidi" w:cstheme="majorBidi"/>
                <w:lang w:val="fr-FR"/>
              </w:rPr>
              <w:t>Chlorine</w:t>
            </w:r>
            <w:proofErr w:type="spellEnd"/>
          </w:p>
        </w:tc>
        <w:tc>
          <w:tcPr>
            <w:tcW w:w="1150" w:type="dxa"/>
          </w:tcPr>
          <w:p w:rsidR="000C1076" w:rsidRPr="00381F10" w:rsidRDefault="002E6500" w:rsidP="000C1076">
            <w:pPr>
              <w:rPr>
                <w:rFonts w:asciiTheme="minorHAnsi" w:eastAsiaTheme="minorHAnsi" w:hAnsiTheme="minorHAnsi" w:cstheme="minorBidi"/>
              </w:rPr>
            </w:pPr>
            <w:r>
              <w:rPr>
                <w:rFonts w:asciiTheme="majorBidi" w:eastAsiaTheme="minorHAnsi" w:hAnsiTheme="majorBidi" w:cstheme="majorBidi"/>
                <w:lang w:val="fr-FR"/>
              </w:rPr>
              <w:t>g/kg</w:t>
            </w:r>
          </w:p>
        </w:tc>
        <w:tc>
          <w:tcPr>
            <w:tcW w:w="1599" w:type="dxa"/>
          </w:tcPr>
          <w:p w:rsidR="000C1076" w:rsidRPr="00381F10" w:rsidRDefault="002E6500" w:rsidP="000C1076">
            <w:pPr>
              <w:rPr>
                <w:rFonts w:asciiTheme="majorBidi" w:eastAsiaTheme="minorHAnsi" w:hAnsiTheme="majorBidi" w:cstheme="majorBidi"/>
                <w:lang w:val="fr-FR"/>
              </w:rPr>
            </w:pPr>
            <w:r>
              <w:rPr>
                <w:rFonts w:asciiTheme="majorBidi" w:eastAsiaTheme="minorHAnsi" w:hAnsiTheme="majorBidi" w:cstheme="majorBidi"/>
                <w:lang w:val="fr-FR"/>
              </w:rPr>
              <w:t>7.60</w:t>
            </w:r>
          </w:p>
        </w:tc>
      </w:tr>
      <w:tr w:rsidR="000C1076" w:rsidRPr="00381F10" w:rsidTr="000C1076">
        <w:trPr>
          <w:trHeight w:val="304"/>
        </w:trPr>
        <w:tc>
          <w:tcPr>
            <w:tcW w:w="5430" w:type="dxa"/>
          </w:tcPr>
          <w:p w:rsidR="000C1076" w:rsidRPr="002B2102" w:rsidRDefault="000C1076" w:rsidP="000C1076">
            <w:pPr>
              <w:tabs>
                <w:tab w:val="left" w:pos="1390"/>
              </w:tabs>
              <w:rPr>
                <w:rFonts w:asciiTheme="majorBidi" w:eastAsiaTheme="minorHAnsi" w:hAnsiTheme="majorBidi" w:cstheme="majorBidi"/>
                <w:lang w:val="fr-FR"/>
              </w:rPr>
            </w:pPr>
            <w:r w:rsidRPr="002B2102">
              <w:rPr>
                <w:rFonts w:asciiTheme="majorBidi" w:eastAsiaTheme="minorHAnsi" w:hAnsiTheme="majorBidi" w:cstheme="majorBidi"/>
                <w:lang w:val="fr-FR"/>
              </w:rPr>
              <w:t>Potassium</w:t>
            </w:r>
          </w:p>
        </w:tc>
        <w:tc>
          <w:tcPr>
            <w:tcW w:w="1150" w:type="dxa"/>
          </w:tcPr>
          <w:p w:rsidR="000C1076" w:rsidRPr="002B2102" w:rsidRDefault="002E6500" w:rsidP="000C1076">
            <w:pPr>
              <w:rPr>
                <w:rFonts w:asciiTheme="minorHAnsi" w:eastAsiaTheme="minorHAnsi" w:hAnsiTheme="minorHAnsi" w:cstheme="minorBidi"/>
              </w:rPr>
            </w:pPr>
            <w:r>
              <w:rPr>
                <w:rFonts w:asciiTheme="majorBidi" w:eastAsiaTheme="minorHAnsi" w:hAnsiTheme="majorBidi" w:cstheme="majorBidi"/>
                <w:lang w:val="fr-FR"/>
              </w:rPr>
              <w:t>g/kg</w:t>
            </w:r>
          </w:p>
        </w:tc>
        <w:tc>
          <w:tcPr>
            <w:tcW w:w="1599" w:type="dxa"/>
          </w:tcPr>
          <w:p w:rsidR="000C1076" w:rsidRPr="002B2102" w:rsidRDefault="002E6500" w:rsidP="000C1076">
            <w:pPr>
              <w:rPr>
                <w:rFonts w:asciiTheme="majorBidi" w:eastAsiaTheme="minorHAnsi" w:hAnsiTheme="majorBidi" w:cstheme="majorBidi"/>
                <w:lang w:val="fr-FR"/>
              </w:rPr>
            </w:pPr>
            <w:r>
              <w:rPr>
                <w:rFonts w:asciiTheme="majorBidi" w:eastAsiaTheme="minorHAnsi" w:hAnsiTheme="majorBidi" w:cstheme="majorBidi"/>
                <w:lang w:val="fr-FR"/>
              </w:rPr>
              <w:t>13.00</w:t>
            </w:r>
          </w:p>
        </w:tc>
      </w:tr>
      <w:tr w:rsidR="000C1076" w:rsidRPr="00381F10" w:rsidTr="000C1076">
        <w:trPr>
          <w:trHeight w:val="304"/>
        </w:trPr>
        <w:tc>
          <w:tcPr>
            <w:tcW w:w="5430" w:type="dxa"/>
          </w:tcPr>
          <w:p w:rsidR="000C1076" w:rsidRPr="002B2102" w:rsidRDefault="000C1076" w:rsidP="000C1076">
            <w:pPr>
              <w:tabs>
                <w:tab w:val="left" w:pos="1390"/>
              </w:tabs>
              <w:rPr>
                <w:rFonts w:asciiTheme="majorBidi" w:eastAsiaTheme="minorHAnsi" w:hAnsiTheme="majorBidi" w:cstheme="majorBidi"/>
                <w:lang w:val="fr-FR"/>
              </w:rPr>
            </w:pPr>
            <w:proofErr w:type="spellStart"/>
            <w:r w:rsidRPr="002B2102">
              <w:rPr>
                <w:rFonts w:asciiTheme="majorBidi" w:eastAsiaTheme="minorHAnsi" w:hAnsiTheme="majorBidi" w:cstheme="majorBidi"/>
                <w:lang w:val="fr-FR"/>
              </w:rPr>
              <w:t>Na+K-Cl</w:t>
            </w:r>
            <w:proofErr w:type="spellEnd"/>
          </w:p>
        </w:tc>
        <w:tc>
          <w:tcPr>
            <w:tcW w:w="1150" w:type="dxa"/>
          </w:tcPr>
          <w:p w:rsidR="000C1076" w:rsidRPr="002B2102" w:rsidRDefault="000C1076" w:rsidP="000C1076">
            <w:pPr>
              <w:rPr>
                <w:rFonts w:asciiTheme="minorHAnsi" w:eastAsiaTheme="minorHAnsi" w:hAnsiTheme="minorHAnsi" w:cstheme="minorBidi"/>
              </w:rPr>
            </w:pPr>
            <w:proofErr w:type="spellStart"/>
            <w:r w:rsidRPr="002B2102">
              <w:rPr>
                <w:rFonts w:asciiTheme="majorBidi" w:eastAsiaTheme="minorHAnsi" w:hAnsiTheme="majorBidi" w:cstheme="majorBidi"/>
                <w:lang w:val="fr-FR"/>
              </w:rPr>
              <w:t>meq</w:t>
            </w:r>
            <w:proofErr w:type="spellEnd"/>
            <w:r w:rsidRPr="002B2102">
              <w:rPr>
                <w:rFonts w:asciiTheme="majorBidi" w:eastAsiaTheme="minorHAnsi" w:hAnsiTheme="majorBidi" w:cstheme="majorBidi"/>
                <w:lang w:val="fr-FR"/>
              </w:rPr>
              <w:t>/kg</w:t>
            </w:r>
          </w:p>
        </w:tc>
        <w:tc>
          <w:tcPr>
            <w:tcW w:w="1599" w:type="dxa"/>
          </w:tcPr>
          <w:p w:rsidR="000C1076" w:rsidRPr="002B2102" w:rsidRDefault="000C1076" w:rsidP="000C1076">
            <w:pPr>
              <w:rPr>
                <w:rFonts w:asciiTheme="majorBidi" w:eastAsiaTheme="minorHAnsi" w:hAnsiTheme="majorBidi" w:cstheme="majorBidi"/>
                <w:lang w:val="fr-FR"/>
              </w:rPr>
            </w:pPr>
            <w:r w:rsidRPr="002B2102">
              <w:rPr>
                <w:rFonts w:asciiTheme="majorBidi" w:eastAsiaTheme="minorHAnsi" w:hAnsiTheme="majorBidi" w:cstheme="majorBidi"/>
                <w:lang w:val="fr-FR"/>
              </w:rPr>
              <w:t>284.00</w:t>
            </w:r>
          </w:p>
        </w:tc>
      </w:tr>
      <w:tr w:rsidR="000C1076" w:rsidRPr="00381F10" w:rsidTr="000C1076">
        <w:trPr>
          <w:trHeight w:val="304"/>
        </w:trPr>
        <w:tc>
          <w:tcPr>
            <w:tcW w:w="5430" w:type="dxa"/>
          </w:tcPr>
          <w:p w:rsidR="000C1076" w:rsidRPr="002B2102" w:rsidRDefault="000C1076" w:rsidP="000C1076">
            <w:pPr>
              <w:rPr>
                <w:rFonts w:asciiTheme="majorBidi" w:eastAsiaTheme="minorHAnsi" w:hAnsiTheme="majorBidi" w:cstheme="majorBidi"/>
                <w:i/>
                <w:iCs/>
              </w:rPr>
            </w:pPr>
            <w:r w:rsidRPr="002B2102">
              <w:rPr>
                <w:rFonts w:asciiTheme="majorBidi" w:eastAsiaTheme="minorHAnsi" w:hAnsiTheme="majorBidi" w:cstheme="majorBidi"/>
                <w:i/>
                <w:iCs/>
              </w:rPr>
              <w:t>Vitamin A</w:t>
            </w:r>
          </w:p>
        </w:tc>
        <w:tc>
          <w:tcPr>
            <w:tcW w:w="1150" w:type="dxa"/>
          </w:tcPr>
          <w:p w:rsidR="000C1076" w:rsidRPr="002B2102" w:rsidRDefault="000C1076" w:rsidP="000C1076">
            <w:pPr>
              <w:rPr>
                <w:rFonts w:asciiTheme="majorBidi" w:eastAsiaTheme="minorHAnsi" w:hAnsiTheme="majorBidi" w:cstheme="majorBidi"/>
              </w:rPr>
            </w:pPr>
            <w:r w:rsidRPr="002B2102">
              <w:rPr>
                <w:rFonts w:asciiTheme="majorBidi" w:eastAsiaTheme="minorHAnsi" w:hAnsiTheme="majorBidi" w:cstheme="majorBidi"/>
              </w:rPr>
              <w:t>mg/kg</w:t>
            </w:r>
          </w:p>
        </w:tc>
        <w:tc>
          <w:tcPr>
            <w:tcW w:w="1599" w:type="dxa"/>
          </w:tcPr>
          <w:p w:rsidR="000C1076" w:rsidRPr="002B2102" w:rsidRDefault="000C1076" w:rsidP="000C1076">
            <w:pPr>
              <w:rPr>
                <w:rFonts w:asciiTheme="majorBidi" w:eastAsiaTheme="minorHAnsi" w:hAnsiTheme="majorBidi" w:cstheme="majorBidi"/>
              </w:rPr>
            </w:pPr>
            <w:r w:rsidRPr="002B2102">
              <w:rPr>
                <w:rFonts w:asciiTheme="majorBidi" w:eastAsiaTheme="minorHAnsi" w:hAnsiTheme="majorBidi" w:cstheme="majorBidi"/>
              </w:rPr>
              <w:t>12.00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i/>
                <w:iCs/>
              </w:rPr>
            </w:pPr>
            <w:r w:rsidRPr="004B127C">
              <w:rPr>
                <w:rFonts w:asciiTheme="majorBidi" w:eastAsiaTheme="minorHAnsi" w:hAnsiTheme="majorBidi" w:cstheme="majorBidi"/>
                <w:i/>
                <w:iCs/>
              </w:rPr>
              <w:t>Vitamin D3</w:t>
            </w:r>
          </w:p>
        </w:tc>
        <w:tc>
          <w:tcPr>
            <w:tcW w:w="1150" w:type="dxa"/>
          </w:tcPr>
          <w:p w:rsidR="000C1076" w:rsidRPr="004B127C" w:rsidRDefault="000C1076" w:rsidP="000C1076">
            <w:pPr>
              <w:rPr>
                <w:rFonts w:asciiTheme="majorBidi" w:eastAsiaTheme="minorHAnsi" w:hAnsiTheme="majorBidi" w:cstheme="majorBidi"/>
              </w:rPr>
            </w:pPr>
            <w:r w:rsidRPr="004B127C">
              <w:rPr>
                <w:rFonts w:asciiTheme="majorBidi" w:eastAsiaTheme="minorHAnsi" w:hAnsiTheme="majorBidi" w:cstheme="majorBidi"/>
              </w:rPr>
              <w:t>mg/kg</w:t>
            </w:r>
          </w:p>
        </w:tc>
        <w:tc>
          <w:tcPr>
            <w:tcW w:w="1599" w:type="dxa"/>
          </w:tcPr>
          <w:p w:rsidR="000C1076" w:rsidRPr="004B127C" w:rsidRDefault="000C1076" w:rsidP="000C1076">
            <w:pPr>
              <w:rPr>
                <w:rFonts w:asciiTheme="majorBidi" w:eastAsiaTheme="minorHAnsi" w:hAnsiTheme="majorBidi" w:cstheme="majorBidi"/>
              </w:rPr>
            </w:pPr>
            <w:r w:rsidRPr="004B127C">
              <w:rPr>
                <w:rFonts w:asciiTheme="majorBidi" w:eastAsiaTheme="minorHAnsi" w:hAnsiTheme="majorBidi" w:cstheme="majorBidi"/>
              </w:rPr>
              <w:t>0.125</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es-ES"/>
              </w:rPr>
            </w:pPr>
            <w:proofErr w:type="spellStart"/>
            <w:r w:rsidRPr="004B127C">
              <w:rPr>
                <w:rFonts w:asciiTheme="majorBidi" w:eastAsiaTheme="minorHAnsi" w:hAnsiTheme="majorBidi" w:cstheme="majorBidi"/>
                <w:i/>
                <w:iCs/>
                <w:lang w:val="es-ES"/>
              </w:rPr>
              <w:t>Vitamin</w:t>
            </w:r>
            <w:proofErr w:type="spellEnd"/>
            <w:r w:rsidRPr="004B127C">
              <w:rPr>
                <w:rFonts w:asciiTheme="majorBidi" w:eastAsiaTheme="minorHAnsi" w:hAnsiTheme="majorBidi" w:cstheme="majorBidi"/>
                <w:i/>
                <w:iCs/>
                <w:lang w:val="es-ES"/>
              </w:rPr>
              <w:t xml:space="preserve"> E</w:t>
            </w:r>
            <w:r w:rsidRPr="004B127C">
              <w:rPr>
                <w:rFonts w:asciiTheme="majorBidi" w:eastAsiaTheme="minorHAnsi" w:hAnsiTheme="majorBidi" w:cstheme="majorBidi"/>
                <w:lang w:val="es-ES"/>
              </w:rPr>
              <w:t xml:space="preserve"> (</w:t>
            </w:r>
            <w:proofErr w:type="spellStart"/>
            <w:r w:rsidRPr="004B127C">
              <w:rPr>
                <w:rFonts w:asciiTheme="majorBidi" w:eastAsiaTheme="minorHAnsi" w:hAnsiTheme="majorBidi" w:cstheme="majorBidi"/>
                <w:lang w:val="es-ES"/>
              </w:rPr>
              <w:t>all-rac-alpha-tocopherylacetate</w:t>
            </w:r>
            <w:proofErr w:type="spellEnd"/>
            <w:r w:rsidRPr="004B127C">
              <w:rPr>
                <w:rFonts w:asciiTheme="majorBidi" w:eastAsiaTheme="minorHAnsi" w:hAnsiTheme="majorBidi" w:cstheme="majorBidi"/>
                <w:lang w:val="es-ES"/>
              </w:rPr>
              <w:t>)</w:t>
            </w:r>
          </w:p>
        </w:tc>
        <w:tc>
          <w:tcPr>
            <w:tcW w:w="1150"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mg/kg</w:t>
            </w:r>
          </w:p>
        </w:tc>
        <w:tc>
          <w:tcPr>
            <w:tcW w:w="1599"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300.00</w:t>
            </w:r>
          </w:p>
        </w:tc>
      </w:tr>
      <w:tr w:rsidR="000C1076" w:rsidRPr="00381F10" w:rsidTr="000C1076">
        <w:trPr>
          <w:trHeight w:val="320"/>
        </w:trPr>
        <w:tc>
          <w:tcPr>
            <w:tcW w:w="5430" w:type="dxa"/>
          </w:tcPr>
          <w:p w:rsidR="000C1076" w:rsidRPr="004B127C" w:rsidRDefault="000C1076" w:rsidP="000C1076">
            <w:pPr>
              <w:rPr>
                <w:rFonts w:asciiTheme="majorBidi" w:eastAsiaTheme="minorHAnsi" w:hAnsiTheme="majorBidi" w:cstheme="majorBidi"/>
                <w:lang w:val="es-ES"/>
              </w:rPr>
            </w:pPr>
            <w:proofErr w:type="spellStart"/>
            <w:r w:rsidRPr="004B127C">
              <w:rPr>
                <w:rFonts w:asciiTheme="majorBidi" w:eastAsiaTheme="minorHAnsi" w:hAnsiTheme="majorBidi" w:cstheme="majorBidi"/>
                <w:lang w:val="es-ES"/>
              </w:rPr>
              <w:t>Potassiumiodide</w:t>
            </w:r>
            <w:proofErr w:type="spellEnd"/>
            <w:r w:rsidRPr="004B127C">
              <w:rPr>
                <w:rFonts w:asciiTheme="majorBidi" w:eastAsiaTheme="minorHAnsi" w:hAnsiTheme="majorBidi" w:cstheme="majorBidi"/>
                <w:lang w:val="es-ES"/>
              </w:rPr>
              <w:t xml:space="preserve">, </w:t>
            </w:r>
            <w:proofErr w:type="spellStart"/>
            <w:r w:rsidRPr="004B127C">
              <w:rPr>
                <w:rFonts w:asciiTheme="majorBidi" w:eastAsiaTheme="minorHAnsi" w:hAnsiTheme="majorBidi" w:cstheme="majorBidi"/>
                <w:lang w:val="es-ES"/>
              </w:rPr>
              <w:t>iodine</w:t>
            </w:r>
            <w:proofErr w:type="spellEnd"/>
          </w:p>
        </w:tc>
        <w:tc>
          <w:tcPr>
            <w:tcW w:w="1150"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mg/kg</w:t>
            </w:r>
          </w:p>
        </w:tc>
        <w:tc>
          <w:tcPr>
            <w:tcW w:w="1599"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1.00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es-ES"/>
              </w:rPr>
            </w:pPr>
            <w:proofErr w:type="spellStart"/>
            <w:r w:rsidRPr="004B127C">
              <w:rPr>
                <w:rFonts w:asciiTheme="majorBidi" w:eastAsiaTheme="minorHAnsi" w:hAnsiTheme="majorBidi" w:cstheme="majorBidi"/>
                <w:lang w:val="es-ES"/>
              </w:rPr>
              <w:t>Sodiumselenite</w:t>
            </w:r>
            <w:proofErr w:type="spellEnd"/>
            <w:r w:rsidRPr="004B127C">
              <w:rPr>
                <w:rFonts w:asciiTheme="majorBidi" w:eastAsiaTheme="minorHAnsi" w:hAnsiTheme="majorBidi" w:cstheme="majorBidi"/>
                <w:lang w:val="es-ES"/>
              </w:rPr>
              <w:t xml:space="preserve">, </w:t>
            </w:r>
            <w:proofErr w:type="spellStart"/>
            <w:r w:rsidRPr="004B127C">
              <w:rPr>
                <w:rFonts w:asciiTheme="majorBidi" w:eastAsiaTheme="minorHAnsi" w:hAnsiTheme="majorBidi" w:cstheme="majorBidi"/>
                <w:lang w:val="es-ES"/>
              </w:rPr>
              <w:t>selenium</w:t>
            </w:r>
            <w:proofErr w:type="spellEnd"/>
          </w:p>
        </w:tc>
        <w:tc>
          <w:tcPr>
            <w:tcW w:w="1150"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mg/kg</w:t>
            </w:r>
          </w:p>
        </w:tc>
        <w:tc>
          <w:tcPr>
            <w:tcW w:w="1599"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0.30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es-ES"/>
              </w:rPr>
            </w:pPr>
            <w:proofErr w:type="spellStart"/>
            <w:r w:rsidRPr="004B127C">
              <w:rPr>
                <w:rFonts w:asciiTheme="majorBidi" w:eastAsiaTheme="minorHAnsi" w:hAnsiTheme="majorBidi" w:cstheme="majorBidi"/>
                <w:lang w:val="es-ES"/>
              </w:rPr>
              <w:t>Copper</w:t>
            </w:r>
            <w:proofErr w:type="spellEnd"/>
            <w:r w:rsidRPr="004B127C">
              <w:rPr>
                <w:rFonts w:asciiTheme="majorBidi" w:eastAsiaTheme="minorHAnsi" w:hAnsiTheme="majorBidi" w:cstheme="majorBidi"/>
                <w:lang w:val="es-ES"/>
              </w:rPr>
              <w:t xml:space="preserve">(II)sulfate, </w:t>
            </w:r>
            <w:proofErr w:type="spellStart"/>
            <w:r w:rsidRPr="004B127C">
              <w:rPr>
                <w:rFonts w:asciiTheme="majorBidi" w:eastAsiaTheme="minorHAnsi" w:hAnsiTheme="majorBidi" w:cstheme="majorBidi"/>
                <w:lang w:val="es-ES"/>
              </w:rPr>
              <w:t>pentahydrate</w:t>
            </w:r>
            <w:proofErr w:type="spellEnd"/>
            <w:r w:rsidRPr="004B127C">
              <w:rPr>
                <w:rFonts w:asciiTheme="majorBidi" w:eastAsiaTheme="minorHAnsi" w:hAnsiTheme="majorBidi" w:cstheme="majorBidi"/>
                <w:lang w:val="es-ES"/>
              </w:rPr>
              <w:t xml:space="preserve">, </w:t>
            </w:r>
            <w:proofErr w:type="spellStart"/>
            <w:r w:rsidRPr="004B127C">
              <w:rPr>
                <w:rFonts w:asciiTheme="majorBidi" w:eastAsiaTheme="minorHAnsi" w:hAnsiTheme="majorBidi" w:cstheme="majorBidi"/>
                <w:lang w:val="es-ES"/>
              </w:rPr>
              <w:t>Copper</w:t>
            </w:r>
            <w:proofErr w:type="spellEnd"/>
          </w:p>
        </w:tc>
        <w:tc>
          <w:tcPr>
            <w:tcW w:w="1150"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mg/kg</w:t>
            </w:r>
          </w:p>
        </w:tc>
        <w:tc>
          <w:tcPr>
            <w:tcW w:w="1599" w:type="dxa"/>
          </w:tcPr>
          <w:p w:rsidR="000C1076" w:rsidRPr="004B127C" w:rsidRDefault="000C1076" w:rsidP="000C1076">
            <w:pPr>
              <w:rPr>
                <w:rFonts w:asciiTheme="majorBidi" w:eastAsiaTheme="minorHAnsi" w:hAnsiTheme="majorBidi" w:cstheme="majorBidi"/>
                <w:lang w:val="es-ES"/>
              </w:rPr>
            </w:pPr>
            <w:r w:rsidRPr="004B127C">
              <w:rPr>
                <w:rFonts w:asciiTheme="majorBidi" w:eastAsiaTheme="minorHAnsi" w:hAnsiTheme="majorBidi" w:cstheme="majorBidi"/>
                <w:lang w:val="es-ES"/>
              </w:rPr>
              <w:t>140.00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de-DE"/>
              </w:rPr>
            </w:pPr>
            <w:proofErr w:type="spellStart"/>
            <w:r w:rsidRPr="004B127C">
              <w:rPr>
                <w:rFonts w:asciiTheme="majorBidi" w:eastAsiaTheme="minorHAnsi" w:hAnsiTheme="majorBidi" w:cstheme="majorBidi"/>
                <w:lang w:val="de-DE"/>
              </w:rPr>
              <w:t>Manganese</w:t>
            </w:r>
            <w:proofErr w:type="spellEnd"/>
            <w:r w:rsidRPr="004B127C">
              <w:rPr>
                <w:rFonts w:asciiTheme="majorBidi" w:eastAsiaTheme="minorHAnsi" w:hAnsiTheme="majorBidi" w:cstheme="majorBidi"/>
                <w:lang w:val="de-DE"/>
              </w:rPr>
              <w:t>(II)</w:t>
            </w:r>
            <w:proofErr w:type="spellStart"/>
            <w:r w:rsidRPr="004B127C">
              <w:rPr>
                <w:rFonts w:asciiTheme="majorBidi" w:eastAsiaTheme="minorHAnsi" w:hAnsiTheme="majorBidi" w:cstheme="majorBidi"/>
                <w:lang w:val="de-DE"/>
              </w:rPr>
              <w:t>sulfate</w:t>
            </w:r>
            <w:proofErr w:type="spellEnd"/>
            <w:r w:rsidRPr="004B127C">
              <w:rPr>
                <w:rFonts w:asciiTheme="majorBidi" w:eastAsiaTheme="minorHAnsi" w:hAnsiTheme="majorBidi" w:cstheme="majorBidi"/>
                <w:lang w:val="de-DE"/>
              </w:rPr>
              <w:t xml:space="preserve">, </w:t>
            </w:r>
            <w:proofErr w:type="spellStart"/>
            <w:r w:rsidRPr="004B127C">
              <w:rPr>
                <w:rFonts w:asciiTheme="majorBidi" w:eastAsiaTheme="minorHAnsi" w:hAnsiTheme="majorBidi" w:cstheme="majorBidi"/>
                <w:lang w:val="de-DE"/>
              </w:rPr>
              <w:t>monohydrate</w:t>
            </w:r>
            <w:proofErr w:type="spellEnd"/>
            <w:r w:rsidRPr="004B127C">
              <w:rPr>
                <w:rFonts w:asciiTheme="majorBidi" w:eastAsiaTheme="minorHAnsi" w:hAnsiTheme="majorBidi" w:cstheme="majorBidi"/>
                <w:lang w:val="de-DE"/>
              </w:rPr>
              <w:t xml:space="preserve">, </w:t>
            </w:r>
            <w:proofErr w:type="spellStart"/>
            <w:r w:rsidRPr="004B127C">
              <w:rPr>
                <w:rFonts w:asciiTheme="majorBidi" w:eastAsiaTheme="minorHAnsi" w:hAnsiTheme="majorBidi" w:cstheme="majorBidi"/>
                <w:lang w:val="de-DE"/>
              </w:rPr>
              <w:t>Manganese</w:t>
            </w:r>
            <w:proofErr w:type="spellEnd"/>
          </w:p>
        </w:tc>
        <w:tc>
          <w:tcPr>
            <w:tcW w:w="115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mg/kg</w:t>
            </w:r>
          </w:p>
        </w:tc>
        <w:tc>
          <w:tcPr>
            <w:tcW w:w="1599"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45.00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de-DE"/>
              </w:rPr>
            </w:pPr>
            <w:proofErr w:type="spellStart"/>
            <w:r w:rsidRPr="004B127C">
              <w:rPr>
                <w:rFonts w:asciiTheme="majorBidi" w:eastAsiaTheme="minorHAnsi" w:hAnsiTheme="majorBidi" w:cstheme="majorBidi"/>
                <w:lang w:val="de-DE"/>
              </w:rPr>
              <w:t>Zincsulfate</w:t>
            </w:r>
            <w:proofErr w:type="spellEnd"/>
            <w:r w:rsidRPr="004B127C">
              <w:rPr>
                <w:rFonts w:asciiTheme="majorBidi" w:eastAsiaTheme="minorHAnsi" w:hAnsiTheme="majorBidi" w:cstheme="majorBidi"/>
                <w:lang w:val="de-DE"/>
              </w:rPr>
              <w:t xml:space="preserve">, </w:t>
            </w:r>
            <w:proofErr w:type="spellStart"/>
            <w:r w:rsidRPr="004B127C">
              <w:rPr>
                <w:rFonts w:asciiTheme="majorBidi" w:eastAsiaTheme="minorHAnsi" w:hAnsiTheme="majorBidi" w:cstheme="majorBidi"/>
                <w:lang w:val="de-DE"/>
              </w:rPr>
              <w:t>monohydrate</w:t>
            </w:r>
            <w:proofErr w:type="spellEnd"/>
            <w:r w:rsidRPr="004B127C">
              <w:rPr>
                <w:rFonts w:asciiTheme="majorBidi" w:eastAsiaTheme="minorHAnsi" w:hAnsiTheme="majorBidi" w:cstheme="majorBidi"/>
                <w:lang w:val="de-DE"/>
              </w:rPr>
              <w:t xml:space="preserve">, </w:t>
            </w:r>
            <w:proofErr w:type="spellStart"/>
            <w:r w:rsidRPr="004B127C">
              <w:rPr>
                <w:rFonts w:asciiTheme="majorBidi" w:eastAsiaTheme="minorHAnsi" w:hAnsiTheme="majorBidi" w:cstheme="majorBidi"/>
                <w:lang w:val="de-DE"/>
              </w:rPr>
              <w:t>Zinc</w:t>
            </w:r>
            <w:proofErr w:type="spellEnd"/>
          </w:p>
        </w:tc>
        <w:tc>
          <w:tcPr>
            <w:tcW w:w="115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mg/kg</w:t>
            </w:r>
          </w:p>
        </w:tc>
        <w:tc>
          <w:tcPr>
            <w:tcW w:w="1599"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84.00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Iron(II)</w:t>
            </w:r>
            <w:proofErr w:type="spellStart"/>
            <w:r w:rsidRPr="004B127C">
              <w:rPr>
                <w:rFonts w:asciiTheme="majorBidi" w:eastAsiaTheme="minorHAnsi" w:hAnsiTheme="majorBidi" w:cstheme="majorBidi"/>
                <w:lang w:val="de-DE"/>
              </w:rPr>
              <w:t>sulfate</w:t>
            </w:r>
            <w:proofErr w:type="spellEnd"/>
            <w:r w:rsidRPr="004B127C">
              <w:rPr>
                <w:rFonts w:asciiTheme="majorBidi" w:eastAsiaTheme="minorHAnsi" w:hAnsiTheme="majorBidi" w:cstheme="majorBidi"/>
                <w:lang w:val="de-DE"/>
              </w:rPr>
              <w:t xml:space="preserve">, </w:t>
            </w:r>
            <w:proofErr w:type="spellStart"/>
            <w:r w:rsidRPr="004B127C">
              <w:rPr>
                <w:rFonts w:asciiTheme="majorBidi" w:eastAsiaTheme="minorHAnsi" w:hAnsiTheme="majorBidi" w:cstheme="majorBidi"/>
                <w:lang w:val="de-DE"/>
              </w:rPr>
              <w:t>monohydrate</w:t>
            </w:r>
            <w:proofErr w:type="spellEnd"/>
            <w:r w:rsidRPr="004B127C">
              <w:rPr>
                <w:rFonts w:asciiTheme="majorBidi" w:eastAsiaTheme="minorHAnsi" w:hAnsiTheme="majorBidi" w:cstheme="majorBidi"/>
                <w:lang w:val="de-DE"/>
              </w:rPr>
              <w:t>, Iron</w:t>
            </w:r>
          </w:p>
        </w:tc>
        <w:tc>
          <w:tcPr>
            <w:tcW w:w="115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mg/kg</w:t>
            </w:r>
          </w:p>
        </w:tc>
        <w:tc>
          <w:tcPr>
            <w:tcW w:w="1599"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80.00</w:t>
            </w:r>
          </w:p>
        </w:tc>
      </w:tr>
      <w:tr w:rsidR="000C1076" w:rsidRPr="00381F10" w:rsidTr="000C1076">
        <w:trPr>
          <w:trHeight w:val="320"/>
        </w:trPr>
        <w:tc>
          <w:tcPr>
            <w:tcW w:w="5430" w:type="dxa"/>
          </w:tcPr>
          <w:p w:rsidR="000C1076" w:rsidRPr="004B127C" w:rsidRDefault="000C1076" w:rsidP="000C1076">
            <w:pPr>
              <w:rPr>
                <w:rFonts w:asciiTheme="majorBidi" w:eastAsiaTheme="minorHAnsi" w:hAnsiTheme="majorBidi" w:cstheme="majorBidi"/>
                <w:lang w:val="de-DE"/>
              </w:rPr>
            </w:pPr>
            <w:proofErr w:type="spellStart"/>
            <w:r w:rsidRPr="004B127C">
              <w:rPr>
                <w:rFonts w:asciiTheme="majorBidi" w:eastAsiaTheme="minorHAnsi" w:hAnsiTheme="majorBidi" w:cstheme="majorBidi"/>
                <w:lang w:val="de-DE"/>
              </w:rPr>
              <w:t>Butylatedhydroxyanisole</w:t>
            </w:r>
            <w:proofErr w:type="spellEnd"/>
            <w:r w:rsidRPr="004B127C">
              <w:rPr>
                <w:rFonts w:asciiTheme="majorBidi" w:eastAsiaTheme="minorHAnsi" w:hAnsiTheme="majorBidi" w:cstheme="majorBidi"/>
                <w:lang w:val="de-DE"/>
              </w:rPr>
              <w:t xml:space="preserve"> (BHA)</w:t>
            </w:r>
          </w:p>
        </w:tc>
        <w:tc>
          <w:tcPr>
            <w:tcW w:w="115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mg/kg</w:t>
            </w:r>
          </w:p>
        </w:tc>
        <w:tc>
          <w:tcPr>
            <w:tcW w:w="1599"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3.00</w:t>
            </w:r>
          </w:p>
        </w:tc>
      </w:tr>
      <w:tr w:rsidR="000C1076" w:rsidRPr="00381F10" w:rsidTr="000C1076">
        <w:trPr>
          <w:trHeight w:val="304"/>
        </w:trPr>
        <w:tc>
          <w:tcPr>
            <w:tcW w:w="5430" w:type="dxa"/>
          </w:tcPr>
          <w:p w:rsidR="000C1076" w:rsidRPr="004B127C" w:rsidRDefault="000C1076" w:rsidP="000C1076">
            <w:pPr>
              <w:rPr>
                <w:rFonts w:asciiTheme="majorBidi" w:eastAsiaTheme="minorHAnsi" w:hAnsiTheme="majorBidi" w:cstheme="majorBidi"/>
                <w:lang w:val="de-DE"/>
              </w:rPr>
            </w:pPr>
            <w:proofErr w:type="spellStart"/>
            <w:r w:rsidRPr="004B127C">
              <w:rPr>
                <w:rFonts w:asciiTheme="majorBidi" w:eastAsiaTheme="minorHAnsi" w:hAnsiTheme="majorBidi" w:cstheme="majorBidi"/>
                <w:lang w:val="de-DE"/>
              </w:rPr>
              <w:t>Propylgallate</w:t>
            </w:r>
            <w:proofErr w:type="spellEnd"/>
          </w:p>
        </w:tc>
        <w:tc>
          <w:tcPr>
            <w:tcW w:w="1150"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mg/kg</w:t>
            </w:r>
          </w:p>
        </w:tc>
        <w:tc>
          <w:tcPr>
            <w:tcW w:w="1599" w:type="dxa"/>
          </w:tcPr>
          <w:p w:rsidR="000C1076" w:rsidRPr="004B127C" w:rsidRDefault="000C1076" w:rsidP="000C1076">
            <w:pPr>
              <w:rPr>
                <w:rFonts w:asciiTheme="majorBidi" w:eastAsiaTheme="minorHAnsi" w:hAnsiTheme="majorBidi" w:cstheme="majorBidi"/>
                <w:lang w:val="de-DE"/>
              </w:rPr>
            </w:pPr>
            <w:r w:rsidRPr="004B127C">
              <w:rPr>
                <w:rFonts w:asciiTheme="majorBidi" w:eastAsiaTheme="minorHAnsi" w:hAnsiTheme="majorBidi" w:cstheme="majorBidi"/>
                <w:lang w:val="de-DE"/>
              </w:rPr>
              <w:t>1.00</w:t>
            </w:r>
          </w:p>
        </w:tc>
      </w:tr>
      <w:tr w:rsidR="000C1076" w:rsidRPr="00381F10" w:rsidTr="000C1076">
        <w:trPr>
          <w:trHeight w:val="304"/>
        </w:trPr>
        <w:tc>
          <w:tcPr>
            <w:tcW w:w="5430"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 xml:space="preserve">Bacillus </w:t>
            </w:r>
            <w:proofErr w:type="spellStart"/>
            <w:r w:rsidRPr="00381F10">
              <w:rPr>
                <w:rFonts w:asciiTheme="majorBidi" w:eastAsiaTheme="minorHAnsi" w:hAnsiTheme="majorBidi" w:cstheme="majorBidi"/>
                <w:lang w:val="fr-FR"/>
              </w:rPr>
              <w:t>licheniformis</w:t>
            </w:r>
            <w:proofErr w:type="spellEnd"/>
            <w:r w:rsidRPr="00381F10">
              <w:rPr>
                <w:rFonts w:asciiTheme="majorBidi" w:eastAsiaTheme="minorHAnsi" w:hAnsiTheme="majorBidi" w:cstheme="majorBidi"/>
                <w:lang w:val="fr-FR"/>
              </w:rPr>
              <w:t xml:space="preserve"> + Bacillus </w:t>
            </w:r>
            <w:proofErr w:type="spellStart"/>
            <w:r w:rsidRPr="00381F10">
              <w:rPr>
                <w:rFonts w:asciiTheme="majorBidi" w:eastAsiaTheme="minorHAnsi" w:hAnsiTheme="majorBidi" w:cstheme="majorBidi"/>
                <w:lang w:val="fr-FR"/>
              </w:rPr>
              <w:t>subtilis</w:t>
            </w:r>
            <w:proofErr w:type="spellEnd"/>
            <w:r w:rsidRPr="00381F10">
              <w:rPr>
                <w:rFonts w:asciiTheme="majorBidi" w:eastAsiaTheme="minorHAnsi" w:hAnsiTheme="majorBidi" w:cstheme="majorBidi"/>
                <w:lang w:val="fr-FR"/>
              </w:rPr>
              <w:t xml:space="preserve"> (ratio : 1/1)</w:t>
            </w:r>
          </w:p>
        </w:tc>
        <w:tc>
          <w:tcPr>
            <w:tcW w:w="1150"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CFU/kg</w:t>
            </w:r>
          </w:p>
        </w:tc>
        <w:tc>
          <w:tcPr>
            <w:tcW w:w="1599" w:type="dxa"/>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2000000000.0</w:t>
            </w:r>
          </w:p>
        </w:tc>
      </w:tr>
      <w:tr w:rsidR="000C1076" w:rsidRPr="00381F10" w:rsidTr="000C1076">
        <w:trPr>
          <w:trHeight w:val="320"/>
        </w:trPr>
        <w:tc>
          <w:tcPr>
            <w:tcW w:w="5430" w:type="dxa"/>
            <w:tcBorders>
              <w:bottom w:val="single" w:sz="4" w:space="0" w:color="auto"/>
            </w:tcBorders>
          </w:tcPr>
          <w:p w:rsidR="000C1076" w:rsidRPr="00381F10" w:rsidRDefault="000C1076" w:rsidP="000C1076">
            <w:pPr>
              <w:rPr>
                <w:rFonts w:asciiTheme="majorBidi" w:eastAsiaTheme="minorHAnsi" w:hAnsiTheme="majorBidi" w:cstheme="majorBidi"/>
                <w:color w:val="FF0000"/>
                <w:lang w:val="fr-FR"/>
              </w:rPr>
            </w:pPr>
            <w:r w:rsidRPr="00381F10">
              <w:rPr>
                <w:rFonts w:asciiTheme="majorBidi" w:eastAsiaTheme="minorHAnsi" w:hAnsiTheme="majorBidi" w:cstheme="majorBidi"/>
                <w:lang w:val="fr-FR"/>
              </w:rPr>
              <w:t xml:space="preserve">Net </w:t>
            </w:r>
            <w:proofErr w:type="spellStart"/>
            <w:r w:rsidRPr="00381F10">
              <w:rPr>
                <w:rFonts w:asciiTheme="majorBidi" w:eastAsiaTheme="minorHAnsi" w:hAnsiTheme="majorBidi" w:cstheme="majorBidi"/>
                <w:lang w:val="fr-FR"/>
              </w:rPr>
              <w:t>energy</w:t>
            </w:r>
            <w:proofErr w:type="spellEnd"/>
            <w:r w:rsidRPr="00381F10">
              <w:rPr>
                <w:rFonts w:asciiTheme="majorBidi" w:eastAsiaTheme="minorHAnsi" w:hAnsiTheme="majorBidi" w:cstheme="majorBidi"/>
                <w:lang w:val="fr-FR"/>
              </w:rPr>
              <w:t xml:space="preserve"> (NE)</w:t>
            </w:r>
          </w:p>
        </w:tc>
        <w:tc>
          <w:tcPr>
            <w:tcW w:w="1150" w:type="dxa"/>
            <w:tcBorders>
              <w:bottom w:val="single" w:sz="4" w:space="0" w:color="auto"/>
            </w:tcBorders>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kcal</w:t>
            </w:r>
          </w:p>
        </w:tc>
        <w:tc>
          <w:tcPr>
            <w:tcW w:w="1599" w:type="dxa"/>
            <w:tcBorders>
              <w:bottom w:val="single" w:sz="4" w:space="0" w:color="auto"/>
            </w:tcBorders>
          </w:tcPr>
          <w:p w:rsidR="000C1076" w:rsidRPr="00381F10" w:rsidRDefault="000C1076" w:rsidP="000C1076">
            <w:pPr>
              <w:rPr>
                <w:rFonts w:asciiTheme="majorBidi" w:eastAsiaTheme="minorHAnsi" w:hAnsiTheme="majorBidi" w:cstheme="majorBidi"/>
                <w:lang w:val="fr-FR"/>
              </w:rPr>
            </w:pPr>
            <w:r w:rsidRPr="00381F10">
              <w:rPr>
                <w:rFonts w:asciiTheme="majorBidi" w:eastAsiaTheme="minorHAnsi" w:hAnsiTheme="majorBidi" w:cstheme="majorBidi"/>
                <w:lang w:val="fr-FR"/>
              </w:rPr>
              <w:t>3465.00</w:t>
            </w:r>
          </w:p>
        </w:tc>
      </w:tr>
    </w:tbl>
    <w:p w:rsidR="00A3182B" w:rsidRDefault="000C1076">
      <w:r w:rsidRPr="00381F10">
        <w:rPr>
          <w:noProof/>
        </w:rPr>
        <mc:AlternateContent>
          <mc:Choice Requires="wps">
            <w:drawing>
              <wp:anchor distT="0" distB="0" distL="114300" distR="114300" simplePos="0" relativeHeight="251663360" behindDoc="0" locked="0" layoutInCell="1" allowOverlap="1" wp14:anchorId="48C6DC70" wp14:editId="10038B15">
                <wp:simplePos x="0" y="0"/>
                <wp:positionH relativeFrom="column">
                  <wp:posOffset>-66675</wp:posOffset>
                </wp:positionH>
                <wp:positionV relativeFrom="paragraph">
                  <wp:posOffset>6763054</wp:posOffset>
                </wp:positionV>
                <wp:extent cx="4420870" cy="301625"/>
                <wp:effectExtent l="0" t="0" r="0" b="31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301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C1076" w:rsidRPr="00AC3475" w:rsidRDefault="000C1076" w:rsidP="000C1076">
                            <w:pPr>
                              <w:pStyle w:val="NormalWeb"/>
                              <w:textAlignment w:val="baseline"/>
                              <w:rPr>
                                <w:sz w:val="22"/>
                                <w:szCs w:val="22"/>
                                <w:lang w:val="en-US"/>
                              </w:rPr>
                            </w:pPr>
                            <w:proofErr w:type="gramStart"/>
                            <w:r w:rsidRPr="00AC3475">
                              <w:rPr>
                                <w:sz w:val="22"/>
                                <w:szCs w:val="22"/>
                                <w:lang w:val="en-US"/>
                              </w:rPr>
                              <w:t xml:space="preserve">Colony form unit (CFU), </w:t>
                            </w:r>
                            <w:proofErr w:type="spellStart"/>
                            <w:r w:rsidRPr="00AC3475">
                              <w:rPr>
                                <w:sz w:val="22"/>
                                <w:szCs w:val="22"/>
                                <w:lang w:val="en-US"/>
                              </w:rPr>
                              <w:t>Milliequivalents</w:t>
                            </w:r>
                            <w:proofErr w:type="spellEnd"/>
                            <w:r w:rsidRPr="00AC3475">
                              <w:rPr>
                                <w:sz w:val="22"/>
                                <w:szCs w:val="22"/>
                                <w:lang w:val="en-US"/>
                              </w:rPr>
                              <w:t xml:space="preserve"> (</w:t>
                            </w:r>
                            <w:proofErr w:type="spellStart"/>
                            <w:r w:rsidRPr="00AC3475">
                              <w:rPr>
                                <w:sz w:val="22"/>
                                <w:szCs w:val="22"/>
                                <w:lang w:val="en-US"/>
                              </w:rPr>
                              <w:t>meq</w:t>
                            </w:r>
                            <w:proofErr w:type="spellEnd"/>
                            <w:r w:rsidRPr="00AC3475">
                              <w:rPr>
                                <w:sz w:val="22"/>
                                <w:szCs w:val="22"/>
                                <w:lang w:val="en-US"/>
                              </w:rPr>
                              <w:t>)</w:t>
                            </w:r>
                            <w:r>
                              <w:rPr>
                                <w:sz w:val="22"/>
                                <w:szCs w:val="22"/>
                                <w:lang w:val="en-US"/>
                              </w:rPr>
                              <w:t>.</w:t>
                            </w:r>
                            <w:proofErr w:type="gramEnd"/>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25pt;margin-top:532.5pt;width:348.1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9SQMAAC0HAAAOAAAAZHJzL2Uyb0RvYy54bWysVU1v2zgQvS+w/4HgXdGHaesDUQpbtooF&#10;sm3RtMiZliiLWIlUSTpyuuh/75CyYyfpodisDoKGHA7nvZl5un536Dv0wJTmUuQ4vAowYqKSNRe7&#10;HH/9UnoJRtpQUdNOCpbjR6bxu5s//7geh4xFspVdzRSCIEJn45Dj1pgh831dtayn+koOTMBmI1VP&#10;DZhq59eKjhC97/woCBb+KFU9KFkxrWF1PW3iGxe/aVhlPjaNZgZ1OYbcjHsr997at39zTbOdokPL&#10;q2Ma9D9k0VMu4NKnUGtqKNor/ipUzysltWzMVSV7XzYNr5jDAGjC4AWau5YOzGEBcvTwRJP+/8JW&#10;Hx4+KcTrHM8wErSHEn0G0qjYdQzNLT3joDPwuhs+KQtQD7ey+kcjIYsWvNhSKTm2jNaQVGj9/WcH&#10;rKHhKNqOf8saotO9kY6pQ6N6GxA4QAdXkMengrCDQRUsEhIFSQx1q2BvFoSLyKXk0+x0elDavGey&#10;R/Yjxwpyd9Hpw602NhuanVzsZUKWvOtc0TvxbAEcpxXmumY6TTPIBD6tp83JVfTfNEg3ySYhHokW&#10;G48E67W3LAviLcownq9n66JYhz9sFiHJWl7XTNhLT90Vkt+r3rHPp7546i8tO17bcDYlNyWs6BR6&#10;oNDftKqYMFMRYPPs6T/PxLECcF6gCiMSrKLUKxdJ7JGSzL00DhIvCNNVughIStblc1S3XLC3o0Jj&#10;jtM5FNYhOif9Cp45/AIazXpuQEE63uc4CewzzbRtyY2oXakN5d30fcGEzf7XTCzLeRCTWeLF8Xzm&#10;kdkm8FZJWXjLIlws4s2qWG1e1Hfjeka/nQxXklMDWkPuAd1dW4+o5rbBZ/M0CjEYoGFRPOFFtNuB&#10;+FZGYaSkueemdcphx8mRasX03CbbXeTm9CL4xMP53guajtDOTMGgnIbCjbqd7kklzGF7AL7tyG9l&#10;/QhDDz8GyLmV6jtGI4hsjvW3PVUMo+4vAYKRhoRYVXYGmccRGOpyZ3u5I/Z9IaHPAT8VFUQ9Yp6M&#10;wkyyDro6UHMr7obKuloCrAJ8OdxTNRxlwgCCD/IkrzR7oRaTrz0p5BL0quFOSs7AgA1rgCY7Xo7/&#10;Dyv6l7bzOv/lbn4CAAD//wMAUEsDBBQABgAIAAAAIQBu21BU4wAAAA0BAAAPAAAAZHJzL2Rvd25y&#10;ZXYueG1sTI9BS8QwEIXvgv8hjOBFdpOutK616SKKi1AQugriLdvGpthMSpJt6793POlx3vt4816x&#10;W+zAJu1D71BCshbANDau7bGT8Pb6tNoCC1FhqwaHWsK3DrArz88KlbduxlpPh9gxCsGQKwkmxjHn&#10;PDRGWxXWbtRI3qfzVkU6fcdbr2YKtwPfCJFxq3qkD0aN+sHo5utwshKmj/m6quf6pfb8fX+1N9Xz&#10;7WMl5eXFcn8HLOol/sHwW5+qQ0mdju6EbWCDhFUiUkLJEFlKqwjJtukNsCNJSbJJgZcF/7+i/AEA&#10;AP//AwBQSwECLQAUAAYACAAAACEAtoM4kv4AAADhAQAAEwAAAAAAAAAAAAAAAAAAAAAAW0NvbnRl&#10;bnRfVHlwZXNdLnhtbFBLAQItABQABgAIAAAAIQA4/SH/1gAAAJQBAAALAAAAAAAAAAAAAAAAAC8B&#10;AABfcmVscy8ucmVsc1BLAQItABQABgAIAAAAIQAwuXV9SQMAAC0HAAAOAAAAAAAAAAAAAAAAAC4C&#10;AABkcnMvZTJvRG9jLnhtbFBLAQItABQABgAIAAAAIQBu21BU4wAAAA0BAAAPAAAAAAAAAAAAAAAA&#10;AKMFAABkcnMvZG93bnJldi54bWxQSwUGAAAAAAQABADzAAAAswYAAAAA&#10;" filled="f" fillcolor="#4f81bd [3204]" stroked="f" strokecolor="black [3213]">
                <v:shadow color="#eeece1 [3214]"/>
                <v:textbox>
                  <w:txbxContent>
                    <w:p w:rsidR="000C1076" w:rsidRPr="00AC3475" w:rsidRDefault="000C1076" w:rsidP="000C1076">
                      <w:pPr>
                        <w:pStyle w:val="NormalWeb"/>
                        <w:textAlignment w:val="baseline"/>
                        <w:rPr>
                          <w:sz w:val="22"/>
                          <w:szCs w:val="22"/>
                          <w:lang w:val="en-US"/>
                        </w:rPr>
                      </w:pPr>
                      <w:proofErr w:type="gramStart"/>
                      <w:r w:rsidRPr="00AC3475">
                        <w:rPr>
                          <w:sz w:val="22"/>
                          <w:szCs w:val="22"/>
                          <w:lang w:val="en-US"/>
                        </w:rPr>
                        <w:t xml:space="preserve">Colony form unit (CFU), </w:t>
                      </w:r>
                      <w:proofErr w:type="spellStart"/>
                      <w:r w:rsidRPr="00AC3475">
                        <w:rPr>
                          <w:sz w:val="22"/>
                          <w:szCs w:val="22"/>
                          <w:lang w:val="en-US"/>
                        </w:rPr>
                        <w:t>Milliequivalents</w:t>
                      </w:r>
                      <w:proofErr w:type="spellEnd"/>
                      <w:r w:rsidRPr="00AC3475">
                        <w:rPr>
                          <w:sz w:val="22"/>
                          <w:szCs w:val="22"/>
                          <w:lang w:val="en-US"/>
                        </w:rPr>
                        <w:t xml:space="preserve"> (</w:t>
                      </w:r>
                      <w:proofErr w:type="spellStart"/>
                      <w:r w:rsidRPr="00AC3475">
                        <w:rPr>
                          <w:sz w:val="22"/>
                          <w:szCs w:val="22"/>
                          <w:lang w:val="en-US"/>
                        </w:rPr>
                        <w:t>meq</w:t>
                      </w:r>
                      <w:proofErr w:type="spellEnd"/>
                      <w:r w:rsidRPr="00AC3475">
                        <w:rPr>
                          <w:sz w:val="22"/>
                          <w:szCs w:val="22"/>
                          <w:lang w:val="en-US"/>
                        </w:rPr>
                        <w:t>)</w:t>
                      </w:r>
                      <w:r>
                        <w:rPr>
                          <w:sz w:val="22"/>
                          <w:szCs w:val="22"/>
                          <w:lang w:val="en-US"/>
                        </w:rPr>
                        <w:t>.</w:t>
                      </w:r>
                      <w:proofErr w:type="gramEnd"/>
                    </w:p>
                  </w:txbxContent>
                </v:textbox>
              </v:rect>
            </w:pict>
          </mc:Fallback>
        </mc:AlternateContent>
      </w:r>
      <w:r w:rsidRPr="00381F10">
        <w:rPr>
          <w:noProof/>
        </w:rPr>
        <mc:AlternateContent>
          <mc:Choice Requires="wps">
            <w:drawing>
              <wp:anchor distT="0" distB="0" distL="114300" distR="114300" simplePos="0" relativeHeight="251661312" behindDoc="0" locked="0" layoutInCell="1" allowOverlap="1" wp14:anchorId="25A49BB9" wp14:editId="36F6C2CD">
                <wp:simplePos x="0" y="0"/>
                <wp:positionH relativeFrom="column">
                  <wp:posOffset>-64853</wp:posOffset>
                </wp:positionH>
                <wp:positionV relativeFrom="paragraph">
                  <wp:posOffset>50193</wp:posOffset>
                </wp:positionV>
                <wp:extent cx="5003800" cy="301625"/>
                <wp:effectExtent l="0" t="0" r="0" b="31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301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C1076" w:rsidRPr="00EF6415" w:rsidRDefault="000C1076" w:rsidP="000C1076">
                            <w:pPr>
                              <w:pStyle w:val="NormalWeb"/>
                              <w:textAlignment w:val="baseline"/>
                              <w:rPr>
                                <w:sz w:val="22"/>
                                <w:szCs w:val="22"/>
                              </w:rPr>
                            </w:pPr>
                            <w:proofErr w:type="spellStart"/>
                            <w:r>
                              <w:rPr>
                                <w:rFonts w:eastAsia="Calibri"/>
                                <w:b/>
                                <w:bCs/>
                                <w:color w:val="000000"/>
                                <w:kern w:val="24"/>
                              </w:rPr>
                              <w:t>Supplementary</w:t>
                            </w:r>
                            <w:proofErr w:type="spellEnd"/>
                            <w:r>
                              <w:rPr>
                                <w:rFonts w:eastAsia="Calibri"/>
                                <w:b/>
                                <w:bCs/>
                                <w:color w:val="000000"/>
                                <w:kern w:val="24"/>
                              </w:rPr>
                              <w:t xml:space="preserve"> </w:t>
                            </w:r>
                            <w:proofErr w:type="spellStart"/>
                            <w:r>
                              <w:rPr>
                                <w:rFonts w:eastAsia="Calibri"/>
                                <w:b/>
                                <w:bCs/>
                                <w:color w:val="000000"/>
                                <w:kern w:val="24"/>
                              </w:rPr>
                              <w:t>Table</w:t>
                            </w:r>
                            <w:proofErr w:type="spellEnd"/>
                            <w:r>
                              <w:rPr>
                                <w:rFonts w:eastAsia="Calibri"/>
                                <w:b/>
                                <w:bCs/>
                                <w:color w:val="000000"/>
                                <w:kern w:val="24"/>
                              </w:rPr>
                              <w:t xml:space="preserve"> 1</w:t>
                            </w:r>
                            <w:r w:rsidR="00377EB8">
                              <w:rPr>
                                <w:rFonts w:eastAsia="Calibri"/>
                                <w:b/>
                                <w:bCs/>
                                <w:color w:val="000000"/>
                                <w:kern w:val="24"/>
                              </w:rPr>
                              <w:t>.</w:t>
                            </w:r>
                            <w:r w:rsidRPr="00EF6415">
                              <w:rPr>
                                <w:rFonts w:eastAsia="Calibri"/>
                                <w:b/>
                                <w:bCs/>
                                <w:color w:val="000000"/>
                                <w:kern w:val="24"/>
                              </w:rPr>
                              <w:t xml:space="preserve"> </w:t>
                            </w:r>
                            <w:r w:rsidRPr="001E0E3F">
                              <w:rPr>
                                <w:rFonts w:eastAsia="Calibri"/>
                                <w:b/>
                                <w:bCs/>
                                <w:color w:val="000000"/>
                                <w:kern w:val="24"/>
                              </w:rPr>
                              <w:t xml:space="preserve">Feed </w:t>
                            </w:r>
                            <w:proofErr w:type="spellStart"/>
                            <w:r w:rsidRPr="001E0E3F">
                              <w:rPr>
                                <w:rFonts w:eastAsia="Calibri"/>
                                <w:b/>
                                <w:bCs/>
                                <w:color w:val="000000"/>
                                <w:kern w:val="24"/>
                              </w:rPr>
                              <w:t>composition</w:t>
                            </w:r>
                            <w:proofErr w:type="spellEnd"/>
                          </w:p>
                        </w:txbxContent>
                      </wps:txbx>
                      <wps:bodyPr vert="horz" wrap="non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1pt;margin-top:3.95pt;width:394pt;height:2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iVSQMAADIHAAAOAAAAZHJzL2Uyb0RvYy54bWysVd9vmzAQfp+0/8HyO+VHIARUOiUkTJO6&#10;H1o39dkxJlgDG9luSTftf9/ZJE3a9WHaxgPi8Pl833d3ny/f7PsO3TOluRQFDi8CjJigsuZiV+Cv&#10;XypvgZE2RNSkk4IV+IFp/Obq9avLcchZJFvZ1UwhCCJ0Pg4Fbo0Zct/XtGU90RdyYAIWG6l6YsBU&#10;O79WZITofedHQTD3R6nqQUnKtIa/62kRX7n4TcOo+dg0mhnUFRhyM+6t3Htr3/7VJcl3igwtp4c0&#10;yF9k0RMu4NDHUGtiCLpT/LdQPadKatmYCyp7XzYNp8xhADRh8AzNTUsG5rAAOXp4pEn/v7D0w/0n&#10;hXgNtcNIkB5K9BlII2LXMZRYesZB5+B1M3xSFqAeriX9ppGQZQtebKmUHFtGakgqtP7+kw3W0LAV&#10;bcf3sobo5M5Ix9S+Ub0NCBygvSvIw2NB2N4gCj+TIJgtAqgbhbVZEM4jl5JP8uPuQWnzlske2Y8C&#10;K8jdRSf319rYbEh+dLGHCVnxrnNF78STH+A4/WGua6bdJIdM4NN62pxcRX9kQbZZbBaxF0fzjRcH&#10;67W3rMrYm1dhmqxn67Jchz9tFmGct7yumbCHHrsrjP+seoc+n/risb+07Hhtw9mU3JSwslPonkB/&#10;E0qZMFMRYPHk6T/NxLECcJ6hCqM4WEWZV80XqRdXceJlabDwgjBbZfMgzuJ19RTVNRfs31GhscBZ&#10;AoV1iE5J/wbP7F+ARvKeG1CQjvcFhlaBZ5pp25IbUbtSG8K76fuMCZv9y0wsqyRI49nCS9Nk5sWz&#10;TeCtFlXpLctwPk83q3K1eVbfjesZ/e9kuJIcG9Aa8g7Q3bT1iGpuG3yWZBFMas1Bw6J0wotItwPx&#10;pUZhpKS55aZ1ymHHyZFqxfTUJttd5Ob0LPjEw+ncM5oO0E5MwaAch8KNup3uSSXMfrs/SAnQbid/&#10;K+sHmH24HyD1VqrvGI2gtQUWcBlg1L0ToBpZGMdWmp0RJ2kEhjpf2Z6viLu+lNDsQAIRFGIegE9G&#10;aSZtB3EdiLkWNwO1rpYFKwNf9rdEDQetMADjgzxqLMmfScbka3cKuQTRarjTkxMsoMQaIMyOnMMl&#10;YpX/3HZep6vu6hcAAAD//wMAUEsDBBQABgAIAAAAIQC7vrps3gAAAAgBAAAPAAAAZHJzL2Rvd25y&#10;ZXYueG1sTI/BTsMwEETvSPyDtUjcWidVg0vIpgIkTj2gFpA4uvESR8TrKHbT9O8xJziOZjTzptrO&#10;rhcTjaHzjJAvMxDEjTcdtwjvby+LDYgQNRvdeyaECwXY1tdXlS6NP/OepkNsRSrhUGoEG+NQShka&#10;S06HpR+Ik/flR6djkmMrzajPqdz1cpVld9LpjtOC1QM9W2q+DyeHsPeyb4rNpXiawmA/1etu/ZHv&#10;EG9v5scHEJHm+BeGX/yEDnViOvoTmyB6hEWerVIUQd2DSL5SKl05IhTFGmRdyf8H6h8AAAD//wMA&#10;UEsBAi0AFAAGAAgAAAAhALaDOJL+AAAA4QEAABMAAAAAAAAAAAAAAAAAAAAAAFtDb250ZW50X1R5&#10;cGVzXS54bWxQSwECLQAUAAYACAAAACEAOP0h/9YAAACUAQAACwAAAAAAAAAAAAAAAAAvAQAAX3Jl&#10;bHMvLnJlbHNQSwECLQAUAAYACAAAACEAXu3IlUkDAAAyBwAADgAAAAAAAAAAAAAAAAAuAgAAZHJz&#10;L2Uyb0RvYy54bWxQSwECLQAUAAYACAAAACEAu766bN4AAAAIAQAADwAAAAAAAAAAAAAAAACjBQAA&#10;ZHJzL2Rvd25yZXYueG1sUEsFBgAAAAAEAAQA8wAAAK4GAAAAAA==&#10;" filled="f" fillcolor="#4f81bd [3204]" stroked="f" strokecolor="black [3213]">
                <v:shadow color="#eeece1 [3214]"/>
                <v:textbox>
                  <w:txbxContent>
                    <w:p w:rsidR="000C1076" w:rsidRPr="00EF6415" w:rsidRDefault="000C1076" w:rsidP="000C1076">
                      <w:pPr>
                        <w:pStyle w:val="NormalWeb"/>
                        <w:textAlignment w:val="baseline"/>
                        <w:rPr>
                          <w:sz w:val="22"/>
                          <w:szCs w:val="22"/>
                        </w:rPr>
                      </w:pPr>
                      <w:proofErr w:type="spellStart"/>
                      <w:r>
                        <w:rPr>
                          <w:rFonts w:eastAsia="Calibri"/>
                          <w:b/>
                          <w:bCs/>
                          <w:color w:val="000000"/>
                          <w:kern w:val="24"/>
                        </w:rPr>
                        <w:t>Supplementary</w:t>
                      </w:r>
                      <w:proofErr w:type="spellEnd"/>
                      <w:r>
                        <w:rPr>
                          <w:rFonts w:eastAsia="Calibri"/>
                          <w:b/>
                          <w:bCs/>
                          <w:color w:val="000000"/>
                          <w:kern w:val="24"/>
                        </w:rPr>
                        <w:t xml:space="preserve"> </w:t>
                      </w:r>
                      <w:proofErr w:type="spellStart"/>
                      <w:r>
                        <w:rPr>
                          <w:rFonts w:eastAsia="Calibri"/>
                          <w:b/>
                          <w:bCs/>
                          <w:color w:val="000000"/>
                          <w:kern w:val="24"/>
                        </w:rPr>
                        <w:t>Table</w:t>
                      </w:r>
                      <w:proofErr w:type="spellEnd"/>
                      <w:r>
                        <w:rPr>
                          <w:rFonts w:eastAsia="Calibri"/>
                          <w:b/>
                          <w:bCs/>
                          <w:color w:val="000000"/>
                          <w:kern w:val="24"/>
                        </w:rPr>
                        <w:t xml:space="preserve"> 1</w:t>
                      </w:r>
                      <w:r w:rsidR="00377EB8">
                        <w:rPr>
                          <w:rFonts w:eastAsia="Calibri"/>
                          <w:b/>
                          <w:bCs/>
                          <w:color w:val="000000"/>
                          <w:kern w:val="24"/>
                        </w:rPr>
                        <w:t>.</w:t>
                      </w:r>
                      <w:r w:rsidRPr="00EF6415">
                        <w:rPr>
                          <w:rFonts w:eastAsia="Calibri"/>
                          <w:b/>
                          <w:bCs/>
                          <w:color w:val="000000"/>
                          <w:kern w:val="24"/>
                        </w:rPr>
                        <w:t xml:space="preserve"> </w:t>
                      </w:r>
                      <w:r w:rsidRPr="001E0E3F">
                        <w:rPr>
                          <w:rFonts w:eastAsia="Calibri"/>
                          <w:b/>
                          <w:bCs/>
                          <w:color w:val="000000"/>
                          <w:kern w:val="24"/>
                        </w:rPr>
                        <w:t xml:space="preserve">Feed </w:t>
                      </w:r>
                      <w:proofErr w:type="spellStart"/>
                      <w:r w:rsidRPr="001E0E3F">
                        <w:rPr>
                          <w:rFonts w:eastAsia="Calibri"/>
                          <w:b/>
                          <w:bCs/>
                          <w:color w:val="000000"/>
                          <w:kern w:val="24"/>
                        </w:rPr>
                        <w:t>composition</w:t>
                      </w:r>
                      <w:proofErr w:type="spellEnd"/>
                    </w:p>
                  </w:txbxContent>
                </v:textbox>
              </v:rect>
            </w:pict>
          </mc:Fallback>
        </mc:AlternateContent>
      </w:r>
      <w:r w:rsidRPr="00381F10">
        <w:rPr>
          <w:noProof/>
        </w:rPr>
        <mc:AlternateContent>
          <mc:Choice Requires="wps">
            <w:drawing>
              <wp:anchor distT="0" distB="0" distL="114300" distR="114300" simplePos="0" relativeHeight="251659264" behindDoc="0" locked="0" layoutInCell="1" allowOverlap="1" wp14:anchorId="734E7CA8" wp14:editId="25112049">
                <wp:simplePos x="0" y="0"/>
                <wp:positionH relativeFrom="column">
                  <wp:posOffset>-5089525</wp:posOffset>
                </wp:positionH>
                <wp:positionV relativeFrom="paragraph">
                  <wp:posOffset>-84455</wp:posOffset>
                </wp:positionV>
                <wp:extent cx="5003800" cy="301625"/>
                <wp:effectExtent l="0" t="0" r="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301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0C1076" w:rsidRPr="00EF6415" w:rsidRDefault="000C1076" w:rsidP="000C1076">
                            <w:pPr>
                              <w:pStyle w:val="NormalWeb"/>
                              <w:textAlignment w:val="baseline"/>
                              <w:rPr>
                                <w:sz w:val="22"/>
                                <w:szCs w:val="22"/>
                              </w:rPr>
                            </w:pPr>
                            <w:proofErr w:type="spellStart"/>
                            <w:r>
                              <w:rPr>
                                <w:rFonts w:eastAsia="Calibri"/>
                                <w:b/>
                                <w:bCs/>
                                <w:color w:val="000000"/>
                                <w:kern w:val="24"/>
                              </w:rPr>
                              <w:t>Supplementary</w:t>
                            </w:r>
                            <w:proofErr w:type="spellEnd"/>
                            <w:r>
                              <w:rPr>
                                <w:rFonts w:eastAsia="Calibri"/>
                                <w:b/>
                                <w:bCs/>
                                <w:color w:val="000000"/>
                                <w:kern w:val="24"/>
                              </w:rPr>
                              <w:t xml:space="preserve"> </w:t>
                            </w:r>
                            <w:proofErr w:type="spellStart"/>
                            <w:r>
                              <w:rPr>
                                <w:rFonts w:eastAsia="Calibri"/>
                                <w:b/>
                                <w:bCs/>
                                <w:color w:val="000000"/>
                                <w:kern w:val="24"/>
                              </w:rPr>
                              <w:t>Table</w:t>
                            </w:r>
                            <w:proofErr w:type="spellEnd"/>
                            <w:r>
                              <w:rPr>
                                <w:rFonts w:eastAsia="Calibri"/>
                                <w:b/>
                                <w:bCs/>
                                <w:color w:val="000000"/>
                                <w:kern w:val="24"/>
                              </w:rPr>
                              <w:t xml:space="preserve"> </w:t>
                            </w:r>
                            <w:proofErr w:type="gramStart"/>
                            <w:r>
                              <w:rPr>
                                <w:rFonts w:eastAsia="Calibri"/>
                                <w:b/>
                                <w:bCs/>
                                <w:color w:val="000000"/>
                                <w:kern w:val="24"/>
                              </w:rPr>
                              <w:t>1</w:t>
                            </w:r>
                            <w:r w:rsidRPr="00EF6415">
                              <w:rPr>
                                <w:rFonts w:eastAsia="Calibri"/>
                                <w:b/>
                                <w:bCs/>
                                <w:color w:val="000000"/>
                                <w:kern w:val="24"/>
                              </w:rPr>
                              <w:t xml:space="preserve">.  </w:t>
                            </w:r>
                            <w:proofErr w:type="gramEnd"/>
                            <w:r w:rsidRPr="00E47A1D">
                              <w:rPr>
                                <w:rFonts w:eastAsia="Calibri"/>
                                <w:color w:val="000000"/>
                                <w:kern w:val="24"/>
                              </w:rPr>
                              <w:t xml:space="preserve">Feed </w:t>
                            </w:r>
                            <w:proofErr w:type="spellStart"/>
                            <w:r w:rsidRPr="00E47A1D">
                              <w:rPr>
                                <w:rFonts w:eastAsia="Calibri"/>
                                <w:color w:val="000000"/>
                                <w:kern w:val="24"/>
                              </w:rPr>
                              <w:t>composition</w:t>
                            </w:r>
                            <w:proofErr w:type="spellEnd"/>
                          </w:p>
                        </w:txbxContent>
                      </wps:txbx>
                      <wps:bodyPr vert="horz" wrap="non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00.75pt;margin-top:-6.65pt;width:394pt;height:2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nWSAMAACsHAAAOAAAAZHJzL2Uyb0RvYy54bWysVU1v2zgQvS+w/4HgXdGH9WEJUQpbtooF&#10;st2iaZEzTVEWUYkUSCZyWux/3yFlx06aQ9GuDoJGHA7nvZl5vH53GHr0yJTmUpQ4vAowYoLKhot9&#10;ib98rr0lRtoQ0ZBeClbiJ6bxu5s//7iexoJFspN9wxSCIEIX01jizpix8H1NOzYQfSVHJmCxlWog&#10;Bky19xtFJog+9H4UBKk/SdWMSlKmNfzdzIv4xsVvW0bNP22rmUF9iSE3497KvXf27d9ck2KvyNhx&#10;ekyD/EIWA+ECDn0OtSGGoAfFfwg1cKqklq25onLwZdtyyhwGQBMGr9DcdWRkDguQo8dnmvT/F5Z+&#10;ePyoEG9KnGIkyAAl+gSkEbHvGUosPdOoC/C6Gz8qC1CPt5J+1UjIqgMvtlJKTh0jDSQVWn//xQZr&#10;aNiKdtPfsoHo5MFIx9ShVYMNCByggyvI03NB2MEgCj+TIFgsA6gbhbVFEKaRS8knxWn3qLR5z+SA&#10;7EeJFeTuopPHW21sNqQ4udjDhKx537ui9+LFD3Cc/zDXNfNuUkAm8Gk9bU6uot/zIN8ut8vYi6N0&#10;68XBZuOt6ir20jrMks1iU1Wb8F+bRRgXHW8aJuyhp+4K45+r3rHP57547i8te97YcDYlNyWs6hV6&#10;JNDfhFImzFwEWDx7+i8zcawAnFeowigO1lHu1eky8+I6Trw8C5ZeEObrPA3iPN7UL1HdcsF+HxWa&#10;SpwnUFiH6Jz0D/DM4Q1opBi4AQXp+VBiaBV45pm2LbkVjSu1Ibyfvy+YsNm/zcSqToIsXiy9LEsW&#10;XrzYBt56WVfeqgrTNNuuq/X2VX23rmf075PhSnJqQGvIB0B31zUTarht8EWSRyEGAzQsyma8iPR7&#10;EF9qFEZKmntuOqccdpwcqVZMz22y20duTi+Czzycz72g6QjtzBQMymko3Kjb6Z5Vwhx2B+DbjvxO&#10;Nk8w9HAxQM6dVN8wmkBkSyzgFsCo/0uAXORhHFtNdkacZBEY6nJld7kiHoZKQpcDeiIoxDwino3K&#10;zKIOqjoScyvuRmpdLXw7/58P90SNR5EwkP8HeRJXUrzSitnX7hRyBWrVcickZ1jAhTVAkR0rx9vD&#10;Sv6l7bzOd9zNfwAAAP//AwBQSwMEFAAGAAgAAAAhAIXNFg3fAAAACwEAAA8AAABkcnMvZG93bnJl&#10;di54bWxMj0FPwzAMhe9I/IfISNy2tOsKVdd0AiROO6ANkHbMGtNUNE7VZF337zEnuD37PT1/rraz&#10;68WEY+g8KUiXCQikxpuOWgUf76+LAkSImozuPaGCKwbY1rc3lS6Nv9Aep0NsBZdQKLUCG+NQShka&#10;i06HpR+Q2Pvyo9ORx7GVZtQXLne9XCXJg3S6I75g9YAvFpvvw9kp2HvZN3lxzZ+nMNjj49tu/Znu&#10;lLq/m582ICLO8S8Mv/iMDjUznfyZTBC9gkWRpDlnWaVZBoIjLHhzUpCtVyDrSv7/of4BAAD//wMA&#10;UEsBAi0AFAAGAAgAAAAhALaDOJL+AAAA4QEAABMAAAAAAAAAAAAAAAAAAAAAAFtDb250ZW50X1R5&#10;cGVzXS54bWxQSwECLQAUAAYACAAAACEAOP0h/9YAAACUAQAACwAAAAAAAAAAAAAAAAAvAQAAX3Jl&#10;bHMvLnJlbHNQSwECLQAUAAYACAAAACEAlLQZ1kgDAAArBwAADgAAAAAAAAAAAAAAAAAuAgAAZHJz&#10;L2Uyb0RvYy54bWxQSwECLQAUAAYACAAAACEAhc0WDd8AAAALAQAADwAAAAAAAAAAAAAAAACiBQAA&#10;ZHJzL2Rvd25yZXYueG1sUEsFBgAAAAAEAAQA8wAAAK4GAAAAAA==&#10;" filled="f" fillcolor="#4f81bd [3204]" stroked="f" strokecolor="black [3213]">
                <v:shadow color="#eeece1 [3214]"/>
                <v:textbox>
                  <w:txbxContent>
                    <w:p w:rsidR="000C1076" w:rsidRPr="00EF6415" w:rsidRDefault="000C1076" w:rsidP="000C1076">
                      <w:pPr>
                        <w:pStyle w:val="NormalWeb"/>
                        <w:textAlignment w:val="baseline"/>
                        <w:rPr>
                          <w:sz w:val="22"/>
                          <w:szCs w:val="22"/>
                        </w:rPr>
                      </w:pPr>
                      <w:proofErr w:type="spellStart"/>
                      <w:r>
                        <w:rPr>
                          <w:rFonts w:eastAsia="Calibri"/>
                          <w:b/>
                          <w:bCs/>
                          <w:color w:val="000000"/>
                          <w:kern w:val="24"/>
                        </w:rPr>
                        <w:t>Supplementary</w:t>
                      </w:r>
                      <w:proofErr w:type="spellEnd"/>
                      <w:r>
                        <w:rPr>
                          <w:rFonts w:eastAsia="Calibri"/>
                          <w:b/>
                          <w:bCs/>
                          <w:color w:val="000000"/>
                          <w:kern w:val="24"/>
                        </w:rPr>
                        <w:t xml:space="preserve"> </w:t>
                      </w:r>
                      <w:proofErr w:type="spellStart"/>
                      <w:r>
                        <w:rPr>
                          <w:rFonts w:eastAsia="Calibri"/>
                          <w:b/>
                          <w:bCs/>
                          <w:color w:val="000000"/>
                          <w:kern w:val="24"/>
                        </w:rPr>
                        <w:t>Table</w:t>
                      </w:r>
                      <w:proofErr w:type="spellEnd"/>
                      <w:r>
                        <w:rPr>
                          <w:rFonts w:eastAsia="Calibri"/>
                          <w:b/>
                          <w:bCs/>
                          <w:color w:val="000000"/>
                          <w:kern w:val="24"/>
                        </w:rPr>
                        <w:t xml:space="preserve"> </w:t>
                      </w:r>
                      <w:proofErr w:type="gramStart"/>
                      <w:r>
                        <w:rPr>
                          <w:rFonts w:eastAsia="Calibri"/>
                          <w:b/>
                          <w:bCs/>
                          <w:color w:val="000000"/>
                          <w:kern w:val="24"/>
                        </w:rPr>
                        <w:t>1</w:t>
                      </w:r>
                      <w:r w:rsidRPr="00EF6415">
                        <w:rPr>
                          <w:rFonts w:eastAsia="Calibri"/>
                          <w:b/>
                          <w:bCs/>
                          <w:color w:val="000000"/>
                          <w:kern w:val="24"/>
                        </w:rPr>
                        <w:t xml:space="preserve">.  </w:t>
                      </w:r>
                      <w:proofErr w:type="gramEnd"/>
                      <w:r w:rsidRPr="00E47A1D">
                        <w:rPr>
                          <w:rFonts w:eastAsia="Calibri"/>
                          <w:color w:val="000000"/>
                          <w:kern w:val="24"/>
                        </w:rPr>
                        <w:t xml:space="preserve">Feed </w:t>
                      </w:r>
                      <w:proofErr w:type="spellStart"/>
                      <w:r w:rsidRPr="00E47A1D">
                        <w:rPr>
                          <w:rFonts w:eastAsia="Calibri"/>
                          <w:color w:val="000000"/>
                          <w:kern w:val="24"/>
                        </w:rPr>
                        <w:t>composition</w:t>
                      </w:r>
                      <w:proofErr w:type="spellEnd"/>
                    </w:p>
                  </w:txbxContent>
                </v:textbox>
              </v:rect>
            </w:pict>
          </mc:Fallback>
        </mc:AlternateContent>
      </w:r>
    </w:p>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Pr="00A3182B" w:rsidRDefault="00A3182B" w:rsidP="00A3182B"/>
    <w:p w:rsidR="00A3182B" w:rsidRDefault="00A3182B" w:rsidP="00A3182B"/>
    <w:p w:rsidR="00E369E5" w:rsidRDefault="00A3182B" w:rsidP="00A3182B">
      <w:pPr>
        <w:tabs>
          <w:tab w:val="left" w:pos="8327"/>
        </w:tabs>
      </w:pPr>
      <w:r>
        <w:tab/>
      </w:r>
    </w:p>
    <w:p w:rsidR="008C790C" w:rsidRDefault="008C790C" w:rsidP="00A3182B">
      <w:pPr>
        <w:tabs>
          <w:tab w:val="left" w:pos="8327"/>
        </w:tabs>
      </w:pPr>
    </w:p>
    <w:p w:rsidR="008C790C" w:rsidRDefault="008C790C">
      <w:r>
        <w:br w:type="page"/>
      </w:r>
    </w:p>
    <w:tbl>
      <w:tblPr>
        <w:tblpPr w:leftFromText="180" w:rightFromText="180" w:vertAnchor="page" w:horzAnchor="margin" w:tblpY="2092"/>
        <w:tblW w:w="9868" w:type="dxa"/>
        <w:tblCellMar>
          <w:left w:w="0" w:type="dxa"/>
          <w:right w:w="0" w:type="dxa"/>
        </w:tblCellMar>
        <w:tblLook w:val="04A0" w:firstRow="1" w:lastRow="0" w:firstColumn="1" w:lastColumn="0" w:noHBand="0" w:noVBand="1"/>
      </w:tblPr>
      <w:tblGrid>
        <w:gridCol w:w="1820"/>
        <w:gridCol w:w="1851"/>
        <w:gridCol w:w="5014"/>
        <w:gridCol w:w="1183"/>
      </w:tblGrid>
      <w:tr w:rsidR="00C13438" w:rsidRPr="00F44E0C" w:rsidTr="00C13438">
        <w:trPr>
          <w:trHeight w:val="590"/>
        </w:trPr>
        <w:tc>
          <w:tcPr>
            <w:tcW w:w="1820" w:type="dxa"/>
            <w:tcBorders>
              <w:top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b/>
                <w:bCs/>
                <w:color w:val="000000" w:themeColor="text1"/>
                <w:kern w:val="24"/>
                <w:sz w:val="20"/>
                <w:szCs w:val="20"/>
              </w:rPr>
              <w:lastRenderedPageBreak/>
              <w:t>Target organism</w:t>
            </w:r>
          </w:p>
        </w:tc>
        <w:tc>
          <w:tcPr>
            <w:tcW w:w="1851" w:type="dxa"/>
            <w:tcBorders>
              <w:top w:val="single" w:sz="4" w:space="0" w:color="auto"/>
              <w:bottom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b/>
                <w:bCs/>
                <w:color w:val="000000" w:themeColor="text1"/>
                <w:kern w:val="24"/>
                <w:sz w:val="20"/>
                <w:szCs w:val="20"/>
              </w:rPr>
              <w:t>Names of primers and probes</w:t>
            </w:r>
          </w:p>
        </w:tc>
        <w:tc>
          <w:tcPr>
            <w:tcW w:w="5014" w:type="dxa"/>
            <w:tcBorders>
              <w:top w:val="single" w:sz="4" w:space="0" w:color="auto"/>
              <w:bottom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b/>
                <w:bCs/>
                <w:color w:val="000000" w:themeColor="text1"/>
                <w:kern w:val="24"/>
                <w:sz w:val="20"/>
                <w:szCs w:val="20"/>
              </w:rPr>
              <w:t>Sequence of primers and probes (5’-3’)</w:t>
            </w:r>
          </w:p>
        </w:tc>
        <w:tc>
          <w:tcPr>
            <w:tcW w:w="1183" w:type="dxa"/>
            <w:tcBorders>
              <w:top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b/>
                <w:bCs/>
                <w:color w:val="000000" w:themeColor="text1"/>
                <w:kern w:val="24"/>
                <w:sz w:val="20"/>
                <w:szCs w:val="20"/>
              </w:rPr>
              <w:t>References</w:t>
            </w:r>
          </w:p>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b/>
                <w:bCs/>
                <w:color w:val="000000" w:themeColor="text1"/>
                <w:kern w:val="24"/>
                <w:sz w:val="20"/>
                <w:szCs w:val="20"/>
              </w:rPr>
              <w:t> </w:t>
            </w:r>
          </w:p>
        </w:tc>
      </w:tr>
      <w:tr w:rsidR="00C13438" w:rsidRPr="00F44E0C" w:rsidTr="00C13438">
        <w:trPr>
          <w:trHeight w:val="245"/>
        </w:trPr>
        <w:tc>
          <w:tcPr>
            <w:tcW w:w="1820"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line="200" w:lineRule="exact"/>
              <w:rPr>
                <w:rFonts w:ascii="Arial" w:eastAsia="Times New Roman" w:hAnsi="Arial"/>
                <w:sz w:val="20"/>
                <w:szCs w:val="20"/>
              </w:rPr>
            </w:pPr>
            <w:r w:rsidRPr="0004181A">
              <w:rPr>
                <w:rFonts w:ascii="Times New Roman" w:hAnsi="Times New Roman" w:cs="Times New Roman"/>
                <w:b/>
                <w:bCs/>
                <w:color w:val="000000" w:themeColor="text1"/>
                <w:kern w:val="24"/>
                <w:sz w:val="20"/>
                <w:szCs w:val="20"/>
              </w:rPr>
              <w:t xml:space="preserve">Total bacteria </w:t>
            </w:r>
          </w:p>
        </w:tc>
        <w:tc>
          <w:tcPr>
            <w:tcW w:w="1851" w:type="dxa"/>
            <w:tcBorders>
              <w:top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prF19totbac</w:t>
            </w:r>
          </w:p>
        </w:tc>
        <w:tc>
          <w:tcPr>
            <w:tcW w:w="5014" w:type="dxa"/>
            <w:tcBorders>
              <w:top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TCCTACGGGAGGCAGCAGT</w:t>
            </w:r>
          </w:p>
        </w:tc>
        <w:tc>
          <w:tcPr>
            <w:tcW w:w="1183"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"DOI" : "10.1128/JCM.40.5.1698", "ISBN" : "1350-0872; 1350-0872", "ISSN" : "13500872", "PMID" : "11782518", "abstract" : "The design and evaluation of a set of universal primers and probe for the amplification of 16S rDNA from the Domain Bacteria to estimate total bacterial load by real-time PCR is reported. Broad specificity of the universal detection system was confirmed by testing DNA isolated from 34 bacterial species encompassing most of the groups of bacteria outlined in Bergey's Manual of Determinative Bacteriology. However, the nature of the chromosomal DNA used as a standard was critical. A DNA standard representing those bacteria most likely to predominate in a given habitat was important for a more accurate determination of total bacterial load due to variations in 16S rDNA copy number and the effect of generation time of the bacteria on this number, since rapid growth could result in multiple replication forks and hence, in effect, more than one copy of portions of the chromosome. The validity of applying these caveats to estimating bacterial load was confirmed by enumerating the number of bacteria in an artificial sample mixed in vitro and in clinical carious dentine samples. Taking these parameters into account, the number of anaerobic bacteria estimated by the universal probe and primers set in carious dentine was 40-fold greater than the total bacterial load detected by culture methods, demonstrating the utility of real-time PCR in the analysis of this environment.", "author" : [ { "dropping-particle" : "", "family" : "Nadkarni", "given" : "Mangala a.", "non-dropping-particle" : "", "parse-names" : false, "suffix" : "" }, { "dropping-particle" : "", "family" : "Martin", "given" : "F. Elizabeth", "non-dropping-particle" : "", "parse-names" : false, "suffix" : "" }, { "dropping-particle" : "", "family" : "Jacques", "given" : "Nicholas a.", "non-dropping-particle" : "", "parse-names" : false, "suffix" : "" }, { "dropping-particle" : "", "family" : "Hunter", "given" : "Neil", "non-dropping-particle" : "", "parse-names" : false, "suffix" : "" } ], "container-title" : "Microbiology", "id" : "ITEM-1", "issued" : { "date-parts" : [ [ "2002" ] ] }, "page" : "257-266", "title" : "Determination of bacterial load by real-time PCR using a broad-range (universal) probe and primers set", "type" : "article-journal", "volume" : "148" }, "uris" : [ "http://www.mendeley.com/documents/?uuid=8267372a-2a22-4df4-a2ab-806b1eb94504" ] } ], "mendeley" : { "formattedCitation" : "&lt;sup&gt;(75)&lt;/sup&gt;", "plainTextFormattedCitation" : "(75)", "previouslyFormattedCitation" : "&lt;sup&gt;(74)&lt;/sup&gt;"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(75)</w:t>
            </w:r>
            <w:r>
              <w:rPr>
                <w:rFonts w:ascii="Times New Roman" w:hAnsi="Times New Roman" w:cs="Times New Roman"/>
                <w:color w:val="000000" w:themeColor="text1"/>
                <w:kern w:val="24"/>
                <w:sz w:val="20"/>
                <w:szCs w:val="20"/>
              </w:rPr>
              <w:fldChar w:fldCharType="end"/>
            </w:r>
          </w:p>
        </w:tc>
      </w:tr>
      <w:tr w:rsidR="00C13438" w:rsidRPr="00F44E0C" w:rsidTr="00C13438">
        <w:trPr>
          <w:trHeight w:val="339"/>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prR26totbac</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GGACTACCAGGGTATCTAATCCTGTT</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1820" w:type="dxa"/>
            <w:vMerge w:val="restart"/>
            <w:shd w:val="clear" w:color="auto" w:fill="auto"/>
            <w:tcMar>
              <w:top w:w="15" w:type="dxa"/>
              <w:left w:w="82" w:type="dxa"/>
              <w:bottom w:w="0" w:type="dxa"/>
              <w:right w:w="82" w:type="dxa"/>
            </w:tcMar>
            <w:vAlign w:val="center"/>
            <w:hideMark/>
          </w:tcPr>
          <w:p w:rsidR="00C13438" w:rsidRPr="0004181A" w:rsidRDefault="00C13438" w:rsidP="001E0E3F">
            <w:pPr>
              <w:spacing w:after="0" w:line="200" w:lineRule="exact"/>
              <w:rPr>
                <w:rFonts w:ascii="Arial" w:eastAsia="Times New Roman" w:hAnsi="Arial"/>
                <w:sz w:val="20"/>
                <w:szCs w:val="20"/>
              </w:rPr>
            </w:pPr>
            <w:proofErr w:type="spellStart"/>
            <w:r w:rsidRPr="00DE0726">
              <w:rPr>
                <w:rFonts w:ascii="Times New Roman" w:hAnsi="Times New Roman" w:cs="Times New Roman"/>
                <w:b/>
                <w:bCs/>
                <w:i/>
                <w:iCs/>
                <w:color w:val="000000" w:themeColor="text1"/>
                <w:kern w:val="24"/>
                <w:sz w:val="20"/>
                <w:szCs w:val="20"/>
              </w:rPr>
              <w:t>Bifidobacteria</w:t>
            </w:r>
            <w:proofErr w:type="spellEnd"/>
            <w:r w:rsidRPr="0004181A">
              <w:rPr>
                <w:rFonts w:ascii="Times New Roman" w:hAnsi="Times New Roman" w:cs="Times New Roman"/>
                <w:b/>
                <w:bCs/>
                <w:color w:val="000000" w:themeColor="text1"/>
                <w:kern w:val="24"/>
                <w:sz w:val="20"/>
                <w:szCs w:val="20"/>
              </w:rPr>
              <w:t xml:space="preserve"> </w:t>
            </w: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prF21bifido</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CCTTACCTGGGCTTGACATGT</w:t>
            </w:r>
          </w:p>
        </w:tc>
        <w:tc>
          <w:tcPr>
            <w:tcW w:w="1183"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"abstract" : "The invention provides means and methods for detecting, amplifying, quantifying and/or isolating nucleic acid of at least one member of Bifidobacterium.", "id" : "ITEM-1", "issued" : { "date-parts" : [ [ "2008", "12", "3" ] ] }, "title" : "Bifidobacteria", "type" : "patent" }, "uris" : [ "http://www.mendeley.com/documents/?uuid=3323ae78-7621-48c2-9650-2f74cd09c3ce" ] } ], "mendeley" : { "formattedCitation" : "&lt;sup&gt;(23)&lt;/sup&gt;", "plainTextFormattedCitation" : "(23)", "previouslyFormattedCitation" : "&lt;sup&gt;(23)&lt;/sup&gt;"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(23)</w:t>
            </w:r>
            <w:r>
              <w:rPr>
                <w:rFonts w:ascii="Times New Roman" w:hAnsi="Times New Roman" w:cs="Times New Roman"/>
                <w:color w:val="000000" w:themeColor="text1"/>
                <w:kern w:val="24"/>
                <w:sz w:val="20"/>
                <w:szCs w:val="20"/>
              </w:rPr>
              <w:fldChar w:fldCharType="end"/>
            </w:r>
          </w:p>
        </w:tc>
      </w:tr>
      <w:tr w:rsidR="00C13438" w:rsidRPr="00F44E0C" w:rsidTr="00C13438">
        <w:trPr>
          <w:trHeight w:val="245"/>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prR21bifido</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GACGTAAGGGGCATGATGATC</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probe A</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line="200" w:lineRule="exact"/>
              <w:rPr>
                <w:rFonts w:ascii="Arial" w:eastAsia="Times New Roman" w:hAnsi="Arial"/>
                <w:sz w:val="20"/>
                <w:szCs w:val="20"/>
              </w:rPr>
            </w:pPr>
            <w:r w:rsidRPr="0004181A">
              <w:rPr>
                <w:rFonts w:ascii="Times New Roman" w:hAnsi="Times New Roman" w:cs="Times New Roman"/>
                <w:color w:val="000000" w:themeColor="text1"/>
                <w:kern w:val="24"/>
                <w:sz w:val="20"/>
                <w:szCs w:val="20"/>
              </w:rPr>
              <w:t>6-fam-TCGCCCCGTGTTGC-mgb</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probe B</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6-fam-TCGCCGCATGTTGC-mgb</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1820" w:type="dxa"/>
            <w:vMerge w:val="restart"/>
            <w:shd w:val="clear" w:color="auto" w:fill="auto"/>
            <w:tcMar>
              <w:top w:w="15" w:type="dxa"/>
              <w:left w:w="82" w:type="dxa"/>
              <w:bottom w:w="0" w:type="dxa"/>
              <w:right w:w="82" w:type="dxa"/>
            </w:tcMar>
            <w:vAlign w:val="center"/>
            <w:hideMark/>
          </w:tcPr>
          <w:p w:rsidR="00C13438" w:rsidRPr="00DE0726" w:rsidRDefault="00C13438" w:rsidP="00C13438">
            <w:pPr>
              <w:spacing w:after="0" w:line="200" w:lineRule="exact"/>
              <w:rPr>
                <w:rFonts w:ascii="Arial" w:eastAsia="Times New Roman" w:hAnsi="Arial"/>
                <w:i/>
                <w:iCs/>
                <w:sz w:val="20"/>
                <w:szCs w:val="20"/>
              </w:rPr>
            </w:pPr>
            <w:r w:rsidRPr="00DE0726">
              <w:rPr>
                <w:rFonts w:ascii="Times New Roman" w:hAnsi="Times New Roman" w:cs="Times New Roman"/>
                <w:b/>
                <w:bCs/>
                <w:i/>
                <w:iCs/>
                <w:color w:val="000000" w:themeColor="text1"/>
                <w:kern w:val="24"/>
                <w:sz w:val="20"/>
                <w:szCs w:val="20"/>
              </w:rPr>
              <w:t>Lactobacilli</w:t>
            </w: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prF22lactobacil</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AGTGGAACTCCATGTGTAGCGG</w:t>
            </w:r>
          </w:p>
        </w:tc>
        <w:tc>
          <w:tcPr>
            <w:tcW w:w="1183"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"abstract" : "The invention provides means and methods for detecting, amplifying, quantifying and/or isolating nucleic acid of at least one Lactobacillus organism.", "id" : "ITEM-1", "issued" : { "date-parts" : [ [ "2008", "12", "3" ] ] }, "title" : "Lactobacillus", "type" : "patent" }, "uris" : [ "http://www.mendeley.com/documents/?uuid=3709c294-bd65-4893-9749-319019082442" ] } ], "mendeley" : { "formattedCitation" : "&lt;sup&gt;(24)&lt;/sup&gt;", "plainTextFormattedCitation" : "(24)", "previouslyFormattedCitation" : "&lt;sup&gt;(24)&lt;/sup&gt;"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(24)</w:t>
            </w:r>
            <w:r>
              <w:rPr>
                <w:rFonts w:ascii="Times New Roman" w:hAnsi="Times New Roman" w:cs="Times New Roman"/>
                <w:color w:val="000000" w:themeColor="text1"/>
                <w:kern w:val="24"/>
                <w:sz w:val="20"/>
                <w:szCs w:val="20"/>
              </w:rPr>
              <w:fldChar w:fldCharType="end"/>
            </w:r>
          </w:p>
        </w:tc>
      </w:tr>
      <w:tr w:rsidR="00C13438" w:rsidRPr="00F44E0C" w:rsidTr="00C13438">
        <w:trPr>
          <w:trHeight w:val="284"/>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prR26lactobacil</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GGTATCTAATCCTGTTCGCTACCCAT</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93"/>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P25lactobacil</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6-fam-CGTAGATATATGGAAGAACACCAGT-mgb</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1820" w:type="dxa"/>
            <w:vMerge w:val="restart"/>
            <w:shd w:val="clear" w:color="auto" w:fill="auto"/>
            <w:tcMar>
              <w:top w:w="15" w:type="dxa"/>
              <w:left w:w="82" w:type="dxa"/>
              <w:bottom w:w="0" w:type="dxa"/>
              <w:right w:w="82" w:type="dxa"/>
            </w:tcMar>
            <w:vAlign w:val="center"/>
            <w:hideMark/>
          </w:tcPr>
          <w:p w:rsidR="00C13438" w:rsidRPr="00DE0726" w:rsidRDefault="00C13438" w:rsidP="00C13438">
            <w:pPr>
              <w:spacing w:after="0" w:line="200" w:lineRule="exact"/>
              <w:rPr>
                <w:rFonts w:ascii="Arial" w:eastAsia="Times New Roman" w:hAnsi="Arial"/>
                <w:i/>
                <w:iCs/>
                <w:sz w:val="20"/>
                <w:szCs w:val="20"/>
              </w:rPr>
            </w:pPr>
            <w:r w:rsidRPr="00DE0726">
              <w:rPr>
                <w:rFonts w:ascii="Times New Roman" w:hAnsi="Times New Roman" w:cs="Times New Roman"/>
                <w:b/>
                <w:bCs/>
                <w:i/>
                <w:iCs/>
                <w:color w:val="000000" w:themeColor="text1"/>
                <w:kern w:val="24"/>
                <w:sz w:val="20"/>
                <w:szCs w:val="20"/>
              </w:rPr>
              <w:t>E</w:t>
            </w:r>
            <w:r>
              <w:rPr>
                <w:rFonts w:ascii="Times New Roman" w:hAnsi="Times New Roman" w:cs="Times New Roman"/>
                <w:b/>
                <w:bCs/>
                <w:i/>
                <w:iCs/>
                <w:color w:val="000000" w:themeColor="text1"/>
                <w:kern w:val="24"/>
                <w:sz w:val="20"/>
                <w:szCs w:val="20"/>
              </w:rPr>
              <w:t xml:space="preserve">scherichia </w:t>
            </w:r>
            <w:r w:rsidRPr="00DE0726">
              <w:rPr>
                <w:rFonts w:ascii="Times New Roman" w:hAnsi="Times New Roman" w:cs="Times New Roman"/>
                <w:b/>
                <w:bCs/>
                <w:i/>
                <w:iCs/>
                <w:color w:val="000000" w:themeColor="text1"/>
                <w:kern w:val="24"/>
                <w:sz w:val="20"/>
                <w:szCs w:val="20"/>
              </w:rPr>
              <w:t>coli</w:t>
            </w: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prF23Ecoli </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CCTTACCTGGTCTTGACATCCAC</w:t>
            </w:r>
          </w:p>
        </w:tc>
        <w:tc>
          <w:tcPr>
            <w:tcW w:w="1183"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"DOI" : "10.1017/S0007114511004697", "ISSN" : "1475-2662", "PMID" : "21910949", "abstract" : "Faecal microbial changes associated with ageing include reduced bifidobacteria numbers. These changes coincide with an increased risk of disease development. Prebiotics have been observed to increase bifidobacteria numbers within humans. The present study aimed to determine if prebiotic galacto-oligosaccharides (GOS) could benefit a population of men and women of 50 years and above, through modulation of faecal microbiota, fermentation characteristics and faecal water genotoxicity. A total of thirty-seven volunteers completed this randomised, double-blind, placebo-controlled crossover trial. The treatments - juice containing 4 g GOS and placebo - were consumed twice daily for 3 weeks, preceded by 3-week washout periods. To study the effect of GOS on different large bowel regions, three-stage continuous culture systems were conducted in parallel using faecal inocula from three volunteers. Faecal samples were microbially enumerated by quantitative PCR. In vivo, following GOS intervention, bifidobacteria were significantly more compared to post-placebo (P = 0\u00b702). Accordingly, GOS supplementation had a bifidogenic effect in all in vitro system vessels. Furthermore, in vessel 1 (similar to the proximal colon), GOS fermentation led to more lactobacilli and increased butyrate. No changes in faecal water genotoxicity were observed. To conclude, GOS supplementation significantly increased bifidobacteria numbers in vivo and in vitro. Increased butyrate production and elevated bifidobacteria numbers may constitute beneficial modulation of the gut microbiota in a maturing population.", "author" : [ { "dropping-particle" : "", "family" : "Walton", "given" : "Gemma E", "non-dropping-particle" : "", "parse-names" : false, "suffix" : "" }, { "dropping-particle" : "", "family" : "Heuvel", "given" : "Ellen G H M", "non-dropping-particle" : "van den", "parse-names" : false, "suffix" : "" }, { "dropping-particle" : "", "family" : "Kosters", "given" : "Marit H W", "non-dropping-particle" : "", "parse-names" : false, "suffix" : "" }, { "dropping-particle" : "", "family" : "Rastall", "given" : "Robert a", "non-dropping-particle" : "", "parse-names" : false, "suffix" : "" }, { "dropping-particle" : "", "family" : "Tuohy", "given" : "Kieran M", "non-dropping-particle" : "", "parse-names" : false, "suffix" : "" }, { "dropping-particle" : "", "family" : "Gibson", "given" : "Glenn R", "non-dropping-particle" : "", "parse-names" : false, "suffix" : "" } ], "container-title" : "Br. J. Nutr.", "id" : "ITEM-1", "issue" : "10", "issued" : { "date-parts" : [ [ "2012", "5" ] ] }, "page" : "1466-1475", "title" : "A randomised crossover study investigating the effects of galacto-oligosaccharides on the faecal microbiota in men and women over 50 years of age.", "type" : "article-journal", "volume" : "107" }, "uris" : [ "http://www.mendeley.com/documents/?uuid=849bedc9-49fe-47e7-b508-7558be59b259" ] } ], "mendeley" : { "formattedCitation" : "&lt;sup&gt;(21)&lt;/sup&gt;", "plainTextFormattedCitation" : "(21)", "previouslyFormattedCitation" : "&lt;sup&gt;(21)&lt;/sup&gt;"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(21)</w:t>
            </w:r>
            <w:r>
              <w:rPr>
                <w:rFonts w:ascii="Times New Roman" w:hAnsi="Times New Roman" w:cs="Times New Roman"/>
                <w:color w:val="000000" w:themeColor="text1"/>
                <w:kern w:val="24"/>
                <w:sz w:val="20"/>
                <w:szCs w:val="20"/>
              </w:rPr>
              <w:fldChar w:fldCharType="end"/>
            </w:r>
          </w:p>
        </w:tc>
      </w:tr>
      <w:tr w:rsidR="00C13438" w:rsidRPr="00F44E0C" w:rsidTr="00C13438">
        <w:trPr>
          <w:trHeight w:val="260"/>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prR26Ecoli</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AGTTTATCACTGGCAGTCTCCTTTGA</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67"/>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P20Ecoli</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6-fam-TTATCCTTTGTTGCCAGCGG-mgb</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1820"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DE0726">
              <w:rPr>
                <w:rFonts w:ascii="Times New Roman" w:hAnsi="Times New Roman" w:cs="Times New Roman"/>
                <w:b/>
                <w:bCs/>
                <w:i/>
                <w:iCs/>
                <w:color w:val="000000" w:themeColor="text1"/>
                <w:kern w:val="24"/>
                <w:sz w:val="20"/>
                <w:szCs w:val="20"/>
              </w:rPr>
              <w:t>Clostridia</w:t>
            </w:r>
            <w:r w:rsidRPr="00855528">
              <w:rPr>
                <w:rFonts w:ascii="Times New Roman" w:hAnsi="Times New Roman" w:cs="Times New Roman"/>
                <w:b/>
                <w:bCs/>
                <w:color w:val="000000" w:themeColor="text1"/>
                <w:kern w:val="24"/>
                <w:sz w:val="20"/>
                <w:szCs w:val="20"/>
                <w:vertAlign w:val="superscript"/>
              </w:rPr>
              <w:t>*</w:t>
            </w: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proofErr w:type="spellStart"/>
            <w:r w:rsidRPr="0004181A">
              <w:rPr>
                <w:rFonts w:ascii="Times New Roman" w:hAnsi="Times New Roman" w:cs="Times New Roman"/>
                <w:color w:val="000000" w:themeColor="text1"/>
                <w:kern w:val="24"/>
                <w:sz w:val="20"/>
                <w:szCs w:val="20"/>
              </w:rPr>
              <w:t>prFclosB</w:t>
            </w:r>
            <w:proofErr w:type="spellEnd"/>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line="200" w:lineRule="exact"/>
              <w:rPr>
                <w:rFonts w:ascii="Arial" w:eastAsia="Times New Roman" w:hAnsi="Arial"/>
                <w:sz w:val="20"/>
                <w:szCs w:val="20"/>
              </w:rPr>
            </w:pPr>
            <w:r w:rsidRPr="0004181A">
              <w:rPr>
                <w:rFonts w:ascii="Times New Roman" w:hAnsi="Times New Roman" w:cs="Times New Roman"/>
                <w:color w:val="000000" w:themeColor="text1"/>
                <w:kern w:val="24"/>
                <w:sz w:val="20"/>
                <w:szCs w:val="20"/>
              </w:rPr>
              <w:t>GGCGGACGGGTGAGTAACA</w:t>
            </w:r>
          </w:p>
        </w:tc>
        <w:tc>
          <w:tcPr>
            <w:tcW w:w="1183" w:type="dxa"/>
            <w:vMerge w:val="restart"/>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"DOI" : "10.1017/S0007114511004697", "ISSN" : "1475-2662", "PMID" : "21910949", "abstract" : "Faecal microbial changes associated with ageing include reduced bifidobacteria numbers. These changes coincide with an increased risk of disease development. Prebiotics have been observed to increase bifidobacteria numbers within humans. The present study aimed to determine if prebiotic galacto-oligosaccharides (GOS) could benefit a population of men and women of 50 years and above, through modulation of faecal microbiota, fermentation characteristics and faecal water genotoxicity. A total of thirty-seven volunteers completed this randomised, double-blind, placebo-controlled crossover trial. The treatments - juice containing 4 g GOS and placebo - were consumed twice daily for 3 weeks, preceded by 3-week washout periods. To study the effect of GOS on different large bowel regions, three-stage continuous culture systems were conducted in parallel using faecal inocula from three volunteers. Faecal samples were microbially enumerated by quantitative PCR. In vivo, following GOS intervention, bifidobacteria were significantly more compared to post-placebo (P = 0\u00b702). Accordingly, GOS supplementation had a bifidogenic effect in all in vitro system vessels. Furthermore, in vessel 1 (similar to the proximal colon), GOS fermentation led to more lactobacilli and increased butyrate. No changes in faecal water genotoxicity were observed. To conclude, GOS supplementation significantly increased bifidobacteria numbers in vivo and in vitro. Increased butyrate production and elevated bifidobacteria numbers may constitute beneficial modulation of the gut microbiota in a maturing population.", "author" : [ { "dropping-particle" : "", "family" : "Walton", "given" : "Gemma E", "non-dropping-particle" : "", "parse-names" : false, "suffix" : "" }, { "dropping-particle" : "", "family" : "Heuvel", "given" : "Ellen G H M", "non-dropping-particle" : "van den", "parse-names" : false, "suffix" : "" }, { "dropping-particle" : "", "family" : "Kosters", "given" : "Marit H W", "non-dropping-particle" : "", "parse-names" : false, "suffix" : "" }, { "dropping-particle" : "", "family" : "Rastall", "given" : "Robert a", "non-dropping-particle" : "", "parse-names" : false, "suffix" : "" }, { "dropping-particle" : "", "family" : "Tuohy", "given" : "Kieran M", "non-dropping-particle" : "", "parse-names" : false, "suffix" : "" }, { "dropping-particle" : "", "family" : "Gibson", "given" : "Glenn R", "non-dropping-particle" : "", "parse-names" : false, "suffix" : "" } ], "container-title" : "Br. J. Nutr.", "id" : "ITEM-1", "issue" : "10", "issued" : { "date-parts" : [ [ "2012", "5" ] ] }, "page" : "1466-1475", "title" : "A randomised crossover study investigating the effects of galacto-oligosaccharides on the faecal microbiota in men and women over 50 years of age.", "type" : "article-journal", "volume" : "107" }, "uris" : [ "http://www.mendeley.com/documents/?uuid=849bedc9-49fe-47e7-b508-7558be59b259" ] } ], "mendeley" : { "formattedCitation" : "&lt;sup&gt;(21)&lt;/sup&gt;", "plainTextFormattedCitation" : "(21)", "previouslyFormattedCitation" : "&lt;sup&gt;(21)&lt;/sup&gt;"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(21)</w:t>
            </w:r>
            <w:r>
              <w:rPr>
                <w:rFonts w:ascii="Times New Roman" w:hAnsi="Times New Roman" w:cs="Times New Roman"/>
                <w:color w:val="000000" w:themeColor="text1"/>
                <w:kern w:val="24"/>
                <w:sz w:val="20"/>
                <w:szCs w:val="20"/>
              </w:rPr>
              <w:fldChar w:fldCharType="end"/>
            </w:r>
          </w:p>
        </w:tc>
      </w:tr>
      <w:tr w:rsidR="00C13438" w:rsidRPr="00F44E0C" w:rsidTr="00C13438">
        <w:trPr>
          <w:trHeight w:val="245"/>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proofErr w:type="spellStart"/>
            <w:r w:rsidRPr="0004181A">
              <w:rPr>
                <w:rFonts w:ascii="Times New Roman" w:hAnsi="Times New Roman" w:cs="Times New Roman"/>
                <w:color w:val="000000" w:themeColor="text1"/>
                <w:kern w:val="24"/>
                <w:sz w:val="20"/>
                <w:szCs w:val="20"/>
              </w:rPr>
              <w:t>prRclosK</w:t>
            </w:r>
            <w:proofErr w:type="spellEnd"/>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line="200" w:lineRule="exact"/>
              <w:rPr>
                <w:rFonts w:ascii="Arial" w:eastAsia="Times New Roman" w:hAnsi="Arial"/>
                <w:sz w:val="20"/>
                <w:szCs w:val="20"/>
              </w:rPr>
            </w:pPr>
            <w:r w:rsidRPr="0004181A">
              <w:rPr>
                <w:rFonts w:ascii="Times New Roman" w:hAnsi="Times New Roman" w:cs="Times New Roman"/>
                <w:color w:val="000000" w:themeColor="text1"/>
                <w:kern w:val="24"/>
                <w:sz w:val="20"/>
                <w:szCs w:val="20"/>
              </w:rPr>
              <w:t>CGTTGCTGCATCAGGGTTT</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61"/>
        </w:trPr>
        <w:tc>
          <w:tcPr>
            <w:tcW w:w="0" w:type="auto"/>
            <w:vMerge/>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proofErr w:type="spellStart"/>
            <w:r w:rsidRPr="0004181A">
              <w:rPr>
                <w:rFonts w:ascii="Times New Roman" w:hAnsi="Times New Roman" w:cs="Times New Roman"/>
                <w:color w:val="000000" w:themeColor="text1"/>
                <w:kern w:val="24"/>
                <w:sz w:val="20"/>
                <w:szCs w:val="20"/>
              </w:rPr>
              <w:t>PclosF</w:t>
            </w:r>
            <w:proofErr w:type="spellEnd"/>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6-fam-CGAAAGGAAGATTAATACCG-mgb</w:t>
            </w:r>
          </w:p>
        </w:tc>
        <w:tc>
          <w:tcPr>
            <w:tcW w:w="1183" w:type="dxa"/>
            <w:vMerge/>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245"/>
        </w:trPr>
        <w:tc>
          <w:tcPr>
            <w:tcW w:w="1820" w:type="dxa"/>
            <w:vMerge w:val="restart"/>
            <w:tcBorders>
              <w:bottom w:val="single" w:sz="4" w:space="0" w:color="auto"/>
            </w:tcBorders>
            <w:shd w:val="clear" w:color="auto" w:fill="auto"/>
            <w:tcMar>
              <w:top w:w="15" w:type="dxa"/>
              <w:left w:w="82" w:type="dxa"/>
              <w:bottom w:w="0" w:type="dxa"/>
              <w:right w:w="82" w:type="dxa"/>
            </w:tcMar>
            <w:vAlign w:val="center"/>
            <w:hideMark/>
          </w:tcPr>
          <w:p w:rsidR="00C13438" w:rsidRPr="00DE0726" w:rsidRDefault="00C13438" w:rsidP="00C13438">
            <w:pPr>
              <w:spacing w:after="0" w:line="200" w:lineRule="exact"/>
              <w:rPr>
                <w:rFonts w:ascii="Arial" w:eastAsia="Times New Roman" w:hAnsi="Arial"/>
                <w:i/>
                <w:iCs/>
                <w:sz w:val="20"/>
                <w:szCs w:val="20"/>
              </w:rPr>
            </w:pPr>
            <w:proofErr w:type="spellStart"/>
            <w:r w:rsidRPr="00DE0726">
              <w:rPr>
                <w:rFonts w:ascii="Times New Roman" w:hAnsi="Times New Roman" w:cs="Times New Roman"/>
                <w:b/>
                <w:bCs/>
                <w:i/>
                <w:iCs/>
                <w:color w:val="000000" w:themeColor="text1"/>
                <w:kern w:val="24"/>
                <w:sz w:val="20"/>
                <w:szCs w:val="20"/>
              </w:rPr>
              <w:t>Bacteroides</w:t>
            </w:r>
            <w:proofErr w:type="spellEnd"/>
          </w:p>
          <w:p w:rsidR="00C13438" w:rsidRPr="00DE0726" w:rsidRDefault="00C13438" w:rsidP="00C13438">
            <w:pPr>
              <w:spacing w:after="0"/>
              <w:rPr>
                <w:rFonts w:ascii="Arial" w:eastAsia="Times New Roman" w:hAnsi="Arial"/>
                <w:i/>
                <w:iCs/>
                <w:sz w:val="20"/>
                <w:szCs w:val="20"/>
              </w:rPr>
            </w:pPr>
            <w:r w:rsidRPr="00DE0726">
              <w:rPr>
                <w:rFonts w:ascii="Times New Roman" w:hAnsi="Times New Roman" w:cs="Times New Roman"/>
                <w:b/>
                <w:bCs/>
                <w:i/>
                <w:iCs/>
                <w:color w:val="000000" w:themeColor="text1"/>
                <w:kern w:val="24"/>
                <w:sz w:val="20"/>
                <w:szCs w:val="20"/>
              </w:rPr>
              <w:t> </w:t>
            </w: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prF20bacteriode </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GAGGAACCTTACCCGGGHTT</w:t>
            </w:r>
          </w:p>
        </w:tc>
        <w:tc>
          <w:tcPr>
            <w:tcW w:w="1183" w:type="dxa"/>
            <w:vMerge w:val="restart"/>
            <w:tcBorders>
              <w:bottom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jc w:val="center"/>
              <w:rPr>
                <w:rFonts w:ascii="Arial" w:eastAsia="Times New Roman" w:hAnsi="Arial"/>
                <w:sz w:val="20"/>
                <w:szCs w:val="20"/>
              </w:rPr>
            </w:pPr>
            <w:r>
              <w:rPr>
                <w:rFonts w:ascii="Times New Roman" w:hAnsi="Times New Roman" w:cs="Times New Roman"/>
                <w:color w:val="000000" w:themeColor="text1"/>
                <w:kern w:val="24"/>
                <w:sz w:val="20"/>
                <w:szCs w:val="20"/>
              </w:rPr>
              <w:fldChar w:fldCharType="begin" w:fldLock="1"/>
            </w:r>
            <w:r>
              <w:rPr>
                <w:rFonts w:ascii="Times New Roman" w:hAnsi="Times New Roman" w:cs="Times New Roman"/>
                <w:color w:val="000000" w:themeColor="text1"/>
                <w:kern w:val="24"/>
                <w:sz w:val="20"/>
                <w:szCs w:val="20"/>
              </w:rPr>
              <w:instrText>ADDIN CSL_CITATION { "citationItems" : [ { "id" : "ITEM-1", "itemData" : { "DOI" : "10.1017/S0007114511004697", "ISSN" : "1475-2662", "PMID" : "21910949", "abstract" : "Faecal microbial changes associated with ageing include reduced bifidobacteria numbers. These changes coincide with an increased risk of disease development. Prebiotics have been observed to increase bifidobacteria numbers within humans. The present study aimed to determine if prebiotic galacto-oligosaccharides (GOS) could benefit a population of men and women of 50 years and above, through modulation of faecal microbiota, fermentation characteristics and faecal water genotoxicity. A total of thirty-seven volunteers completed this randomised, double-blind, placebo-controlled crossover trial. The treatments - juice containing 4 g GOS and placebo - were consumed twice daily for 3 weeks, preceded by 3-week washout periods. To study the effect of GOS on different large bowel regions, three-stage continuous culture systems were conducted in parallel using faecal inocula from three volunteers. Faecal samples were microbially enumerated by quantitative PCR. In vivo, following GOS intervention, bifidobacteria were significantly more compared to post-placebo (P = 0\u00b702). Accordingly, GOS supplementation had a bifidogenic effect in all in vitro system vessels. Furthermore, in vessel 1 (similar to the proximal colon), GOS fermentation led to more lactobacilli and increased butyrate. No changes in faecal water genotoxicity were observed. To conclude, GOS supplementation significantly increased bifidobacteria numbers in vivo and in vitro. Increased butyrate production and elevated bifidobacteria numbers may constitute beneficial modulation of the gut microbiota in a maturing population.", "author" : [ { "dropping-particle" : "", "family" : "Walton", "given" : "Gemma E", "non-dropping-particle" : "", "parse-names" : false, "suffix" : "" }, { "dropping-particle" : "", "family" : "Heuvel", "given" : "Ellen G H M", "non-dropping-particle" : "van den", "parse-names" : false, "suffix" : "" }, { "dropping-particle" : "", "family" : "Kosters", "given" : "Marit H W", "non-dropping-particle" : "", "parse-names" : false, "suffix" : "" }, { "dropping-particle" : "", "family" : "Rastall", "given" : "Robert a", "non-dropping-particle" : "", "parse-names" : false, "suffix" : "" }, { "dropping-particle" : "", "family" : "Tuohy", "given" : "Kieran M", "non-dropping-particle" : "", "parse-names" : false, "suffix" : "" }, { "dropping-particle" : "", "family" : "Gibson", "given" : "Glenn R", "non-dropping-particle" : "", "parse-names" : false, "suffix" : "" } ], "container-title" : "Br. J. Nutr.", "id" : "ITEM-1", "issue" : "10", "issued" : { "date-parts" : [ [ "2012", "5" ] ] }, "page" : "1466-1475", "title" : "A randomised crossover study investigating the effects of galacto-oligosaccharides on the faecal microbiota in men and women over 50 years of age.", "type" : "article-journal", "volume" : "107" }, "uris" : [ "http://www.mendeley.com/documents/?uuid=849bedc9-49fe-47e7-b508-7558be59b259" ] } ], "mendeley" : { "formattedCitation" : "&lt;sup&gt;(21)&lt;/sup&gt;", "plainTextFormattedCitation" : "(21)", "previouslyFormattedCitation" : "&lt;sup&gt;(21)&lt;/sup&gt;" }, "properties" : { "noteIndex" : 0 }, "schema" : "https://github.com/citation-style-language/schema/raw/master/csl-citation.json" }</w:instrText>
            </w:r>
            <w:r>
              <w:rPr>
                <w:rFonts w:ascii="Times New Roman" w:hAnsi="Times New Roman" w:cs="Times New Roman"/>
                <w:color w:val="000000" w:themeColor="text1"/>
                <w:kern w:val="24"/>
                <w:sz w:val="20"/>
                <w:szCs w:val="20"/>
              </w:rPr>
              <w:fldChar w:fldCharType="separate"/>
            </w:r>
            <w:r w:rsidRPr="00632515">
              <w:rPr>
                <w:rFonts w:ascii="Times New Roman" w:hAnsi="Times New Roman" w:cs="Times New Roman"/>
                <w:noProof/>
                <w:color w:val="000000" w:themeColor="text1"/>
                <w:kern w:val="24"/>
                <w:sz w:val="20"/>
                <w:szCs w:val="20"/>
                <w:vertAlign w:val="superscript"/>
              </w:rPr>
              <w:t>(21)</w:t>
            </w:r>
            <w:r>
              <w:rPr>
                <w:rFonts w:ascii="Times New Roman" w:hAnsi="Times New Roman" w:cs="Times New Roman"/>
                <w:color w:val="000000" w:themeColor="text1"/>
                <w:kern w:val="24"/>
                <w:sz w:val="20"/>
                <w:szCs w:val="20"/>
              </w:rPr>
              <w:fldChar w:fldCharType="end"/>
            </w:r>
          </w:p>
        </w:tc>
      </w:tr>
      <w:tr w:rsidR="00C13438" w:rsidRPr="00F44E0C" w:rsidTr="00C13438">
        <w:trPr>
          <w:trHeight w:val="245"/>
        </w:trPr>
        <w:tc>
          <w:tcPr>
            <w:tcW w:w="0" w:type="auto"/>
            <w:vMerge/>
            <w:tcBorders>
              <w:bottom w:val="single" w:sz="4" w:space="0" w:color="auto"/>
            </w:tcBorders>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prR17bacteriode</w:t>
            </w:r>
          </w:p>
        </w:tc>
        <w:tc>
          <w:tcPr>
            <w:tcW w:w="5014" w:type="dxa"/>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GGACGTAAGGGCCGTGC</w:t>
            </w:r>
          </w:p>
        </w:tc>
        <w:tc>
          <w:tcPr>
            <w:tcW w:w="1183" w:type="dxa"/>
            <w:vMerge/>
            <w:tcBorders>
              <w:bottom w:val="single" w:sz="4" w:space="0" w:color="auto"/>
            </w:tcBorders>
            <w:vAlign w:val="center"/>
            <w:hideMark/>
          </w:tcPr>
          <w:p w:rsidR="00C13438" w:rsidRPr="0004181A" w:rsidRDefault="00C13438" w:rsidP="00C13438">
            <w:pPr>
              <w:spacing w:after="0" w:line="240" w:lineRule="auto"/>
              <w:rPr>
                <w:rFonts w:ascii="Arial" w:eastAsia="Times New Roman" w:hAnsi="Arial"/>
                <w:sz w:val="20"/>
                <w:szCs w:val="20"/>
              </w:rPr>
            </w:pPr>
          </w:p>
        </w:tc>
      </w:tr>
      <w:tr w:rsidR="00C13438" w:rsidRPr="00F44E0C" w:rsidTr="00C13438">
        <w:trPr>
          <w:trHeight w:val="80"/>
        </w:trPr>
        <w:tc>
          <w:tcPr>
            <w:tcW w:w="0" w:type="auto"/>
            <w:vMerge/>
            <w:tcBorders>
              <w:bottom w:val="single" w:sz="4" w:space="0" w:color="auto"/>
            </w:tcBorders>
            <w:vAlign w:val="center"/>
            <w:hideMark/>
          </w:tcPr>
          <w:p w:rsidR="00C13438" w:rsidRPr="0004181A" w:rsidRDefault="00C13438" w:rsidP="00C13438">
            <w:pPr>
              <w:spacing w:after="0" w:line="240" w:lineRule="auto"/>
              <w:rPr>
                <w:rFonts w:ascii="Arial" w:eastAsia="Times New Roman" w:hAnsi="Arial"/>
                <w:sz w:val="20"/>
                <w:szCs w:val="20"/>
              </w:rPr>
            </w:pPr>
          </w:p>
        </w:tc>
        <w:tc>
          <w:tcPr>
            <w:tcW w:w="1851" w:type="dxa"/>
            <w:tcBorders>
              <w:bottom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P19bacteriode</w:t>
            </w:r>
          </w:p>
        </w:tc>
        <w:tc>
          <w:tcPr>
            <w:tcW w:w="5014" w:type="dxa"/>
            <w:tcBorders>
              <w:bottom w:val="single" w:sz="4" w:space="0" w:color="auto"/>
            </w:tcBorders>
            <w:shd w:val="clear" w:color="auto" w:fill="auto"/>
            <w:tcMar>
              <w:top w:w="15" w:type="dxa"/>
              <w:left w:w="82" w:type="dxa"/>
              <w:bottom w:w="0" w:type="dxa"/>
              <w:right w:w="82" w:type="dxa"/>
            </w:tcMar>
            <w:vAlign w:val="center"/>
            <w:hideMark/>
          </w:tcPr>
          <w:p w:rsidR="00C13438" w:rsidRPr="0004181A" w:rsidRDefault="00C13438" w:rsidP="00C13438">
            <w:pPr>
              <w:spacing w:after="0"/>
              <w:rPr>
                <w:rFonts w:ascii="Arial" w:eastAsia="Times New Roman" w:hAnsi="Arial"/>
                <w:sz w:val="20"/>
                <w:szCs w:val="20"/>
              </w:rPr>
            </w:pPr>
            <w:r w:rsidRPr="0004181A">
              <w:rPr>
                <w:rFonts w:ascii="Times New Roman" w:hAnsi="Times New Roman" w:cs="Times New Roman"/>
                <w:color w:val="000000" w:themeColor="text1"/>
                <w:kern w:val="24"/>
                <w:sz w:val="20"/>
                <w:szCs w:val="20"/>
              </w:rPr>
              <w:t>6-fam-CTTAAGTGCCATAACGAGC-mgb</w:t>
            </w:r>
          </w:p>
        </w:tc>
        <w:tc>
          <w:tcPr>
            <w:tcW w:w="1183" w:type="dxa"/>
            <w:vMerge/>
            <w:tcBorders>
              <w:bottom w:val="single" w:sz="4" w:space="0" w:color="auto"/>
            </w:tcBorders>
            <w:vAlign w:val="center"/>
            <w:hideMark/>
          </w:tcPr>
          <w:p w:rsidR="00C13438" w:rsidRPr="0004181A" w:rsidRDefault="00C13438" w:rsidP="00C13438">
            <w:pPr>
              <w:spacing w:after="0" w:line="240" w:lineRule="auto"/>
              <w:rPr>
                <w:rFonts w:ascii="Arial" w:eastAsia="Times New Roman" w:hAnsi="Arial"/>
                <w:sz w:val="20"/>
                <w:szCs w:val="20"/>
              </w:rPr>
            </w:pPr>
          </w:p>
        </w:tc>
      </w:tr>
    </w:tbl>
    <w:p w:rsidR="00A3182B" w:rsidRDefault="00C13438" w:rsidP="00A3182B">
      <w:pPr>
        <w:tabs>
          <w:tab w:val="left" w:pos="8327"/>
        </w:tabs>
      </w:pPr>
      <w:r w:rsidRPr="005E2429">
        <w:rPr>
          <w:noProof/>
        </w:rPr>
        <mc:AlternateContent>
          <mc:Choice Requires="wps">
            <w:drawing>
              <wp:anchor distT="0" distB="0" distL="114300" distR="114300" simplePos="0" relativeHeight="251669504" behindDoc="0" locked="0" layoutInCell="1" allowOverlap="1" wp14:anchorId="6430022E" wp14:editId="20D08AFC">
                <wp:simplePos x="0" y="0"/>
                <wp:positionH relativeFrom="column">
                  <wp:posOffset>-123190</wp:posOffset>
                </wp:positionH>
                <wp:positionV relativeFrom="paragraph">
                  <wp:posOffset>143179</wp:posOffset>
                </wp:positionV>
                <wp:extent cx="6543924" cy="307340"/>
                <wp:effectExtent l="0" t="0" r="0" b="0"/>
                <wp:wrapNone/>
                <wp:docPr id="5" name="Rectangle 4"/>
                <wp:cNvGraphicFramePr/>
                <a:graphic xmlns:a="http://schemas.openxmlformats.org/drawingml/2006/main">
                  <a:graphicData uri="http://schemas.microsoft.com/office/word/2010/wordprocessingShape">
                    <wps:wsp>
                      <wps:cNvSpPr/>
                      <wps:spPr>
                        <a:xfrm>
                          <a:off x="0" y="0"/>
                          <a:ext cx="6543924" cy="307340"/>
                        </a:xfrm>
                        <a:prstGeom prst="rect">
                          <a:avLst/>
                        </a:prstGeom>
                      </wps:spPr>
                      <wps:txbx>
                        <w:txbxContent>
                          <w:p w:rsidR="00C13438" w:rsidRPr="0004181A" w:rsidRDefault="00C13438" w:rsidP="00C13438">
                            <w:pPr>
                              <w:pStyle w:val="NormalWeb"/>
                              <w:rPr>
                                <w:sz w:val="22"/>
                                <w:szCs w:val="22"/>
                                <w:lang w:val="en-US"/>
                              </w:rPr>
                            </w:pPr>
                            <w:proofErr w:type="gramStart"/>
                            <w:r w:rsidRPr="001E0E3F">
                              <w:rPr>
                                <w:rFonts w:eastAsia="Calibri"/>
                                <w:b/>
                                <w:bCs/>
                                <w:color w:val="000000"/>
                                <w:kern w:val="24"/>
                                <w:lang w:val="en-US"/>
                              </w:rPr>
                              <w:t>Supplementary Table 2</w:t>
                            </w:r>
                            <w:r>
                              <w:rPr>
                                <w:rFonts w:eastAsia="+mn-ea"/>
                                <w:b/>
                                <w:bCs/>
                                <w:color w:val="000000"/>
                                <w:kern w:val="24"/>
                                <w:lang w:val="en-US"/>
                              </w:rPr>
                              <w:t>.</w:t>
                            </w:r>
                            <w:proofErr w:type="gramEnd"/>
                            <w:r>
                              <w:rPr>
                                <w:rFonts w:eastAsia="+mn-ea"/>
                                <w:b/>
                                <w:bCs/>
                                <w:color w:val="000000"/>
                                <w:kern w:val="24"/>
                                <w:lang w:val="en-US"/>
                              </w:rPr>
                              <w:t xml:space="preserve"> Group and species-specific </w:t>
                            </w:r>
                            <w:r w:rsidRPr="0004181A">
                              <w:rPr>
                                <w:rFonts w:eastAsia="+mn-ea"/>
                                <w:b/>
                                <w:bCs/>
                                <w:color w:val="000000"/>
                                <w:kern w:val="24"/>
                                <w:lang w:val="en-US"/>
                              </w:rPr>
                              <w:t xml:space="preserve">16S </w:t>
                            </w:r>
                            <w:proofErr w:type="spellStart"/>
                            <w:r w:rsidRPr="0004181A">
                              <w:rPr>
                                <w:rFonts w:eastAsia="+mn-ea"/>
                                <w:b/>
                                <w:bCs/>
                                <w:color w:val="000000"/>
                                <w:kern w:val="24"/>
                                <w:lang w:val="en-US"/>
                              </w:rPr>
                              <w:t>rRNA</w:t>
                            </w:r>
                            <w:proofErr w:type="spellEnd"/>
                            <w:r w:rsidRPr="0004181A">
                              <w:rPr>
                                <w:rFonts w:eastAsia="+mn-ea"/>
                                <w:b/>
                                <w:bCs/>
                                <w:color w:val="000000"/>
                                <w:kern w:val="24"/>
                                <w:lang w:val="en-US"/>
                              </w:rPr>
                              <w:t xml:space="preserve"> gene-targeted primers and probes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7pt;margin-top:11.25pt;width:515.25pt;height: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hNiAEAAPYCAAAOAAAAZHJzL2Uyb0RvYy54bWysUk1v2zAMvQ/YfxB0X+wmabcZcYoBRXsZ&#10;umLdfgAjS7EA66OkEjv/fpTipUN3G3ahRJF85HvU5nZygzhqJBt8K68WtRTaq9BZv2/lzx/3Hz5J&#10;QQl8B0PwupUnTfJ2+/7dZoyNXoY+DJ1GwSCemjG2sk8pNlVFqtcOaBGi9hw0AR0kdnFfdQgjo7uh&#10;Wtb1TTUG7CIGpYn49e4clNuCb4xW6ZsxpJMYWsmzpWKx2F221XYDzR4h9lbNY8A/TOHAem56gbqD&#10;BOKA9i8oZxUGCiYtVHBVMMYqXTgwm6v6DZvnHqIuXFgciheZ6P/BqsfjEwrbtfJaCg+OV/SdRQO/&#10;H7RYZ3nGSA1nPccnnD3ia+Y6GXT5ZBZiKpKeLpLqKQnFjzfX69Xn5VoKxbFV/XG1LppXr9URKT3o&#10;4ES+tBK5e1ESjl8pcUdO/Z3CTp7m3D/f0rSb5uHn2XahOzGhkTfaSno5AGYBgWu+HFK4twUxl54T&#10;Z0QWtzSaP0Le3p9+yXr9rttfAAAA//8DAFBLAwQUAAYACAAAACEAwjBbv+AAAAAKAQAADwAAAGRy&#10;cy9kb3ducmV2LnhtbEyPQU7DMBBF90jcwRokNqi1HZWWhDgVKiC13RF6ACcektB4HMVuG26Pu4Ll&#10;6D/9/yZfT7ZnZxx950iBnAtgSLUzHTUKDp/vsydgPmgyuneECn7Qw7q4vcl1ZtyFPvBchobFEvKZ&#10;VtCGMGSc+7pFq/3cDUgx+3Kj1SGeY8PNqC+x3PY8EWLJre4oLrR6wE2L9bE8WQW7/WJ/2Gz59zHt&#10;Xh+2q1Lwavmm1P3d9PIMLOAU/mC46kd1KKJT5U5kPOsVzGS6iKiCJHkEdgWElBJYpWAlUuBFzv+/&#10;UPwCAAD//wMAUEsBAi0AFAAGAAgAAAAhALaDOJL+AAAA4QEAABMAAAAAAAAAAAAAAAAAAAAAAFtD&#10;b250ZW50X1R5cGVzXS54bWxQSwECLQAUAAYACAAAACEAOP0h/9YAAACUAQAACwAAAAAAAAAAAAAA&#10;AAAvAQAAX3JlbHMvLnJlbHNQSwECLQAUAAYACAAAACEA4xiYTYgBAAD2AgAADgAAAAAAAAAAAAAA&#10;AAAuAgAAZHJzL2Uyb0RvYy54bWxQSwECLQAUAAYACAAAACEAwjBbv+AAAAAKAQAADwAAAAAAAAAA&#10;AAAAAADiAwAAZHJzL2Rvd25yZXYueG1sUEsFBgAAAAAEAAQA8wAAAO8EAAAAAA==&#10;" filled="f" stroked="f">
                <v:textbox style="mso-fit-shape-to-text:t">
                  <w:txbxContent>
                    <w:p w:rsidR="00C13438" w:rsidRPr="0004181A" w:rsidRDefault="00C13438" w:rsidP="00C13438">
                      <w:pPr>
                        <w:pStyle w:val="NormalWeb"/>
                        <w:rPr>
                          <w:sz w:val="22"/>
                          <w:szCs w:val="22"/>
                          <w:lang w:val="en-US"/>
                        </w:rPr>
                      </w:pPr>
                      <w:proofErr w:type="spellStart"/>
                      <w:r>
                        <w:rPr>
                          <w:rFonts w:eastAsia="Calibri"/>
                          <w:b/>
                          <w:bCs/>
                          <w:color w:val="000000"/>
                          <w:kern w:val="24"/>
                        </w:rPr>
                        <w:t>Supplementary</w:t>
                      </w:r>
                      <w:proofErr w:type="spellEnd"/>
                      <w:r>
                        <w:rPr>
                          <w:rFonts w:eastAsia="Calibri"/>
                          <w:b/>
                          <w:bCs/>
                          <w:color w:val="000000"/>
                          <w:kern w:val="24"/>
                        </w:rPr>
                        <w:t xml:space="preserve"> </w:t>
                      </w:r>
                      <w:proofErr w:type="spellStart"/>
                      <w:r>
                        <w:rPr>
                          <w:rFonts w:eastAsia="Calibri"/>
                          <w:b/>
                          <w:bCs/>
                          <w:color w:val="000000"/>
                          <w:kern w:val="24"/>
                        </w:rPr>
                        <w:t>Table</w:t>
                      </w:r>
                      <w:proofErr w:type="spellEnd"/>
                      <w:r>
                        <w:rPr>
                          <w:rFonts w:eastAsia="Calibri"/>
                          <w:b/>
                          <w:bCs/>
                          <w:color w:val="000000"/>
                          <w:kern w:val="24"/>
                        </w:rPr>
                        <w:t xml:space="preserve"> 2</w:t>
                      </w:r>
                      <w:r>
                        <w:rPr>
                          <w:rFonts w:eastAsia="+mn-ea"/>
                          <w:b/>
                          <w:bCs/>
                          <w:color w:val="000000"/>
                          <w:kern w:val="24"/>
                          <w:lang w:val="en-US"/>
                        </w:rPr>
                        <w:t xml:space="preserve">. Group and species-specific </w:t>
                      </w:r>
                      <w:r w:rsidRPr="0004181A">
                        <w:rPr>
                          <w:rFonts w:eastAsia="+mn-ea"/>
                          <w:b/>
                          <w:bCs/>
                          <w:color w:val="000000"/>
                          <w:kern w:val="24"/>
                          <w:lang w:val="en-US"/>
                        </w:rPr>
                        <w:t xml:space="preserve">16S </w:t>
                      </w:r>
                      <w:proofErr w:type="spellStart"/>
                      <w:r w:rsidRPr="0004181A">
                        <w:rPr>
                          <w:rFonts w:eastAsia="+mn-ea"/>
                          <w:b/>
                          <w:bCs/>
                          <w:color w:val="000000"/>
                          <w:kern w:val="24"/>
                          <w:lang w:val="en-US"/>
                        </w:rPr>
                        <w:t>rRNA</w:t>
                      </w:r>
                      <w:proofErr w:type="spellEnd"/>
                      <w:r w:rsidRPr="0004181A">
                        <w:rPr>
                          <w:rFonts w:eastAsia="+mn-ea"/>
                          <w:b/>
                          <w:bCs/>
                          <w:color w:val="000000"/>
                          <w:kern w:val="24"/>
                          <w:lang w:val="en-US"/>
                        </w:rPr>
                        <w:t xml:space="preserve"> gene-targeted primers and probes </w:t>
                      </w:r>
                    </w:p>
                  </w:txbxContent>
                </v:textbox>
              </v:rect>
            </w:pict>
          </mc:Fallback>
        </mc:AlternateContent>
      </w:r>
    </w:p>
    <w:p w:rsidR="00A3182B" w:rsidRDefault="00C13438" w:rsidP="00A3182B">
      <w:pPr>
        <w:tabs>
          <w:tab w:val="left" w:pos="8327"/>
        </w:tabs>
      </w:pPr>
      <w:r w:rsidRPr="005E2429">
        <w:rPr>
          <w:noProof/>
        </w:rPr>
        <mc:AlternateContent>
          <mc:Choice Requires="wps">
            <w:drawing>
              <wp:anchor distT="0" distB="0" distL="114300" distR="114300" simplePos="0" relativeHeight="251671552" behindDoc="0" locked="0" layoutInCell="1" allowOverlap="1" wp14:anchorId="6116403D" wp14:editId="2DAB55FA">
                <wp:simplePos x="0" y="0"/>
                <wp:positionH relativeFrom="margin">
                  <wp:posOffset>-158750</wp:posOffset>
                </wp:positionH>
                <wp:positionV relativeFrom="paragraph">
                  <wp:posOffset>3791254</wp:posOffset>
                </wp:positionV>
                <wp:extent cx="6324600" cy="304165"/>
                <wp:effectExtent l="0" t="0" r="0" b="0"/>
                <wp:wrapNone/>
                <wp:docPr id="7" name="Rectangle 6"/>
                <wp:cNvGraphicFramePr/>
                <a:graphic xmlns:a="http://schemas.openxmlformats.org/drawingml/2006/main">
                  <a:graphicData uri="http://schemas.microsoft.com/office/word/2010/wordprocessingShape">
                    <wps:wsp>
                      <wps:cNvSpPr/>
                      <wps:spPr>
                        <a:xfrm>
                          <a:off x="0" y="0"/>
                          <a:ext cx="6324600" cy="304165"/>
                        </a:xfrm>
                        <a:prstGeom prst="rect">
                          <a:avLst/>
                        </a:prstGeom>
                      </wps:spPr>
                      <wps:txbx>
                        <w:txbxContent>
                          <w:p w:rsidR="00C13438" w:rsidRPr="00E7439F" w:rsidRDefault="00C13438" w:rsidP="00C13438">
                            <w:pPr>
                              <w:pStyle w:val="NormalWeb"/>
                              <w:spacing w:line="276" w:lineRule="auto"/>
                              <w:rPr>
                                <w:sz w:val="20"/>
                                <w:szCs w:val="20"/>
                                <w:lang w:val="en-US"/>
                              </w:rPr>
                            </w:pPr>
                            <w:r w:rsidRPr="00E7439F">
                              <w:rPr>
                                <w:rFonts w:eastAsia="Calibri"/>
                                <w:b/>
                                <w:bCs/>
                                <w:color w:val="000000"/>
                                <w:kern w:val="24"/>
                                <w:sz w:val="20"/>
                                <w:szCs w:val="20"/>
                                <w:vertAlign w:val="superscript"/>
                                <w:lang w:val="en-US"/>
                              </w:rPr>
                              <w:t>*</w:t>
                            </w:r>
                            <w:r w:rsidRPr="00E7439F">
                              <w:rPr>
                                <w:rFonts w:eastAsia="Calibri"/>
                                <w:color w:val="000000"/>
                                <w:kern w:val="24"/>
                                <w:sz w:val="20"/>
                                <w:szCs w:val="20"/>
                                <w:lang w:val="en-US"/>
                              </w:rPr>
                              <w:t xml:space="preserve">Clostridia includes (C. perfringens, C. </w:t>
                            </w:r>
                            <w:proofErr w:type="spellStart"/>
                            <w:r w:rsidRPr="00E7439F">
                              <w:rPr>
                                <w:rFonts w:eastAsia="Calibri"/>
                                <w:color w:val="000000"/>
                                <w:kern w:val="24"/>
                                <w:sz w:val="20"/>
                                <w:szCs w:val="20"/>
                                <w:lang w:val="en-US"/>
                              </w:rPr>
                              <w:t>paraputrificum</w:t>
                            </w:r>
                            <w:proofErr w:type="spellEnd"/>
                            <w:r w:rsidRPr="00E7439F">
                              <w:rPr>
                                <w:rFonts w:eastAsia="Calibri"/>
                                <w:color w:val="000000"/>
                                <w:kern w:val="24"/>
                                <w:sz w:val="20"/>
                                <w:szCs w:val="20"/>
                                <w:lang w:val="en-US"/>
                              </w:rPr>
                              <w:t xml:space="preserve">, C. </w:t>
                            </w:r>
                            <w:proofErr w:type="spellStart"/>
                            <w:r w:rsidRPr="00E7439F">
                              <w:rPr>
                                <w:rFonts w:eastAsia="Calibri"/>
                                <w:color w:val="000000"/>
                                <w:kern w:val="24"/>
                                <w:sz w:val="20"/>
                                <w:szCs w:val="20"/>
                                <w:lang w:val="en-US"/>
                              </w:rPr>
                              <w:t>Tertium</w:t>
                            </w:r>
                            <w:proofErr w:type="spellEnd"/>
                            <w:r w:rsidRPr="00E7439F">
                              <w:rPr>
                                <w:rFonts w:eastAsia="Calibri"/>
                                <w:color w:val="000000"/>
                                <w:kern w:val="24"/>
                                <w:sz w:val="20"/>
                                <w:szCs w:val="20"/>
                                <w:lang w:val="en-US"/>
                              </w:rPr>
                              <w:t xml:space="preserve">, C. </w:t>
                            </w:r>
                            <w:proofErr w:type="spellStart"/>
                            <w:r w:rsidRPr="00E7439F">
                              <w:rPr>
                                <w:rFonts w:eastAsia="Calibri"/>
                                <w:color w:val="000000"/>
                                <w:kern w:val="24"/>
                                <w:sz w:val="20"/>
                                <w:szCs w:val="20"/>
                                <w:lang w:val="en-US"/>
                              </w:rPr>
                              <w:t>Butyricum</w:t>
                            </w:r>
                            <w:proofErr w:type="spellEnd"/>
                            <w:r w:rsidRPr="00E7439F">
                              <w:rPr>
                                <w:rFonts w:eastAsia="Calibri"/>
                                <w:color w:val="000000"/>
                                <w:kern w:val="24"/>
                                <w:sz w:val="20"/>
                                <w:szCs w:val="20"/>
                                <w:lang w:val="en-US"/>
                              </w:rPr>
                              <w:t>).</w:t>
                            </w:r>
                            <w:r w:rsidRPr="00E7439F">
                              <w:rPr>
                                <w:rFonts w:eastAsia="+mn-ea"/>
                                <w:color w:val="000000"/>
                                <w:kern w:val="24"/>
                                <w:sz w:val="20"/>
                                <w:szCs w:val="20"/>
                                <w:lang w:val="en-US"/>
                              </w:rPr>
                              <w:t xml:space="preserve">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12.5pt;margin-top:298.5pt;width:498pt;height:2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xJhwEAAPYCAAAOAAAAZHJzL2Uyb0RvYy54bWysUk1v2zAMvQ/ofxB0b+ykrTcYcYoCRXcZ&#10;tmLdfgAjS7EA66OkEjv/fpSSpUN3G3aRRJF8eu9R6/vZjeKgkWzwnVwuaim0V6G3ftfJnz+erj9J&#10;QQl8D2PwupNHTfJ+c/VhPcVWr8IQxl6jYBBP7RQ7OaQU26oiNWgHtAhRe06agA4Sh7ireoSJ0d1Y&#10;req6qaaAfcSgNBHfPp6SclPwjdEqfTOGdBJjJ5lbKiuWdZvXarOGdocQB6vONOAfWDiwnh+9QD1C&#10;ArFH+xeUswoDBZMWKrgqGGOVLhpYzbJ+p+ZlgKiLFjaH4sUm+n+w6uvhGYXtO/lRCg+OR/SdTQO/&#10;G7Vosj1TpJarXuIzniPiY9Y6G3R5ZxViLpYeL5bqOQnFl83N6rap2XnFuZv6dtncZdDqrTsipc86&#10;OJEPnUR+vTgJhy+UTqW/S7gvszm9n09p3s6F/IXpNvRHFjTxRDtJr3vAbCBwz8M+hSdbEHPrqfCM&#10;yOYWTuePkKf3Z1yq3r7r5hcAAAD//wMAUEsDBBQABgAIAAAAIQCgZdIx4QAAAAsBAAAPAAAAZHJz&#10;L2Rvd25yZXYueG1sTI9BT4NAEIXvJv6HzZh4Me3ShoJQhsZUTdrexP6ABbaAZWcJu23x3zue9PZe&#10;5uXN97LNZHpx1aPrLCEs5gEITZWtO2oQjp/vs2cQziuqVW9JI3xrB5v8/i5TaW1v9KGvhW8El5BL&#10;FULr/ZBK6apWG+XmdtDEt5MdjfJsx0bWo7pxuenlMggiaVRH/KFVg962ujoXF4OwP4SH43Ynv85J&#10;9/q0i4tAltEb4uPD9LIG4fXk/8Lwi8/okDNTaS9UO9EjzJYr3uIRVknMghNJvGBRIkRhmIDMM/l/&#10;Q/4DAAD//wMAUEsBAi0AFAAGAAgAAAAhALaDOJL+AAAA4QEAABMAAAAAAAAAAAAAAAAAAAAAAFtD&#10;b250ZW50X1R5cGVzXS54bWxQSwECLQAUAAYACAAAACEAOP0h/9YAAACUAQAACwAAAAAAAAAAAAAA&#10;AAAvAQAAX3JlbHMvLnJlbHNQSwECLQAUAAYACAAAACEAnK6sSYcBAAD2AgAADgAAAAAAAAAAAAAA&#10;AAAuAgAAZHJzL2Uyb0RvYy54bWxQSwECLQAUAAYACAAAACEAoGXSMeEAAAALAQAADwAAAAAAAAAA&#10;AAAAAADhAwAAZHJzL2Rvd25yZXYueG1sUEsFBgAAAAAEAAQA8wAAAO8EAAAAAA==&#10;" filled="f" stroked="f">
                <v:textbox style="mso-fit-shape-to-text:t">
                  <w:txbxContent>
                    <w:p w:rsidR="00C13438" w:rsidRPr="00E7439F" w:rsidRDefault="00C13438" w:rsidP="00C13438">
                      <w:pPr>
                        <w:pStyle w:val="NormalWeb"/>
                        <w:spacing w:line="276" w:lineRule="auto"/>
                        <w:rPr>
                          <w:sz w:val="20"/>
                          <w:szCs w:val="20"/>
                          <w:lang w:val="en-US"/>
                        </w:rPr>
                      </w:pPr>
                      <w:r w:rsidRPr="00E7439F">
                        <w:rPr>
                          <w:rFonts w:eastAsia="Calibri"/>
                          <w:b/>
                          <w:bCs/>
                          <w:color w:val="000000"/>
                          <w:kern w:val="24"/>
                          <w:sz w:val="20"/>
                          <w:szCs w:val="20"/>
                          <w:vertAlign w:val="superscript"/>
                          <w:lang w:val="en-US"/>
                        </w:rPr>
                        <w:t>*</w:t>
                      </w:r>
                      <w:r w:rsidRPr="00E7439F">
                        <w:rPr>
                          <w:rFonts w:eastAsia="Calibri"/>
                          <w:color w:val="000000"/>
                          <w:kern w:val="24"/>
                          <w:sz w:val="20"/>
                          <w:szCs w:val="20"/>
                          <w:lang w:val="en-US"/>
                        </w:rPr>
                        <w:t xml:space="preserve">Clostridia includes (C. </w:t>
                      </w:r>
                      <w:proofErr w:type="spellStart"/>
                      <w:r w:rsidRPr="00E7439F">
                        <w:rPr>
                          <w:rFonts w:eastAsia="Calibri"/>
                          <w:color w:val="000000"/>
                          <w:kern w:val="24"/>
                          <w:sz w:val="20"/>
                          <w:szCs w:val="20"/>
                          <w:lang w:val="en-US"/>
                        </w:rPr>
                        <w:t>perfringens</w:t>
                      </w:r>
                      <w:proofErr w:type="spellEnd"/>
                      <w:r w:rsidRPr="00E7439F">
                        <w:rPr>
                          <w:rFonts w:eastAsia="Calibri"/>
                          <w:color w:val="000000"/>
                          <w:kern w:val="24"/>
                          <w:sz w:val="20"/>
                          <w:szCs w:val="20"/>
                          <w:lang w:val="en-US"/>
                        </w:rPr>
                        <w:t xml:space="preserve">, C. </w:t>
                      </w:r>
                      <w:proofErr w:type="spellStart"/>
                      <w:r w:rsidRPr="00E7439F">
                        <w:rPr>
                          <w:rFonts w:eastAsia="Calibri"/>
                          <w:color w:val="000000"/>
                          <w:kern w:val="24"/>
                          <w:sz w:val="20"/>
                          <w:szCs w:val="20"/>
                          <w:lang w:val="en-US"/>
                        </w:rPr>
                        <w:t>paraputrificum</w:t>
                      </w:r>
                      <w:proofErr w:type="spellEnd"/>
                      <w:r w:rsidRPr="00E7439F">
                        <w:rPr>
                          <w:rFonts w:eastAsia="Calibri"/>
                          <w:color w:val="000000"/>
                          <w:kern w:val="24"/>
                          <w:sz w:val="20"/>
                          <w:szCs w:val="20"/>
                          <w:lang w:val="en-US"/>
                        </w:rPr>
                        <w:t xml:space="preserve">, C. </w:t>
                      </w:r>
                      <w:proofErr w:type="spellStart"/>
                      <w:r w:rsidRPr="00E7439F">
                        <w:rPr>
                          <w:rFonts w:eastAsia="Calibri"/>
                          <w:color w:val="000000"/>
                          <w:kern w:val="24"/>
                          <w:sz w:val="20"/>
                          <w:szCs w:val="20"/>
                          <w:lang w:val="en-US"/>
                        </w:rPr>
                        <w:t>Tertium</w:t>
                      </w:r>
                      <w:proofErr w:type="spellEnd"/>
                      <w:r w:rsidRPr="00E7439F">
                        <w:rPr>
                          <w:rFonts w:eastAsia="Calibri"/>
                          <w:color w:val="000000"/>
                          <w:kern w:val="24"/>
                          <w:sz w:val="20"/>
                          <w:szCs w:val="20"/>
                          <w:lang w:val="en-US"/>
                        </w:rPr>
                        <w:t xml:space="preserve">, C. </w:t>
                      </w:r>
                      <w:proofErr w:type="spellStart"/>
                      <w:r w:rsidRPr="00E7439F">
                        <w:rPr>
                          <w:rFonts w:eastAsia="Calibri"/>
                          <w:color w:val="000000"/>
                          <w:kern w:val="24"/>
                          <w:sz w:val="20"/>
                          <w:szCs w:val="20"/>
                          <w:lang w:val="en-US"/>
                        </w:rPr>
                        <w:t>Butyricum</w:t>
                      </w:r>
                      <w:proofErr w:type="spellEnd"/>
                      <w:r w:rsidRPr="00E7439F">
                        <w:rPr>
                          <w:rFonts w:eastAsia="Calibri"/>
                          <w:color w:val="000000"/>
                          <w:kern w:val="24"/>
                          <w:sz w:val="20"/>
                          <w:szCs w:val="20"/>
                          <w:lang w:val="en-US"/>
                        </w:rPr>
                        <w:t>).</w:t>
                      </w:r>
                      <w:r w:rsidRPr="00E7439F">
                        <w:rPr>
                          <w:rFonts w:eastAsia="+mn-ea"/>
                          <w:color w:val="000000"/>
                          <w:kern w:val="24"/>
                          <w:sz w:val="20"/>
                          <w:szCs w:val="20"/>
                          <w:lang w:val="en-US"/>
                        </w:rPr>
                        <w:t xml:space="preserve">   </w:t>
                      </w:r>
                    </w:p>
                  </w:txbxContent>
                </v:textbox>
                <w10:wrap anchorx="margin"/>
              </v:rect>
            </w:pict>
          </mc:Fallback>
        </mc:AlternateContent>
      </w:r>
    </w:p>
    <w:p w:rsidR="00A3182B" w:rsidRDefault="00A3182B">
      <w:r>
        <w:br w:type="page"/>
      </w:r>
    </w:p>
    <w:p w:rsidR="00A3182B" w:rsidRDefault="00A3182B" w:rsidP="00A3182B">
      <w:pPr>
        <w:tabs>
          <w:tab w:val="left" w:pos="8327"/>
        </w:tabs>
      </w:pPr>
      <w:r w:rsidRPr="00BE5EF8">
        <w:rPr>
          <w:noProof/>
        </w:rPr>
        <w:lastRenderedPageBreak/>
        <mc:AlternateContent>
          <mc:Choice Requires="wps">
            <w:drawing>
              <wp:anchor distT="0" distB="0" distL="114300" distR="114300" simplePos="0" relativeHeight="251667456" behindDoc="0" locked="0" layoutInCell="1" allowOverlap="1" wp14:anchorId="37CBE47F" wp14:editId="2409ABCA">
                <wp:simplePos x="0" y="0"/>
                <wp:positionH relativeFrom="column">
                  <wp:posOffset>280974</wp:posOffset>
                </wp:positionH>
                <wp:positionV relativeFrom="paragraph">
                  <wp:posOffset>74930</wp:posOffset>
                </wp:positionV>
                <wp:extent cx="5003800" cy="30734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3073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3182B" w:rsidRPr="00EF6415" w:rsidRDefault="00C60C1E" w:rsidP="00377EB8">
                            <w:pPr>
                              <w:pStyle w:val="NormalWeb"/>
                              <w:textAlignment w:val="baseline"/>
                              <w:rPr>
                                <w:sz w:val="22"/>
                                <w:szCs w:val="22"/>
                                <w:lang w:val="en-US"/>
                              </w:rPr>
                            </w:pPr>
                            <w:proofErr w:type="gramStart"/>
                            <w:r w:rsidRPr="001E0E3F">
                              <w:rPr>
                                <w:rFonts w:eastAsia="Calibri"/>
                                <w:b/>
                                <w:bCs/>
                                <w:color w:val="000000"/>
                                <w:kern w:val="24"/>
                                <w:lang w:val="en-US"/>
                              </w:rPr>
                              <w:t>Supplementary</w:t>
                            </w:r>
                            <w:r>
                              <w:rPr>
                                <w:rFonts w:eastAsia="Calibri"/>
                                <w:b/>
                                <w:bCs/>
                                <w:color w:val="000000"/>
                                <w:kern w:val="24"/>
                                <w:lang w:val="en-US"/>
                              </w:rPr>
                              <w:t xml:space="preserve"> </w:t>
                            </w:r>
                            <w:r w:rsidR="007A59DF">
                              <w:rPr>
                                <w:rFonts w:eastAsia="Calibri"/>
                                <w:b/>
                                <w:bCs/>
                                <w:color w:val="000000"/>
                                <w:kern w:val="24"/>
                                <w:lang w:val="en-US"/>
                              </w:rPr>
                              <w:t>Table 3</w:t>
                            </w:r>
                            <w:r w:rsidR="00A3182B" w:rsidRPr="00EF6415">
                              <w:rPr>
                                <w:rFonts w:eastAsia="Calibri"/>
                                <w:b/>
                                <w:bCs/>
                                <w:color w:val="000000"/>
                                <w:kern w:val="24"/>
                                <w:lang w:val="en-US"/>
                              </w:rPr>
                              <w:t>.</w:t>
                            </w:r>
                            <w:proofErr w:type="gramEnd"/>
                            <w:r w:rsidR="00A3182B" w:rsidRPr="00EF6415">
                              <w:rPr>
                                <w:rFonts w:eastAsia="Calibri"/>
                                <w:b/>
                                <w:bCs/>
                                <w:color w:val="000000"/>
                                <w:kern w:val="24"/>
                                <w:lang w:val="en-US"/>
                              </w:rPr>
                              <w:t xml:space="preserve"> </w:t>
                            </w:r>
                            <w:bookmarkStart w:id="0" w:name="_GoBack"/>
                            <w:bookmarkEnd w:id="0"/>
                            <w:r w:rsidR="00A3182B" w:rsidRPr="00EF6415">
                              <w:rPr>
                                <w:rFonts w:eastAsia="Calibri"/>
                                <w:b/>
                                <w:bCs/>
                                <w:color w:val="000000"/>
                                <w:kern w:val="24"/>
                                <w:lang w:val="en-US"/>
                              </w:rPr>
                              <w:t xml:space="preserve">Primer sequences of genes used for </w:t>
                            </w:r>
                            <w:proofErr w:type="spellStart"/>
                            <w:r w:rsidR="00A3182B" w:rsidRPr="00EF6415">
                              <w:rPr>
                                <w:rFonts w:eastAsia="Calibri"/>
                                <w:b/>
                                <w:bCs/>
                                <w:color w:val="000000"/>
                                <w:kern w:val="24"/>
                                <w:lang w:val="en-US"/>
                              </w:rPr>
                              <w:t>qRT</w:t>
                            </w:r>
                            <w:proofErr w:type="spellEnd"/>
                            <w:r w:rsidR="00A3182B" w:rsidRPr="00EF6415">
                              <w:rPr>
                                <w:rFonts w:eastAsia="Calibri"/>
                                <w:b/>
                                <w:bCs/>
                                <w:color w:val="000000"/>
                                <w:kern w:val="24"/>
                                <w:lang w:val="en-US"/>
                              </w:rPr>
                              <w:t>-PCR analysis</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2.1pt;margin-top:5.9pt;width:394pt;height:2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JoRQMAADMHAAAOAAAAZHJzL2Uyb0RvYy54bWysVd9v0zAQfkfif7D8nuVHk6aJlqE2bRDS&#10;GIiBeHYdp7FI7Mj2lg7E/87Zabtu7AEBeYhy8fl833d3ny/f7PsO3TOluRQFDi8CjJigsuZiV+Av&#10;nytvgZE2RNSkk4IV+IFp/Obq9avLcchZJFvZ1UwhCCJ0Pg4Fbo0Zct/XtGU90RdyYAIWG6l6YsBU&#10;O79WZITofedHQTD3R6nqQUnKtIa/62kRX7n4TcOo+dA0mhnUFRhyM+6t3Htr3/7VJcl3igwtp4c0&#10;yF9k0RMu4NBTqDUxBN0p/luonlMltWzMBZW9L5uGU+YwAJoweIbmtiUDc1iAHD2caNL/Lyy9uf+o&#10;EK+hdlApQXqo0SdgjYhdx1Bi+RkHnYPb7fBRWYR6uJb0m0ZCli14saVScmwZqSGr0Pr7TzZYQ8NW&#10;tB3fyxqikzsjHVX7RvU2IJCA9q4iD6eKsL1BFH4mQTBbBFA4CmuzIJ3FrmQ+yY+7B6XNWyZ7ZD8K&#10;rCB3F53cX2tjsyH50cUeJmTFu85VvRNPfoDj9Ie5tpl2kxwygU/raXNyJf2RBdlmsVnEXhzNN14c&#10;rNfesipjb16FabKerctyHf60WYRx3vK6ZsIeemyvMP6z8h0afWqMU4Np2fHahrMpuTFhZafQPYEG&#10;J5QyYaYiwOKjp/80E8cKwHmGKoziYBVlXjVfpF5cxYmXpcHCC8Jslc2DOIvX1VNU11ywf0eFxgJn&#10;SZS4sp0l/Rs8s38BGsl7bkBCOt4XGFoFnmmobUtuRO1KbQjvpu8zJmz2LzOxrJIgjWcLL02TmRfP&#10;NoG3WlSltyzD+TzdrMrV5ll9N65n9L+T4UpybEBryDtAd9vWI6q5bfBZkkUhBgNELEonvIh0O1Bf&#10;ahRGSpqv3LROOuw4vdAm213k5vQs+MTD47lnNB2gPTIFg3IcCjfqdronlTD77d5pyUk3trJ+gNmH&#10;CwJSb6X6jtEIYltgAbcBRt07AaqRhTGMNTLOiJM0AkOdr2zPV8RdX0podiCBCAoxD8AnozSTuIO6&#10;DsRci9uBWlfLgpWBz/uvRA0HrTAA40YeRZbkzyRj8nX8DUsQrYo7PbGCNsECSqwByuzIOdwiVvrP&#10;bef1eNdd/QIAAP//AwBQSwMEFAAGAAgAAAAhAOGzA8fcAAAACAEAAA8AAABkcnMvZG93bnJldi54&#10;bWxMj8FOwzAQRO9I/IO1SNyo3RBVVYhTIQRSr6So6tGNlyQ0XgfbTdO/ZznBcWdGs2/KzewGMWGI&#10;vScNy4UCgdR421Or4WP39rAGEZMhawZPqOGKETbV7U1pCusv9I5TnVrBJRQLo6FLaSykjE2HzsSF&#10;H5HY+/TBmcRnaKUN5sLlbpCZUivpTE/8oTMjvnTYnOqz0/Cd9odrXquvmMJuCtvu9TBuT1rf383P&#10;TyASzukvDL/4jA4VMx39mWwUg4Y8zzjJ+pIXsL9+zFg4alipDGRVyv8Dqh8AAAD//wMAUEsBAi0A&#10;FAAGAAgAAAAhALaDOJL+AAAA4QEAABMAAAAAAAAAAAAAAAAAAAAAAFtDb250ZW50X1R5cGVzXS54&#10;bWxQSwECLQAUAAYACAAAACEAOP0h/9YAAACUAQAACwAAAAAAAAAAAAAAAAAvAQAAX3JlbHMvLnJl&#10;bHNQSwECLQAUAAYACAAAACEANL6SaEUDAAAzBwAADgAAAAAAAAAAAAAAAAAuAgAAZHJzL2Uyb0Rv&#10;Yy54bWxQSwECLQAUAAYACAAAACEA4bMDx9wAAAAIAQAADwAAAAAAAAAAAAAAAACfBQAAZHJzL2Rv&#10;d25yZXYueG1sUEsFBgAAAAAEAAQA8wAAAKgGAAAAAA==&#10;" filled="f" fillcolor="#4f81bd [3204]" stroked="f" strokecolor="black [3213]">
                <v:shadow color="#eeece1 [3214]"/>
                <v:textbox style="mso-fit-shape-to-text:t">
                  <w:txbxContent>
                    <w:p w:rsidR="00A3182B" w:rsidRPr="00EF6415" w:rsidRDefault="00C60C1E" w:rsidP="00377EB8">
                      <w:pPr>
                        <w:pStyle w:val="NormalWeb"/>
                        <w:textAlignment w:val="baseline"/>
                        <w:rPr>
                          <w:sz w:val="22"/>
                          <w:szCs w:val="22"/>
                          <w:lang w:val="en-US"/>
                        </w:rPr>
                      </w:pPr>
                      <w:proofErr w:type="gramStart"/>
                      <w:r w:rsidRPr="001E0E3F">
                        <w:rPr>
                          <w:rFonts w:eastAsia="Calibri"/>
                          <w:b/>
                          <w:bCs/>
                          <w:color w:val="000000"/>
                          <w:kern w:val="24"/>
                          <w:lang w:val="en-US"/>
                        </w:rPr>
                        <w:t>Supplementary</w:t>
                      </w:r>
                      <w:r>
                        <w:rPr>
                          <w:rFonts w:eastAsia="Calibri"/>
                          <w:b/>
                          <w:bCs/>
                          <w:color w:val="000000"/>
                          <w:kern w:val="24"/>
                          <w:lang w:val="en-US"/>
                        </w:rPr>
                        <w:t xml:space="preserve"> </w:t>
                      </w:r>
                      <w:r w:rsidR="007A59DF">
                        <w:rPr>
                          <w:rFonts w:eastAsia="Calibri"/>
                          <w:b/>
                          <w:bCs/>
                          <w:color w:val="000000"/>
                          <w:kern w:val="24"/>
                          <w:lang w:val="en-US"/>
                        </w:rPr>
                        <w:t>Table 3</w:t>
                      </w:r>
                      <w:r w:rsidR="00A3182B" w:rsidRPr="00EF6415">
                        <w:rPr>
                          <w:rFonts w:eastAsia="Calibri"/>
                          <w:b/>
                          <w:bCs/>
                          <w:color w:val="000000"/>
                          <w:kern w:val="24"/>
                          <w:lang w:val="en-US"/>
                        </w:rPr>
                        <w:t>.</w:t>
                      </w:r>
                      <w:proofErr w:type="gramEnd"/>
                      <w:r w:rsidR="00A3182B" w:rsidRPr="00EF6415">
                        <w:rPr>
                          <w:rFonts w:eastAsia="Calibri"/>
                          <w:b/>
                          <w:bCs/>
                          <w:color w:val="000000"/>
                          <w:kern w:val="24"/>
                          <w:lang w:val="en-US"/>
                        </w:rPr>
                        <w:t xml:space="preserve"> </w:t>
                      </w:r>
                      <w:bookmarkStart w:id="1" w:name="_GoBack"/>
                      <w:bookmarkEnd w:id="1"/>
                      <w:r w:rsidR="00A3182B" w:rsidRPr="00EF6415">
                        <w:rPr>
                          <w:rFonts w:eastAsia="Calibri"/>
                          <w:b/>
                          <w:bCs/>
                          <w:color w:val="000000"/>
                          <w:kern w:val="24"/>
                          <w:lang w:val="en-US"/>
                        </w:rPr>
                        <w:t xml:space="preserve">Primer sequences of genes used for </w:t>
                      </w:r>
                      <w:proofErr w:type="spellStart"/>
                      <w:r w:rsidR="00A3182B" w:rsidRPr="00EF6415">
                        <w:rPr>
                          <w:rFonts w:eastAsia="Calibri"/>
                          <w:b/>
                          <w:bCs/>
                          <w:color w:val="000000"/>
                          <w:kern w:val="24"/>
                          <w:lang w:val="en-US"/>
                        </w:rPr>
                        <w:t>qRT</w:t>
                      </w:r>
                      <w:proofErr w:type="spellEnd"/>
                      <w:r w:rsidR="00A3182B" w:rsidRPr="00EF6415">
                        <w:rPr>
                          <w:rFonts w:eastAsia="Calibri"/>
                          <w:b/>
                          <w:bCs/>
                          <w:color w:val="000000"/>
                          <w:kern w:val="24"/>
                          <w:lang w:val="en-US"/>
                        </w:rPr>
                        <w:t>-PCR analysis</w:t>
                      </w:r>
                    </w:p>
                  </w:txbxContent>
                </v:textbox>
              </v:rect>
            </w:pict>
          </mc:Fallback>
        </mc:AlternateContent>
      </w:r>
    </w:p>
    <w:tbl>
      <w:tblPr>
        <w:tblpPr w:leftFromText="180" w:rightFromText="180" w:horzAnchor="margin" w:tblpY="564"/>
        <w:tblW w:w="9405" w:type="dxa"/>
        <w:tblCellMar>
          <w:left w:w="0" w:type="dxa"/>
          <w:right w:w="0" w:type="dxa"/>
        </w:tblCellMar>
        <w:tblLook w:val="04A0" w:firstRow="1" w:lastRow="0" w:firstColumn="1" w:lastColumn="0" w:noHBand="0" w:noVBand="1"/>
      </w:tblPr>
      <w:tblGrid>
        <w:gridCol w:w="883"/>
        <w:gridCol w:w="3161"/>
        <w:gridCol w:w="3106"/>
        <w:gridCol w:w="566"/>
        <w:gridCol w:w="1689"/>
      </w:tblGrid>
      <w:tr w:rsidR="00A3182B" w:rsidRPr="005749CB" w:rsidTr="00A3182B">
        <w:trPr>
          <w:trHeight w:val="302"/>
        </w:trPr>
        <w:tc>
          <w:tcPr>
            <w:tcW w:w="883"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jc w:val="center"/>
              <w:rPr>
                <w:rFonts w:ascii="Arial" w:eastAsia="Times New Roman" w:hAnsi="Arial"/>
                <w:sz w:val="20"/>
                <w:szCs w:val="20"/>
              </w:rPr>
            </w:pPr>
          </w:p>
        </w:tc>
        <w:tc>
          <w:tcPr>
            <w:tcW w:w="6267"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jc w:val="center"/>
              <w:rPr>
                <w:rFonts w:ascii="Arial" w:eastAsia="Times New Roman" w:hAnsi="Arial"/>
                <w:sz w:val="20"/>
                <w:szCs w:val="20"/>
              </w:rPr>
            </w:pPr>
            <w:r w:rsidRPr="005749CB">
              <w:rPr>
                <w:rFonts w:ascii="Times New Roman" w:hAnsi="Times New Roman"/>
                <w:b/>
                <w:bCs/>
                <w:color w:val="000000"/>
                <w:kern w:val="24"/>
                <w:sz w:val="20"/>
                <w:szCs w:val="20"/>
              </w:rPr>
              <w:t>Primer sequence (5’-3’)</w:t>
            </w:r>
          </w:p>
        </w:tc>
        <w:tc>
          <w:tcPr>
            <w:tcW w:w="2255" w:type="dxa"/>
            <w:gridSpan w:val="2"/>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rPr>
                <w:rFonts w:ascii="Arial" w:eastAsia="Times New Roman" w:hAnsi="Arial"/>
                <w:sz w:val="20"/>
                <w:szCs w:val="20"/>
              </w:rPr>
            </w:pPr>
            <w:r w:rsidRPr="005749CB">
              <w:rPr>
                <w:rFonts w:ascii="Times New Roman" w:hAnsi="Times New Roman"/>
                <w:b/>
                <w:bCs/>
                <w:color w:val="000000"/>
                <w:kern w:val="24"/>
                <w:sz w:val="20"/>
                <w:szCs w:val="20"/>
              </w:rPr>
              <w:t xml:space="preserve">           </w:t>
            </w:r>
          </w:p>
        </w:tc>
      </w:tr>
      <w:tr w:rsidR="00A3182B" w:rsidRPr="005749CB" w:rsidTr="00A3182B">
        <w:trPr>
          <w:trHeight w:val="175"/>
        </w:trPr>
        <w:tc>
          <w:tcPr>
            <w:tcW w:w="0" w:type="auto"/>
            <w:tcBorders>
              <w:bottom w:val="single" w:sz="4" w:space="0" w:color="auto"/>
            </w:tcBorders>
            <w:vAlign w:val="center"/>
            <w:hideMark/>
          </w:tcPr>
          <w:p w:rsidR="00A3182B" w:rsidRPr="005749CB" w:rsidRDefault="00A3182B" w:rsidP="003213F4">
            <w:pPr>
              <w:spacing w:after="0" w:line="240" w:lineRule="auto"/>
              <w:jc w:val="center"/>
              <w:rPr>
                <w:rFonts w:asciiTheme="majorBidi" w:eastAsia="Times New Roman" w:hAnsiTheme="majorBidi" w:cstheme="majorBidi"/>
                <w:b/>
                <w:bCs/>
                <w:sz w:val="20"/>
                <w:szCs w:val="20"/>
              </w:rPr>
            </w:pPr>
            <w:r w:rsidRPr="005749CB">
              <w:rPr>
                <w:rFonts w:asciiTheme="majorBidi" w:eastAsia="Times New Roman" w:hAnsiTheme="majorBidi" w:cstheme="majorBidi"/>
                <w:b/>
                <w:bCs/>
                <w:sz w:val="20"/>
                <w:szCs w:val="20"/>
              </w:rPr>
              <w:t>Target gene</w:t>
            </w:r>
          </w:p>
        </w:tc>
        <w:tc>
          <w:tcPr>
            <w:tcW w:w="316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jc w:val="center"/>
              <w:rPr>
                <w:rFonts w:ascii="Arial" w:eastAsia="Times New Roman" w:hAnsi="Arial"/>
                <w:sz w:val="20"/>
                <w:szCs w:val="20"/>
              </w:rPr>
            </w:pPr>
            <w:r w:rsidRPr="005749CB">
              <w:rPr>
                <w:rFonts w:ascii="Times New Roman" w:hAnsi="Times New Roman"/>
                <w:b/>
                <w:bCs/>
                <w:color w:val="000000"/>
                <w:kern w:val="24"/>
                <w:sz w:val="20"/>
                <w:szCs w:val="20"/>
              </w:rPr>
              <w:t>Forward</w:t>
            </w:r>
          </w:p>
        </w:tc>
        <w:tc>
          <w:tcPr>
            <w:tcW w:w="310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jc w:val="center"/>
              <w:rPr>
                <w:rFonts w:ascii="Arial" w:eastAsia="Times New Roman" w:hAnsi="Arial"/>
                <w:sz w:val="20"/>
                <w:szCs w:val="20"/>
              </w:rPr>
            </w:pPr>
            <w:r w:rsidRPr="005749CB">
              <w:rPr>
                <w:rFonts w:ascii="Times New Roman" w:hAnsi="Times New Roman"/>
                <w:b/>
                <w:bCs/>
                <w:color w:val="000000"/>
                <w:kern w:val="24"/>
                <w:sz w:val="20"/>
                <w:szCs w:val="20"/>
              </w:rPr>
              <w:t>Reverse</w:t>
            </w:r>
          </w:p>
        </w:tc>
        <w:tc>
          <w:tcPr>
            <w:tcW w:w="566" w:type="dxa"/>
            <w:tcBorders>
              <w:bottom w:val="single" w:sz="4" w:space="0" w:color="auto"/>
            </w:tcBorders>
            <w:shd w:val="clear" w:color="auto" w:fill="auto"/>
            <w:tcMar>
              <w:top w:w="15" w:type="dxa"/>
              <w:left w:w="108" w:type="dxa"/>
              <w:bottom w:w="0" w:type="dxa"/>
              <w:right w:w="108" w:type="dxa"/>
            </w:tcMar>
            <w:hideMark/>
          </w:tcPr>
          <w:p w:rsidR="00A3182B" w:rsidRPr="005749CB" w:rsidRDefault="00A3182B" w:rsidP="003213F4">
            <w:pPr>
              <w:spacing w:after="0" w:line="269" w:lineRule="atLeast"/>
              <w:jc w:val="center"/>
              <w:rPr>
                <w:rFonts w:ascii="Arial" w:eastAsia="Times New Roman" w:hAnsi="Arial"/>
                <w:sz w:val="20"/>
                <w:szCs w:val="20"/>
              </w:rPr>
            </w:pPr>
            <w:r w:rsidRPr="005749CB">
              <w:rPr>
                <w:rFonts w:ascii="Times New Roman" w:hAnsi="Times New Roman"/>
                <w:b/>
                <w:bCs/>
                <w:color w:val="000000"/>
                <w:kern w:val="24"/>
                <w:sz w:val="20"/>
                <w:szCs w:val="20"/>
              </w:rPr>
              <w:t>AT</w:t>
            </w:r>
          </w:p>
        </w:tc>
        <w:tc>
          <w:tcPr>
            <w:tcW w:w="1689" w:type="dxa"/>
            <w:tcBorders>
              <w:bottom w:val="single" w:sz="4" w:space="0" w:color="auto"/>
            </w:tcBorders>
            <w:shd w:val="clear" w:color="auto" w:fill="auto"/>
          </w:tcPr>
          <w:p w:rsidR="00A3182B" w:rsidRPr="005749CB" w:rsidRDefault="00A3182B" w:rsidP="003213F4">
            <w:pPr>
              <w:spacing w:after="0" w:line="269" w:lineRule="atLeast"/>
              <w:jc w:val="center"/>
              <w:rPr>
                <w:rFonts w:ascii="Arial" w:eastAsia="Times New Roman" w:hAnsi="Arial"/>
                <w:sz w:val="20"/>
                <w:szCs w:val="20"/>
              </w:rPr>
            </w:pPr>
            <w:r w:rsidRPr="005749CB">
              <w:rPr>
                <w:rFonts w:ascii="Times New Roman" w:hAnsi="Times New Roman"/>
                <w:b/>
                <w:bCs/>
                <w:color w:val="000000"/>
                <w:kern w:val="24"/>
                <w:sz w:val="20"/>
                <w:szCs w:val="20"/>
              </w:rPr>
              <w:t>References</w:t>
            </w:r>
          </w:p>
        </w:tc>
      </w:tr>
      <w:tr w:rsidR="00A3182B" w:rsidRPr="005749CB" w:rsidTr="00A3182B">
        <w:trPr>
          <w:trHeight w:val="200"/>
        </w:trPr>
        <w:tc>
          <w:tcPr>
            <w:tcW w:w="883"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307" w:lineRule="atLeast"/>
              <w:rPr>
                <w:rFonts w:ascii="Arial" w:eastAsia="Times New Roman" w:hAnsi="Arial"/>
                <w:sz w:val="20"/>
                <w:szCs w:val="20"/>
              </w:rPr>
            </w:pPr>
            <w:r w:rsidRPr="005749CB">
              <w:rPr>
                <w:rFonts w:ascii="Times New Roman" w:hAnsi="Times New Roman"/>
                <w:b/>
                <w:bCs/>
                <w:color w:val="000000"/>
                <w:kern w:val="24"/>
                <w:sz w:val="20"/>
                <w:szCs w:val="20"/>
              </w:rPr>
              <w:t>CLDN1</w:t>
            </w:r>
          </w:p>
        </w:tc>
        <w:tc>
          <w:tcPr>
            <w:tcW w:w="3161"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307" w:lineRule="atLeast"/>
              <w:rPr>
                <w:rFonts w:ascii="Arial" w:eastAsia="Times New Roman" w:hAnsi="Arial"/>
                <w:sz w:val="20"/>
                <w:szCs w:val="20"/>
              </w:rPr>
            </w:pPr>
            <w:r w:rsidRPr="005749CB">
              <w:rPr>
                <w:rFonts w:ascii="Times New Roman" w:hAnsi="Times New Roman"/>
                <w:color w:val="000000"/>
                <w:kern w:val="24"/>
                <w:sz w:val="20"/>
                <w:szCs w:val="20"/>
              </w:rPr>
              <w:t>TGGCTCCGCGTCTCAGTCC</w:t>
            </w:r>
          </w:p>
        </w:tc>
        <w:tc>
          <w:tcPr>
            <w:tcW w:w="3106"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307" w:lineRule="atLeast"/>
              <w:rPr>
                <w:rFonts w:ascii="Arial" w:eastAsia="Times New Roman" w:hAnsi="Arial"/>
                <w:sz w:val="20"/>
                <w:szCs w:val="20"/>
              </w:rPr>
            </w:pPr>
            <w:r w:rsidRPr="005749CB">
              <w:rPr>
                <w:rFonts w:ascii="Times New Roman" w:hAnsi="Times New Roman"/>
                <w:color w:val="000000"/>
                <w:kern w:val="24"/>
                <w:sz w:val="20"/>
                <w:szCs w:val="20"/>
              </w:rPr>
              <w:t>TGCGAGGGGTGCAGGTCTAA</w:t>
            </w:r>
          </w:p>
        </w:tc>
        <w:tc>
          <w:tcPr>
            <w:tcW w:w="566"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307" w:lineRule="atLeast"/>
              <w:rPr>
                <w:rFonts w:ascii="Arial" w:eastAsia="Times New Roman" w:hAnsi="Arial"/>
                <w:sz w:val="20"/>
                <w:szCs w:val="20"/>
              </w:rPr>
            </w:pPr>
            <w:r w:rsidRPr="005749CB">
              <w:rPr>
                <w:rFonts w:ascii="Times New Roman" w:hAnsi="Times New Roman"/>
                <w:color w:val="000000"/>
                <w:kern w:val="24"/>
                <w:sz w:val="20"/>
                <w:szCs w:val="20"/>
              </w:rPr>
              <w:t>65</w:t>
            </w:r>
          </w:p>
        </w:tc>
        <w:tc>
          <w:tcPr>
            <w:tcW w:w="1689" w:type="dxa"/>
            <w:tcBorders>
              <w:top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307" w:lineRule="atLeast"/>
              <w:rPr>
                <w:rFonts w:ascii="Arial" w:eastAsia="Times New Roman" w:hAnsi="Arial"/>
                <w:sz w:val="20"/>
                <w:szCs w:val="20"/>
              </w:rPr>
            </w:pPr>
            <w:r w:rsidRPr="005749CB">
              <w:rPr>
                <w:rFonts w:ascii="Times New Roman" w:hAnsi="Times New Roman"/>
                <w:color w:val="000000"/>
                <w:kern w:val="24"/>
                <w:sz w:val="20"/>
                <w:szCs w:val="20"/>
              </w:rPr>
              <w:t>NM_001244539.1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CLDN2</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CTCGTTGGCCTGTATCATCACC</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CAGGGGGGAGTAGAAGTCCC</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63.1</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NM_001161638.1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CLDN3</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AACACCATCATCCGGGACTTC</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CGCGGAGTAGAGGATCTTGG</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61.2</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NM_001160075.1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CLDN4</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222222"/>
                <w:kern w:val="24"/>
                <w:sz w:val="20"/>
                <w:szCs w:val="20"/>
              </w:rPr>
              <w:t>AGGAGAGACGCTTCAATCGG</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222222"/>
                <w:kern w:val="24"/>
                <w:sz w:val="20"/>
                <w:szCs w:val="20"/>
              </w:rPr>
              <w:t>GTCCAGACACCTGAACACCG</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63.1</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NM_001161637.1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HPRT</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CTGAACGGCTTGCTCGAGAT</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TCCAGCAGGTCAGCAAAGAA</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63.1</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NM_001032376.2</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OCLN</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ATCAACAAAGGCAACTCT</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GCAGCAGCCATGTACTCT</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55.8</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NM_001163647.2</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pBD-1</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TTCCTCCTCATGGTCCTGTT</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AGGTGCCGATCTGTTTCATC</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58.7</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NM_213838.1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pBD-2</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TGTCTGCCTCCTCTCTTCC</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AACAGGTCCCTTCAATCCTG</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58.7</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NM_214442.2</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pBD-3</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CCTTCTCTTTGCCTTGCTCTT</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GCCACTCACAGAACAGCTACC</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57</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NM_214444.1</w:t>
            </w:r>
          </w:p>
        </w:tc>
      </w:tr>
      <w:tr w:rsidR="00A3182B" w:rsidRPr="005749CB" w:rsidTr="00A3182B">
        <w:trPr>
          <w:trHeight w:val="209"/>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320" w:lineRule="atLeast"/>
              <w:rPr>
                <w:rFonts w:ascii="Arial" w:eastAsia="Times New Roman" w:hAnsi="Arial"/>
                <w:sz w:val="20"/>
                <w:szCs w:val="20"/>
              </w:rPr>
            </w:pPr>
            <w:r w:rsidRPr="005749CB">
              <w:rPr>
                <w:rFonts w:ascii="Times New Roman" w:hAnsi="Times New Roman"/>
                <w:b/>
                <w:bCs/>
                <w:color w:val="000000"/>
                <w:kern w:val="24"/>
                <w:sz w:val="20"/>
                <w:szCs w:val="20"/>
              </w:rPr>
              <w:t>pEP2C</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320" w:lineRule="atLeast"/>
              <w:rPr>
                <w:rFonts w:ascii="Arial" w:eastAsia="Times New Roman" w:hAnsi="Arial"/>
                <w:sz w:val="20"/>
                <w:szCs w:val="20"/>
              </w:rPr>
            </w:pPr>
            <w:r w:rsidRPr="005749CB">
              <w:rPr>
                <w:rFonts w:ascii="Times New Roman" w:hAnsi="Times New Roman"/>
                <w:color w:val="000000"/>
                <w:kern w:val="24"/>
                <w:sz w:val="20"/>
                <w:szCs w:val="20"/>
              </w:rPr>
              <w:t>CCCTGGACAAGAAACAAACAA</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320" w:lineRule="atLeast"/>
              <w:rPr>
                <w:rFonts w:ascii="Arial" w:eastAsia="Times New Roman" w:hAnsi="Arial"/>
                <w:sz w:val="20"/>
                <w:szCs w:val="20"/>
              </w:rPr>
            </w:pPr>
            <w:r w:rsidRPr="005749CB">
              <w:rPr>
                <w:rFonts w:ascii="Times New Roman" w:hAnsi="Times New Roman"/>
                <w:color w:val="000000"/>
                <w:kern w:val="24"/>
                <w:sz w:val="20"/>
                <w:szCs w:val="20"/>
              </w:rPr>
              <w:t>TGACATCTGCCTTCACTTCTC</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320" w:lineRule="atLeast"/>
              <w:rPr>
                <w:rFonts w:ascii="Arial" w:eastAsia="Times New Roman" w:hAnsi="Arial"/>
                <w:sz w:val="20"/>
                <w:szCs w:val="20"/>
              </w:rPr>
            </w:pPr>
            <w:r w:rsidRPr="005749CB">
              <w:rPr>
                <w:rFonts w:ascii="Times New Roman" w:hAnsi="Times New Roman"/>
                <w:color w:val="000000"/>
                <w:kern w:val="24"/>
                <w:sz w:val="20"/>
                <w:szCs w:val="20"/>
              </w:rPr>
              <w:t>55</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320" w:lineRule="atLeast"/>
              <w:rPr>
                <w:rFonts w:ascii="Arial" w:eastAsia="Times New Roman" w:hAnsi="Arial"/>
                <w:sz w:val="20"/>
                <w:szCs w:val="20"/>
              </w:rPr>
            </w:pPr>
            <w:r w:rsidRPr="005749CB">
              <w:rPr>
                <w:rFonts w:ascii="Times New Roman" w:hAnsi="Times New Roman"/>
                <w:color w:val="000000"/>
                <w:kern w:val="24"/>
                <w:sz w:val="20"/>
                <w:szCs w:val="20"/>
              </w:rPr>
              <w:t>BK005522.1</w:t>
            </w:r>
          </w:p>
        </w:tc>
      </w:tr>
      <w:tr w:rsidR="00A3182B" w:rsidRPr="005749CB" w:rsidTr="00A3182B">
        <w:trPr>
          <w:trHeight w:val="214"/>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330" w:lineRule="atLeast"/>
              <w:rPr>
                <w:rFonts w:ascii="Arial" w:eastAsia="Times New Roman" w:hAnsi="Arial"/>
                <w:sz w:val="20"/>
                <w:szCs w:val="20"/>
              </w:rPr>
            </w:pPr>
            <w:r w:rsidRPr="005749CB">
              <w:rPr>
                <w:rFonts w:ascii="Times New Roman" w:hAnsi="Times New Roman"/>
                <w:b/>
                <w:bCs/>
                <w:color w:val="000000"/>
                <w:kern w:val="24"/>
                <w:sz w:val="20"/>
                <w:szCs w:val="20"/>
              </w:rPr>
              <w:t>PG1-5</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330" w:lineRule="atLeast"/>
              <w:rPr>
                <w:rFonts w:ascii="Arial" w:eastAsia="Times New Roman" w:hAnsi="Arial"/>
                <w:sz w:val="20"/>
                <w:szCs w:val="20"/>
              </w:rPr>
            </w:pPr>
            <w:r w:rsidRPr="005749CB">
              <w:rPr>
                <w:rFonts w:ascii="Times New Roman" w:hAnsi="Times New Roman"/>
                <w:color w:val="000000"/>
                <w:kern w:val="24"/>
                <w:sz w:val="20"/>
                <w:szCs w:val="20"/>
              </w:rPr>
              <w:t>GTAGGTTCTGCGTCTGTGTCG</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330" w:lineRule="atLeast"/>
              <w:rPr>
                <w:rFonts w:ascii="Arial" w:eastAsia="Times New Roman" w:hAnsi="Arial"/>
                <w:sz w:val="20"/>
                <w:szCs w:val="20"/>
              </w:rPr>
            </w:pPr>
            <w:r w:rsidRPr="005749CB">
              <w:rPr>
                <w:rFonts w:ascii="Times New Roman" w:hAnsi="Times New Roman"/>
                <w:color w:val="000000"/>
                <w:kern w:val="24"/>
                <w:sz w:val="20"/>
                <w:szCs w:val="20"/>
              </w:rPr>
              <w:t>CAAATCCTTCACCGTCTACCA</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330" w:lineRule="atLeast"/>
              <w:rPr>
                <w:rFonts w:ascii="Arial" w:eastAsia="Times New Roman" w:hAnsi="Arial"/>
                <w:sz w:val="20"/>
                <w:szCs w:val="20"/>
              </w:rPr>
            </w:pPr>
            <w:r w:rsidRPr="005749CB">
              <w:rPr>
                <w:rFonts w:ascii="Times New Roman" w:hAnsi="Times New Roman"/>
                <w:color w:val="000000"/>
                <w:kern w:val="24"/>
                <w:sz w:val="20"/>
                <w:szCs w:val="20"/>
              </w:rPr>
              <w:t>65</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330" w:lineRule="atLeast"/>
              <w:rPr>
                <w:rFonts w:ascii="Arial" w:eastAsia="Times New Roman" w:hAnsi="Arial"/>
                <w:sz w:val="20"/>
                <w:szCs w:val="20"/>
              </w:rPr>
            </w:pPr>
            <w:r w:rsidRPr="005749CB">
              <w:rPr>
                <w:rFonts w:ascii="Times New Roman" w:hAnsi="Times New Roman"/>
                <w:color w:val="000000"/>
                <w:kern w:val="24"/>
                <w:sz w:val="20"/>
                <w:szCs w:val="20"/>
              </w:rPr>
              <w:t>XM_005669497.1</w:t>
            </w:r>
          </w:p>
        </w:tc>
      </w:tr>
      <w:tr w:rsidR="00A3182B" w:rsidRPr="005749CB" w:rsidTr="00A3182B">
        <w:trPr>
          <w:trHeight w:val="175"/>
        </w:trPr>
        <w:tc>
          <w:tcPr>
            <w:tcW w:w="883"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b/>
                <w:bCs/>
                <w:color w:val="000000"/>
                <w:kern w:val="24"/>
                <w:sz w:val="20"/>
                <w:szCs w:val="20"/>
              </w:rPr>
              <w:t>ZO</w:t>
            </w:r>
            <w:r w:rsidR="00C60C1E">
              <w:rPr>
                <w:rFonts w:ascii="Times New Roman" w:hAnsi="Times New Roman"/>
                <w:b/>
                <w:bCs/>
                <w:color w:val="000000"/>
                <w:kern w:val="24"/>
                <w:sz w:val="20"/>
                <w:szCs w:val="20"/>
              </w:rPr>
              <w:t>-</w:t>
            </w:r>
            <w:r w:rsidRPr="005749CB">
              <w:rPr>
                <w:rFonts w:ascii="Times New Roman" w:hAnsi="Times New Roman"/>
                <w:b/>
                <w:bCs/>
                <w:color w:val="000000"/>
                <w:kern w:val="24"/>
                <w:sz w:val="20"/>
                <w:szCs w:val="20"/>
              </w:rPr>
              <w:t>1</w:t>
            </w:r>
          </w:p>
        </w:tc>
        <w:tc>
          <w:tcPr>
            <w:tcW w:w="3161"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GAGTTTGATAGTGGCGTT</w:t>
            </w:r>
          </w:p>
        </w:tc>
        <w:tc>
          <w:tcPr>
            <w:tcW w:w="310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GTGGGAGGATGCTGTTGT</w:t>
            </w:r>
          </w:p>
        </w:tc>
        <w:tc>
          <w:tcPr>
            <w:tcW w:w="566"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58.7</w:t>
            </w:r>
          </w:p>
        </w:tc>
        <w:tc>
          <w:tcPr>
            <w:tcW w:w="1689" w:type="dxa"/>
            <w:shd w:val="clear" w:color="auto" w:fill="auto"/>
            <w:tcMar>
              <w:top w:w="15" w:type="dxa"/>
              <w:left w:w="108" w:type="dxa"/>
              <w:bottom w:w="0" w:type="dxa"/>
              <w:right w:w="108" w:type="dxa"/>
            </w:tcMar>
            <w:vAlign w:val="center"/>
            <w:hideMark/>
          </w:tcPr>
          <w:p w:rsidR="00A3182B" w:rsidRPr="005749CB" w:rsidRDefault="00A3182B" w:rsidP="003213F4">
            <w:pPr>
              <w:spacing w:line="269" w:lineRule="atLeast"/>
              <w:rPr>
                <w:rFonts w:ascii="Arial" w:eastAsia="Times New Roman" w:hAnsi="Arial"/>
                <w:sz w:val="20"/>
                <w:szCs w:val="20"/>
              </w:rPr>
            </w:pPr>
            <w:r w:rsidRPr="005749CB">
              <w:rPr>
                <w:rFonts w:ascii="Times New Roman" w:hAnsi="Times New Roman"/>
                <w:color w:val="000000"/>
                <w:kern w:val="24"/>
                <w:sz w:val="20"/>
                <w:szCs w:val="20"/>
              </w:rPr>
              <w:t>XM_005659811.1</w:t>
            </w:r>
          </w:p>
        </w:tc>
      </w:tr>
      <w:tr w:rsidR="00A3182B" w:rsidRPr="005749CB" w:rsidTr="00A3182B">
        <w:trPr>
          <w:trHeight w:val="192"/>
        </w:trPr>
        <w:tc>
          <w:tcPr>
            <w:tcW w:w="883" w:type="dxa"/>
            <w:tcBorders>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94" w:lineRule="atLeast"/>
              <w:rPr>
                <w:rFonts w:ascii="Arial" w:eastAsia="Times New Roman" w:hAnsi="Arial"/>
                <w:sz w:val="20"/>
                <w:szCs w:val="20"/>
              </w:rPr>
            </w:pPr>
            <w:r w:rsidRPr="005749CB">
              <w:rPr>
                <w:rFonts w:ascii="Times New Roman" w:hAnsi="Times New Roman"/>
                <w:b/>
                <w:bCs/>
                <w:color w:val="000000"/>
                <w:kern w:val="24"/>
                <w:sz w:val="20"/>
                <w:szCs w:val="20"/>
              </w:rPr>
              <w:t>ZO</w:t>
            </w:r>
            <w:r w:rsidR="00C60C1E">
              <w:rPr>
                <w:rFonts w:ascii="Times New Roman" w:hAnsi="Times New Roman"/>
                <w:b/>
                <w:bCs/>
                <w:color w:val="000000"/>
                <w:kern w:val="24"/>
                <w:sz w:val="20"/>
                <w:szCs w:val="20"/>
              </w:rPr>
              <w:t>-</w:t>
            </w:r>
            <w:r w:rsidRPr="005749CB">
              <w:rPr>
                <w:rFonts w:ascii="Times New Roman" w:hAnsi="Times New Roman"/>
                <w:b/>
                <w:bCs/>
                <w:color w:val="000000"/>
                <w:kern w:val="24"/>
                <w:sz w:val="20"/>
                <w:szCs w:val="20"/>
              </w:rPr>
              <w:t>2</w:t>
            </w:r>
          </w:p>
        </w:tc>
        <w:tc>
          <w:tcPr>
            <w:tcW w:w="3161" w:type="dxa"/>
            <w:tcBorders>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94" w:lineRule="atLeast"/>
              <w:rPr>
                <w:rFonts w:ascii="Arial" w:eastAsia="Times New Roman" w:hAnsi="Arial"/>
                <w:sz w:val="20"/>
                <w:szCs w:val="20"/>
              </w:rPr>
            </w:pPr>
            <w:r w:rsidRPr="005749CB">
              <w:rPr>
                <w:rFonts w:ascii="Times New Roman" w:hAnsi="Times New Roman"/>
                <w:color w:val="000000"/>
                <w:kern w:val="24"/>
                <w:sz w:val="20"/>
                <w:szCs w:val="20"/>
              </w:rPr>
              <w:t>GCAGAGACAACCCCCACTTT</w:t>
            </w:r>
          </w:p>
        </w:tc>
        <w:tc>
          <w:tcPr>
            <w:tcW w:w="3106" w:type="dxa"/>
            <w:tcBorders>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94" w:lineRule="atLeast"/>
              <w:rPr>
                <w:rFonts w:ascii="Arial" w:eastAsia="Times New Roman" w:hAnsi="Arial"/>
                <w:sz w:val="20"/>
                <w:szCs w:val="20"/>
              </w:rPr>
            </w:pPr>
            <w:r w:rsidRPr="005749CB">
              <w:rPr>
                <w:rFonts w:ascii="Times New Roman" w:hAnsi="Times New Roman"/>
                <w:color w:val="000000"/>
                <w:kern w:val="24"/>
                <w:sz w:val="20"/>
                <w:szCs w:val="20"/>
              </w:rPr>
              <w:t>CGTTAACCATGACCACCCGA</w:t>
            </w:r>
          </w:p>
        </w:tc>
        <w:tc>
          <w:tcPr>
            <w:tcW w:w="566" w:type="dxa"/>
            <w:tcBorders>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94" w:lineRule="atLeast"/>
              <w:rPr>
                <w:rFonts w:ascii="Arial" w:eastAsia="Times New Roman" w:hAnsi="Arial"/>
                <w:sz w:val="20"/>
                <w:szCs w:val="20"/>
              </w:rPr>
            </w:pPr>
            <w:r w:rsidRPr="005749CB">
              <w:rPr>
                <w:rFonts w:ascii="Times New Roman" w:hAnsi="Times New Roman"/>
                <w:color w:val="000000"/>
                <w:kern w:val="24"/>
                <w:sz w:val="20"/>
                <w:szCs w:val="20"/>
              </w:rPr>
              <w:t>55.8</w:t>
            </w:r>
          </w:p>
        </w:tc>
        <w:tc>
          <w:tcPr>
            <w:tcW w:w="1689" w:type="dxa"/>
            <w:tcBorders>
              <w:bottom w:val="single" w:sz="4" w:space="0" w:color="auto"/>
            </w:tcBorders>
            <w:shd w:val="clear" w:color="auto" w:fill="auto"/>
            <w:tcMar>
              <w:top w:w="15" w:type="dxa"/>
              <w:left w:w="108" w:type="dxa"/>
              <w:bottom w:w="0" w:type="dxa"/>
              <w:right w:w="108" w:type="dxa"/>
            </w:tcMar>
            <w:vAlign w:val="center"/>
            <w:hideMark/>
          </w:tcPr>
          <w:p w:rsidR="00A3182B" w:rsidRPr="005749CB" w:rsidRDefault="00A3182B" w:rsidP="003213F4">
            <w:pPr>
              <w:spacing w:line="294" w:lineRule="atLeast"/>
              <w:rPr>
                <w:rFonts w:ascii="Arial" w:eastAsia="Times New Roman" w:hAnsi="Arial"/>
                <w:sz w:val="20"/>
                <w:szCs w:val="20"/>
              </w:rPr>
            </w:pPr>
            <w:r w:rsidRPr="005749CB">
              <w:rPr>
                <w:rFonts w:ascii="Times New Roman" w:hAnsi="Times New Roman"/>
                <w:color w:val="000000"/>
                <w:kern w:val="24"/>
                <w:sz w:val="20"/>
                <w:szCs w:val="20"/>
              </w:rPr>
              <w:t>NM_001206404.1</w:t>
            </w:r>
          </w:p>
        </w:tc>
      </w:tr>
    </w:tbl>
    <w:p w:rsidR="00A3182B" w:rsidRPr="00A3182B" w:rsidRDefault="00A3182B" w:rsidP="00A3182B">
      <w:pPr>
        <w:tabs>
          <w:tab w:val="left" w:pos="8327"/>
        </w:tabs>
      </w:pPr>
      <w:r>
        <w:rPr>
          <w:noProof/>
        </w:rPr>
        <mc:AlternateContent>
          <mc:Choice Requires="wps">
            <w:drawing>
              <wp:anchor distT="0" distB="0" distL="114300" distR="114300" simplePos="0" relativeHeight="251665408" behindDoc="0" locked="0" layoutInCell="1" allowOverlap="1" wp14:anchorId="0D8C5C0B" wp14:editId="5CB3C3F9">
                <wp:simplePos x="0" y="0"/>
                <wp:positionH relativeFrom="column">
                  <wp:posOffset>-45637</wp:posOffset>
                </wp:positionH>
                <wp:positionV relativeFrom="paragraph">
                  <wp:posOffset>4797646</wp:posOffset>
                </wp:positionV>
                <wp:extent cx="6067425" cy="733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067425" cy="733425"/>
                        </a:xfrm>
                        <a:prstGeom prst="rect">
                          <a:avLst/>
                        </a:prstGeom>
                        <a:solidFill>
                          <a:sysClr val="window" lastClr="FFFFFF"/>
                        </a:solidFill>
                        <a:ln w="6350">
                          <a:noFill/>
                        </a:ln>
                        <a:effectLst/>
                      </wps:spPr>
                      <wps:txbx>
                        <w:txbxContent>
                          <w:p w:rsidR="00A3182B" w:rsidRPr="00E7439F" w:rsidRDefault="00A3182B" w:rsidP="00A3182B">
                            <w:pPr>
                              <w:jc w:val="both"/>
                              <w:rPr>
                                <w:rFonts w:asciiTheme="majorBidi" w:hAnsiTheme="majorBidi" w:cstheme="majorBidi"/>
                                <w:sz w:val="20"/>
                                <w:szCs w:val="20"/>
                              </w:rPr>
                            </w:pPr>
                            <w:proofErr w:type="spellStart"/>
                            <w:proofErr w:type="gramStart"/>
                            <w:r w:rsidRPr="00E7439F">
                              <w:rPr>
                                <w:rFonts w:asciiTheme="majorBidi" w:hAnsiTheme="majorBidi" w:cstheme="majorBidi"/>
                                <w:sz w:val="20"/>
                                <w:szCs w:val="20"/>
                              </w:rPr>
                              <w:t>Claudin</w:t>
                            </w:r>
                            <w:proofErr w:type="spellEnd"/>
                            <w:r w:rsidRPr="00E7439F">
                              <w:rPr>
                                <w:rFonts w:asciiTheme="majorBidi" w:hAnsiTheme="majorBidi" w:cstheme="majorBidi"/>
                                <w:sz w:val="20"/>
                                <w:szCs w:val="20"/>
                              </w:rPr>
                              <w:t xml:space="preserve"> (CLDN), Hypoxanthine </w:t>
                            </w:r>
                            <w:proofErr w:type="spellStart"/>
                            <w:r w:rsidRPr="00E7439F">
                              <w:rPr>
                                <w:rFonts w:asciiTheme="majorBidi" w:hAnsiTheme="majorBidi" w:cstheme="majorBidi"/>
                                <w:sz w:val="20"/>
                                <w:szCs w:val="20"/>
                              </w:rPr>
                              <w:t>phosphoribosyltransferase</w:t>
                            </w:r>
                            <w:proofErr w:type="spellEnd"/>
                            <w:r w:rsidRPr="00E7439F">
                              <w:rPr>
                                <w:rFonts w:asciiTheme="majorBidi" w:hAnsiTheme="majorBidi" w:cstheme="majorBidi"/>
                                <w:sz w:val="20"/>
                                <w:szCs w:val="20"/>
                              </w:rPr>
                              <w:t xml:space="preserve"> (HPRT), </w:t>
                            </w:r>
                            <w:proofErr w:type="spellStart"/>
                            <w:r w:rsidRPr="00E7439F">
                              <w:rPr>
                                <w:rFonts w:asciiTheme="majorBidi" w:hAnsiTheme="majorBidi" w:cstheme="majorBidi"/>
                                <w:sz w:val="20"/>
                                <w:szCs w:val="20"/>
                              </w:rPr>
                              <w:t>occludin</w:t>
                            </w:r>
                            <w:proofErr w:type="spellEnd"/>
                            <w:r w:rsidRPr="00E7439F">
                              <w:rPr>
                                <w:rFonts w:asciiTheme="majorBidi" w:hAnsiTheme="majorBidi" w:cstheme="majorBidi"/>
                                <w:sz w:val="20"/>
                                <w:szCs w:val="20"/>
                              </w:rPr>
                              <w:t xml:space="preserve"> (OCLN), porcine β-</w:t>
                            </w:r>
                            <w:proofErr w:type="spellStart"/>
                            <w:r w:rsidRPr="00E7439F">
                              <w:rPr>
                                <w:rFonts w:asciiTheme="majorBidi" w:hAnsiTheme="majorBidi" w:cstheme="majorBidi"/>
                                <w:sz w:val="20"/>
                                <w:szCs w:val="20"/>
                              </w:rPr>
                              <w:t>defensin</w:t>
                            </w:r>
                            <w:proofErr w:type="spellEnd"/>
                            <w:r w:rsidRPr="00E7439F">
                              <w:rPr>
                                <w:rFonts w:asciiTheme="majorBidi" w:hAnsiTheme="majorBidi" w:cstheme="majorBidi"/>
                                <w:sz w:val="20"/>
                                <w:szCs w:val="20"/>
                              </w:rPr>
                              <w:t xml:space="preserve"> (</w:t>
                            </w:r>
                            <w:proofErr w:type="spellStart"/>
                            <w:r w:rsidRPr="00E7439F">
                              <w:rPr>
                                <w:rFonts w:asciiTheme="majorBidi" w:hAnsiTheme="majorBidi" w:cstheme="majorBidi"/>
                                <w:sz w:val="20"/>
                                <w:szCs w:val="20"/>
                              </w:rPr>
                              <w:t>pBD</w:t>
                            </w:r>
                            <w:proofErr w:type="spellEnd"/>
                            <w:r w:rsidRPr="00E7439F">
                              <w:rPr>
                                <w:rFonts w:asciiTheme="majorBidi" w:hAnsiTheme="majorBidi" w:cstheme="majorBidi"/>
                                <w:sz w:val="20"/>
                                <w:szCs w:val="20"/>
                              </w:rPr>
                              <w:t xml:space="preserve">), porcine epididymis protein 2 splicing variant C (pEP2C), </w:t>
                            </w:r>
                            <w:proofErr w:type="spellStart"/>
                            <w:r w:rsidRPr="00E7439F">
                              <w:rPr>
                                <w:rFonts w:asciiTheme="majorBidi" w:hAnsiTheme="majorBidi" w:cstheme="majorBidi"/>
                                <w:sz w:val="20"/>
                                <w:szCs w:val="20"/>
                              </w:rPr>
                              <w:t>protegrins</w:t>
                            </w:r>
                            <w:proofErr w:type="spellEnd"/>
                            <w:r w:rsidRPr="00E7439F">
                              <w:rPr>
                                <w:rFonts w:asciiTheme="majorBidi" w:hAnsiTheme="majorBidi" w:cstheme="majorBidi"/>
                                <w:sz w:val="20"/>
                                <w:szCs w:val="20"/>
                              </w:rPr>
                              <w:t xml:space="preserve"> 1-5 (PG1-5), zona </w:t>
                            </w:r>
                            <w:proofErr w:type="spellStart"/>
                            <w:r w:rsidRPr="00E7439F">
                              <w:rPr>
                                <w:rFonts w:asciiTheme="majorBidi" w:hAnsiTheme="majorBidi" w:cstheme="majorBidi"/>
                                <w:sz w:val="20"/>
                                <w:szCs w:val="20"/>
                              </w:rPr>
                              <w:t>occludens</w:t>
                            </w:r>
                            <w:proofErr w:type="spellEnd"/>
                            <w:r w:rsidRPr="00E7439F">
                              <w:rPr>
                                <w:rFonts w:asciiTheme="majorBidi" w:hAnsiTheme="majorBidi" w:cstheme="majorBidi"/>
                                <w:sz w:val="20"/>
                                <w:szCs w:val="20"/>
                              </w:rPr>
                              <w:t xml:space="preserve"> protein (ZO).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6pt;margin-top:377.75pt;width:477.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fxUQIAAJ8EAAAOAAAAZHJzL2Uyb0RvYy54bWysVE1vGjEQvVfqf7B8b5bPJEUsESWiqhQl&#10;kaDK2Xi9sJLX49qGXfrr++yFhKY9VeVg5ssznjdvdnrX1podlPMVmZz3r3qcKSOpqMw259/Xy0+3&#10;nPkgTCE0GZXzo/L8bvbxw7SxEzWgHelCOYYkxk8am/NdCHaSZV7uVC38FVll4CzJ1SJAdduscKJB&#10;9lpng17vOmvIFdaRVN7Det85+SzlL0slw1NZehWYzjneFtLp0rmJZzabisnWCbur5OkZ4h9eUYvK&#10;oOhrqnsRBNu76o9UdSUdeSrDlaQ6o7KspEo9oJt+7103q52wKvUCcLx9hcn/v7Ty8fDsWFXkfMCZ&#10;ETVGtFZtYF+oZYOITmP9BEEri7DQwowpn+0exth0W7o6/qMdBj9wPr5iG5NJGK971zejwZgzCd/N&#10;cBhlpM/eblvnw1dFNYtCzh1mlyAVhwcfutBzSCzmSVfFstI6KUe/0I4dBMYMdhTUcKaFDzDmfJl+&#10;p2q/XdOGNXjacNxLlQzFfF0pbWJelSh0qh+h6FqOUmg3bQJueIZjQ8URKDnqWOatXFZo5QHveBYO&#10;tAIwWJXwhKPUhMp0kjjbkfv5N3uMx7Th5awBTXPuf+yFU2jvmwEPPvdHo8jrpIzGNwMo7tKzufSY&#10;fb0gQNTHUlqZxBgf9FksHdUv2Kh5rAqXMBK1cx7O4iJ0y4ONlGo+T0FgshXhwaysjKkjbnFQ6/ZF&#10;OHuaZgAPHulMaDF5N9QuNt40NN8HKqs08YhzhyqYEhVsQeLMaWPjml3qKertuzL7BQAA//8DAFBL&#10;AwQUAAYACAAAACEAcViO7+MAAAAKAQAADwAAAGRycy9kb3ducmV2LnhtbEyPwU7DMBBE70j8g7VI&#10;3FqnhZAQ4lQIgaASUSEgcXXjJQnE68h2m7RfjznBcTVPM2/z1aR7tkfrOkMCFvMIGFJtVEeNgPe3&#10;h1kKzHlJSvaGUMABHayK05NcZsqM9Ir7yjcslJDLpIDW+yHj3NUtaunmZkAK2aexWvpw2oYrK8dQ&#10;rnu+jKIrrmVHYaGVA961WH9XOy3gY6we7Wa9/noZnsrj5liVz3hfCnF+Nt3eAPM4+T8YfvWDOhTB&#10;aWt2pBzrBcySZSAFJHEcAwvA9WV6AWwrIE0WEfAi5/9fKH4AAAD//wMAUEsBAi0AFAAGAAgAAAAh&#10;ALaDOJL+AAAA4QEAABMAAAAAAAAAAAAAAAAAAAAAAFtDb250ZW50X1R5cGVzXS54bWxQSwECLQAU&#10;AAYACAAAACEAOP0h/9YAAACUAQAACwAAAAAAAAAAAAAAAAAvAQAAX3JlbHMvLnJlbHNQSwECLQAU&#10;AAYACAAAACEAk5c38VECAACfBAAADgAAAAAAAAAAAAAAAAAuAgAAZHJzL2Uyb0RvYy54bWxQSwEC&#10;LQAUAAYACAAAACEAcViO7+MAAAAKAQAADwAAAAAAAAAAAAAAAACrBAAAZHJzL2Rvd25yZXYueG1s&#10;UEsFBgAAAAAEAAQA8wAAALsFAAAAAA==&#10;" fillcolor="window" stroked="f" strokeweight=".5pt">
                <v:textbox>
                  <w:txbxContent>
                    <w:p w:rsidR="00A3182B" w:rsidRPr="00E7439F" w:rsidRDefault="00A3182B" w:rsidP="00A3182B">
                      <w:pPr>
                        <w:jc w:val="both"/>
                        <w:rPr>
                          <w:rFonts w:asciiTheme="majorBidi" w:hAnsiTheme="majorBidi" w:cstheme="majorBidi"/>
                          <w:sz w:val="20"/>
                          <w:szCs w:val="20"/>
                        </w:rPr>
                      </w:pPr>
                      <w:proofErr w:type="spellStart"/>
                      <w:proofErr w:type="gramStart"/>
                      <w:r w:rsidRPr="00E7439F">
                        <w:rPr>
                          <w:rFonts w:asciiTheme="majorBidi" w:hAnsiTheme="majorBidi" w:cstheme="majorBidi"/>
                          <w:sz w:val="20"/>
                          <w:szCs w:val="20"/>
                        </w:rPr>
                        <w:t>Claudin</w:t>
                      </w:r>
                      <w:proofErr w:type="spellEnd"/>
                      <w:r w:rsidRPr="00E7439F">
                        <w:rPr>
                          <w:rFonts w:asciiTheme="majorBidi" w:hAnsiTheme="majorBidi" w:cstheme="majorBidi"/>
                          <w:sz w:val="20"/>
                          <w:szCs w:val="20"/>
                        </w:rPr>
                        <w:t xml:space="preserve"> (CLDN), Hypoxanthine </w:t>
                      </w:r>
                      <w:proofErr w:type="spellStart"/>
                      <w:r w:rsidRPr="00E7439F">
                        <w:rPr>
                          <w:rFonts w:asciiTheme="majorBidi" w:hAnsiTheme="majorBidi" w:cstheme="majorBidi"/>
                          <w:sz w:val="20"/>
                          <w:szCs w:val="20"/>
                        </w:rPr>
                        <w:t>phosphoribosyltransferase</w:t>
                      </w:r>
                      <w:proofErr w:type="spellEnd"/>
                      <w:r w:rsidRPr="00E7439F">
                        <w:rPr>
                          <w:rFonts w:asciiTheme="majorBidi" w:hAnsiTheme="majorBidi" w:cstheme="majorBidi"/>
                          <w:sz w:val="20"/>
                          <w:szCs w:val="20"/>
                        </w:rPr>
                        <w:t xml:space="preserve"> (HPRT), </w:t>
                      </w:r>
                      <w:proofErr w:type="spellStart"/>
                      <w:r w:rsidRPr="00E7439F">
                        <w:rPr>
                          <w:rFonts w:asciiTheme="majorBidi" w:hAnsiTheme="majorBidi" w:cstheme="majorBidi"/>
                          <w:sz w:val="20"/>
                          <w:szCs w:val="20"/>
                        </w:rPr>
                        <w:t>occludin</w:t>
                      </w:r>
                      <w:proofErr w:type="spellEnd"/>
                      <w:r w:rsidRPr="00E7439F">
                        <w:rPr>
                          <w:rFonts w:asciiTheme="majorBidi" w:hAnsiTheme="majorBidi" w:cstheme="majorBidi"/>
                          <w:sz w:val="20"/>
                          <w:szCs w:val="20"/>
                        </w:rPr>
                        <w:t xml:space="preserve"> (OCLN), porcine β-</w:t>
                      </w:r>
                      <w:proofErr w:type="spellStart"/>
                      <w:r w:rsidRPr="00E7439F">
                        <w:rPr>
                          <w:rFonts w:asciiTheme="majorBidi" w:hAnsiTheme="majorBidi" w:cstheme="majorBidi"/>
                          <w:sz w:val="20"/>
                          <w:szCs w:val="20"/>
                        </w:rPr>
                        <w:t>defensin</w:t>
                      </w:r>
                      <w:proofErr w:type="spellEnd"/>
                      <w:r w:rsidRPr="00E7439F">
                        <w:rPr>
                          <w:rFonts w:asciiTheme="majorBidi" w:hAnsiTheme="majorBidi" w:cstheme="majorBidi"/>
                          <w:sz w:val="20"/>
                          <w:szCs w:val="20"/>
                        </w:rPr>
                        <w:t xml:space="preserve"> (</w:t>
                      </w:r>
                      <w:proofErr w:type="spellStart"/>
                      <w:r w:rsidRPr="00E7439F">
                        <w:rPr>
                          <w:rFonts w:asciiTheme="majorBidi" w:hAnsiTheme="majorBidi" w:cstheme="majorBidi"/>
                          <w:sz w:val="20"/>
                          <w:szCs w:val="20"/>
                        </w:rPr>
                        <w:t>pBD</w:t>
                      </w:r>
                      <w:proofErr w:type="spellEnd"/>
                      <w:r w:rsidRPr="00E7439F">
                        <w:rPr>
                          <w:rFonts w:asciiTheme="majorBidi" w:hAnsiTheme="majorBidi" w:cstheme="majorBidi"/>
                          <w:sz w:val="20"/>
                          <w:szCs w:val="20"/>
                        </w:rPr>
                        <w:t xml:space="preserve">), porcine epididymis protein 2 splicing variant C (pEP2C), </w:t>
                      </w:r>
                      <w:proofErr w:type="spellStart"/>
                      <w:r w:rsidRPr="00E7439F">
                        <w:rPr>
                          <w:rFonts w:asciiTheme="majorBidi" w:hAnsiTheme="majorBidi" w:cstheme="majorBidi"/>
                          <w:sz w:val="20"/>
                          <w:szCs w:val="20"/>
                        </w:rPr>
                        <w:t>protegrins</w:t>
                      </w:r>
                      <w:proofErr w:type="spellEnd"/>
                      <w:r w:rsidRPr="00E7439F">
                        <w:rPr>
                          <w:rFonts w:asciiTheme="majorBidi" w:hAnsiTheme="majorBidi" w:cstheme="majorBidi"/>
                          <w:sz w:val="20"/>
                          <w:szCs w:val="20"/>
                        </w:rPr>
                        <w:t xml:space="preserve"> 1-5 (PG1-5), zona </w:t>
                      </w:r>
                      <w:proofErr w:type="spellStart"/>
                      <w:r w:rsidRPr="00E7439F">
                        <w:rPr>
                          <w:rFonts w:asciiTheme="majorBidi" w:hAnsiTheme="majorBidi" w:cstheme="majorBidi"/>
                          <w:sz w:val="20"/>
                          <w:szCs w:val="20"/>
                        </w:rPr>
                        <w:t>occludens</w:t>
                      </w:r>
                      <w:proofErr w:type="spellEnd"/>
                      <w:r w:rsidRPr="00E7439F">
                        <w:rPr>
                          <w:rFonts w:asciiTheme="majorBidi" w:hAnsiTheme="majorBidi" w:cstheme="majorBidi"/>
                          <w:sz w:val="20"/>
                          <w:szCs w:val="20"/>
                        </w:rPr>
                        <w:t xml:space="preserve"> protein (ZO).</w:t>
                      </w:r>
                      <w:proofErr w:type="gramEnd"/>
                    </w:p>
                  </w:txbxContent>
                </v:textbox>
              </v:shape>
            </w:pict>
          </mc:Fallback>
        </mc:AlternateContent>
      </w:r>
    </w:p>
    <w:sectPr w:rsidR="00A3182B" w:rsidRPr="00A3182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2B" w:rsidRDefault="00A3182B" w:rsidP="00A3182B">
      <w:pPr>
        <w:spacing w:after="0" w:line="240" w:lineRule="auto"/>
      </w:pPr>
      <w:r>
        <w:separator/>
      </w:r>
    </w:p>
  </w:endnote>
  <w:endnote w:type="continuationSeparator" w:id="0">
    <w:p w:rsidR="00A3182B" w:rsidRDefault="00A3182B" w:rsidP="00A3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2B" w:rsidRDefault="00A3182B" w:rsidP="00A3182B">
      <w:pPr>
        <w:spacing w:after="0" w:line="240" w:lineRule="auto"/>
      </w:pPr>
      <w:r>
        <w:separator/>
      </w:r>
    </w:p>
  </w:footnote>
  <w:footnote w:type="continuationSeparator" w:id="0">
    <w:p w:rsidR="00A3182B" w:rsidRDefault="00A3182B" w:rsidP="00A31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76"/>
    <w:rsid w:val="00010B95"/>
    <w:rsid w:val="00023E7A"/>
    <w:rsid w:val="0002508B"/>
    <w:rsid w:val="0003475F"/>
    <w:rsid w:val="000354A7"/>
    <w:rsid w:val="00053944"/>
    <w:rsid w:val="00057A6F"/>
    <w:rsid w:val="00072F2A"/>
    <w:rsid w:val="00073B81"/>
    <w:rsid w:val="0009614B"/>
    <w:rsid w:val="000B2F5B"/>
    <w:rsid w:val="000B3394"/>
    <w:rsid w:val="000C1076"/>
    <w:rsid w:val="000C51DC"/>
    <w:rsid w:val="000C5CCD"/>
    <w:rsid w:val="000D1DF1"/>
    <w:rsid w:val="000D2AE5"/>
    <w:rsid w:val="000E280E"/>
    <w:rsid w:val="000E3170"/>
    <w:rsid w:val="000F236A"/>
    <w:rsid w:val="001040EE"/>
    <w:rsid w:val="00112CAB"/>
    <w:rsid w:val="00112FF5"/>
    <w:rsid w:val="001509C7"/>
    <w:rsid w:val="001650B9"/>
    <w:rsid w:val="0018458C"/>
    <w:rsid w:val="00191D76"/>
    <w:rsid w:val="001A2023"/>
    <w:rsid w:val="001A5B30"/>
    <w:rsid w:val="001B15FE"/>
    <w:rsid w:val="001B444B"/>
    <w:rsid w:val="001C32AD"/>
    <w:rsid w:val="001C4B6C"/>
    <w:rsid w:val="001C5542"/>
    <w:rsid w:val="001C6A8B"/>
    <w:rsid w:val="001C7852"/>
    <w:rsid w:val="001D0144"/>
    <w:rsid w:val="001D4E22"/>
    <w:rsid w:val="001D52AD"/>
    <w:rsid w:val="001E0E3F"/>
    <w:rsid w:val="001E5A09"/>
    <w:rsid w:val="00206FBB"/>
    <w:rsid w:val="00211948"/>
    <w:rsid w:val="0021443B"/>
    <w:rsid w:val="00221311"/>
    <w:rsid w:val="00223794"/>
    <w:rsid w:val="00227BEF"/>
    <w:rsid w:val="00236171"/>
    <w:rsid w:val="00243BED"/>
    <w:rsid w:val="002457B8"/>
    <w:rsid w:val="00261E57"/>
    <w:rsid w:val="0027430F"/>
    <w:rsid w:val="00283902"/>
    <w:rsid w:val="002853AB"/>
    <w:rsid w:val="002B738A"/>
    <w:rsid w:val="002C4F00"/>
    <w:rsid w:val="002D2293"/>
    <w:rsid w:val="002E29A9"/>
    <w:rsid w:val="002E6500"/>
    <w:rsid w:val="002F728B"/>
    <w:rsid w:val="003045C7"/>
    <w:rsid w:val="00306956"/>
    <w:rsid w:val="0030728B"/>
    <w:rsid w:val="0031342D"/>
    <w:rsid w:val="003253FD"/>
    <w:rsid w:val="00331335"/>
    <w:rsid w:val="00344233"/>
    <w:rsid w:val="00351EA4"/>
    <w:rsid w:val="00371515"/>
    <w:rsid w:val="00377EB8"/>
    <w:rsid w:val="0038427B"/>
    <w:rsid w:val="00394EA7"/>
    <w:rsid w:val="00395BAC"/>
    <w:rsid w:val="00401262"/>
    <w:rsid w:val="0042081A"/>
    <w:rsid w:val="00421CD5"/>
    <w:rsid w:val="00426C9C"/>
    <w:rsid w:val="00437B45"/>
    <w:rsid w:val="004440A6"/>
    <w:rsid w:val="004455F0"/>
    <w:rsid w:val="00446912"/>
    <w:rsid w:val="00452EAA"/>
    <w:rsid w:val="00463D16"/>
    <w:rsid w:val="00466400"/>
    <w:rsid w:val="00467A8D"/>
    <w:rsid w:val="00472C2E"/>
    <w:rsid w:val="0047324B"/>
    <w:rsid w:val="00475F90"/>
    <w:rsid w:val="00487164"/>
    <w:rsid w:val="004922AC"/>
    <w:rsid w:val="00492A5A"/>
    <w:rsid w:val="00493CC3"/>
    <w:rsid w:val="004B0287"/>
    <w:rsid w:val="004C1CA3"/>
    <w:rsid w:val="004C2834"/>
    <w:rsid w:val="004C2A66"/>
    <w:rsid w:val="004D1C24"/>
    <w:rsid w:val="004D22B8"/>
    <w:rsid w:val="004F6FB5"/>
    <w:rsid w:val="005008F9"/>
    <w:rsid w:val="005034D0"/>
    <w:rsid w:val="00521630"/>
    <w:rsid w:val="00536CCF"/>
    <w:rsid w:val="0055367F"/>
    <w:rsid w:val="0055641A"/>
    <w:rsid w:val="00573C1F"/>
    <w:rsid w:val="005A19AE"/>
    <w:rsid w:val="005B01FD"/>
    <w:rsid w:val="005B10CB"/>
    <w:rsid w:val="005B3D7E"/>
    <w:rsid w:val="005B6030"/>
    <w:rsid w:val="005E50F0"/>
    <w:rsid w:val="005F7AB2"/>
    <w:rsid w:val="0060047E"/>
    <w:rsid w:val="006148C1"/>
    <w:rsid w:val="00614CD6"/>
    <w:rsid w:val="00621D3B"/>
    <w:rsid w:val="00627E3E"/>
    <w:rsid w:val="00632617"/>
    <w:rsid w:val="00635B1B"/>
    <w:rsid w:val="00637E7A"/>
    <w:rsid w:val="0064629A"/>
    <w:rsid w:val="00667BC8"/>
    <w:rsid w:val="00676766"/>
    <w:rsid w:val="006772BC"/>
    <w:rsid w:val="006778C6"/>
    <w:rsid w:val="00680987"/>
    <w:rsid w:val="00685D79"/>
    <w:rsid w:val="006916F6"/>
    <w:rsid w:val="00692A29"/>
    <w:rsid w:val="006930DE"/>
    <w:rsid w:val="006A1399"/>
    <w:rsid w:val="006A1ED0"/>
    <w:rsid w:val="006A243C"/>
    <w:rsid w:val="006A2FC8"/>
    <w:rsid w:val="006C0BCC"/>
    <w:rsid w:val="006C3A68"/>
    <w:rsid w:val="006D5938"/>
    <w:rsid w:val="006D5AD3"/>
    <w:rsid w:val="006E7709"/>
    <w:rsid w:val="00706114"/>
    <w:rsid w:val="00737B92"/>
    <w:rsid w:val="00743519"/>
    <w:rsid w:val="0074677B"/>
    <w:rsid w:val="007525A3"/>
    <w:rsid w:val="0076466A"/>
    <w:rsid w:val="00783D09"/>
    <w:rsid w:val="007904F1"/>
    <w:rsid w:val="00797A4F"/>
    <w:rsid w:val="007A1267"/>
    <w:rsid w:val="007A59DF"/>
    <w:rsid w:val="00803E91"/>
    <w:rsid w:val="008217F5"/>
    <w:rsid w:val="00835758"/>
    <w:rsid w:val="00845E91"/>
    <w:rsid w:val="00871E5E"/>
    <w:rsid w:val="0087522E"/>
    <w:rsid w:val="00877C84"/>
    <w:rsid w:val="00880688"/>
    <w:rsid w:val="00883F4D"/>
    <w:rsid w:val="00884137"/>
    <w:rsid w:val="008A5791"/>
    <w:rsid w:val="008A5A88"/>
    <w:rsid w:val="008B14EE"/>
    <w:rsid w:val="008C0C22"/>
    <w:rsid w:val="008C305E"/>
    <w:rsid w:val="008C5DCB"/>
    <w:rsid w:val="008C790C"/>
    <w:rsid w:val="008D52E5"/>
    <w:rsid w:val="008D55EC"/>
    <w:rsid w:val="008D7427"/>
    <w:rsid w:val="008E3113"/>
    <w:rsid w:val="008E3951"/>
    <w:rsid w:val="008F449A"/>
    <w:rsid w:val="009014D3"/>
    <w:rsid w:val="009112FA"/>
    <w:rsid w:val="00922EB1"/>
    <w:rsid w:val="009261DD"/>
    <w:rsid w:val="00934108"/>
    <w:rsid w:val="0093710D"/>
    <w:rsid w:val="00945D59"/>
    <w:rsid w:val="00953A9C"/>
    <w:rsid w:val="00962938"/>
    <w:rsid w:val="009764FC"/>
    <w:rsid w:val="009817FF"/>
    <w:rsid w:val="009A787C"/>
    <w:rsid w:val="009B5AEB"/>
    <w:rsid w:val="009C0A37"/>
    <w:rsid w:val="009C2ACE"/>
    <w:rsid w:val="009C66B2"/>
    <w:rsid w:val="009D7770"/>
    <w:rsid w:val="009E290E"/>
    <w:rsid w:val="009E3F59"/>
    <w:rsid w:val="009F38A7"/>
    <w:rsid w:val="009F4925"/>
    <w:rsid w:val="00A3182B"/>
    <w:rsid w:val="00A436A7"/>
    <w:rsid w:val="00A460B5"/>
    <w:rsid w:val="00A52462"/>
    <w:rsid w:val="00A62743"/>
    <w:rsid w:val="00A67084"/>
    <w:rsid w:val="00A72207"/>
    <w:rsid w:val="00A81D95"/>
    <w:rsid w:val="00A87923"/>
    <w:rsid w:val="00A93725"/>
    <w:rsid w:val="00A95122"/>
    <w:rsid w:val="00A97959"/>
    <w:rsid w:val="00AB32A4"/>
    <w:rsid w:val="00AB54D6"/>
    <w:rsid w:val="00AC1B0A"/>
    <w:rsid w:val="00AC5C91"/>
    <w:rsid w:val="00AE7EAB"/>
    <w:rsid w:val="00B00B27"/>
    <w:rsid w:val="00B21C5F"/>
    <w:rsid w:val="00B23240"/>
    <w:rsid w:val="00B270D6"/>
    <w:rsid w:val="00B371C2"/>
    <w:rsid w:val="00B45A64"/>
    <w:rsid w:val="00B47791"/>
    <w:rsid w:val="00B57244"/>
    <w:rsid w:val="00B6461D"/>
    <w:rsid w:val="00B93C7F"/>
    <w:rsid w:val="00BA345A"/>
    <w:rsid w:val="00BA5654"/>
    <w:rsid w:val="00BB5E0B"/>
    <w:rsid w:val="00BD6941"/>
    <w:rsid w:val="00BD7D20"/>
    <w:rsid w:val="00BE217E"/>
    <w:rsid w:val="00C01FDD"/>
    <w:rsid w:val="00C13438"/>
    <w:rsid w:val="00C60C1E"/>
    <w:rsid w:val="00C67235"/>
    <w:rsid w:val="00C717A1"/>
    <w:rsid w:val="00CA3D27"/>
    <w:rsid w:val="00CB3759"/>
    <w:rsid w:val="00CC2EBF"/>
    <w:rsid w:val="00CD260D"/>
    <w:rsid w:val="00CE77D6"/>
    <w:rsid w:val="00D01B14"/>
    <w:rsid w:val="00D034C5"/>
    <w:rsid w:val="00D157B2"/>
    <w:rsid w:val="00D258B1"/>
    <w:rsid w:val="00D46EF4"/>
    <w:rsid w:val="00D46FC4"/>
    <w:rsid w:val="00D56B8A"/>
    <w:rsid w:val="00D63583"/>
    <w:rsid w:val="00D73B90"/>
    <w:rsid w:val="00D80D45"/>
    <w:rsid w:val="00D87126"/>
    <w:rsid w:val="00D93696"/>
    <w:rsid w:val="00DB2FD1"/>
    <w:rsid w:val="00DB48B4"/>
    <w:rsid w:val="00DB4DD6"/>
    <w:rsid w:val="00DC57C6"/>
    <w:rsid w:val="00DE17E9"/>
    <w:rsid w:val="00DE3E04"/>
    <w:rsid w:val="00DE4A2A"/>
    <w:rsid w:val="00E24E25"/>
    <w:rsid w:val="00E26A8D"/>
    <w:rsid w:val="00E369E5"/>
    <w:rsid w:val="00E439DE"/>
    <w:rsid w:val="00E4439E"/>
    <w:rsid w:val="00E536BC"/>
    <w:rsid w:val="00E55A4E"/>
    <w:rsid w:val="00E71428"/>
    <w:rsid w:val="00E74573"/>
    <w:rsid w:val="00E76C53"/>
    <w:rsid w:val="00EA51E8"/>
    <w:rsid w:val="00EB3B72"/>
    <w:rsid w:val="00EC014D"/>
    <w:rsid w:val="00EC0D50"/>
    <w:rsid w:val="00EC76F9"/>
    <w:rsid w:val="00ED6543"/>
    <w:rsid w:val="00EE69C6"/>
    <w:rsid w:val="00EE6E62"/>
    <w:rsid w:val="00EF5931"/>
    <w:rsid w:val="00F14345"/>
    <w:rsid w:val="00F27686"/>
    <w:rsid w:val="00F418D7"/>
    <w:rsid w:val="00F43904"/>
    <w:rsid w:val="00F45799"/>
    <w:rsid w:val="00F479BC"/>
    <w:rsid w:val="00F627B2"/>
    <w:rsid w:val="00F67E9B"/>
    <w:rsid w:val="00F80382"/>
    <w:rsid w:val="00F86F53"/>
    <w:rsid w:val="00FB3534"/>
    <w:rsid w:val="00FD1A67"/>
    <w:rsid w:val="00FD234D"/>
    <w:rsid w:val="00FD6D85"/>
    <w:rsid w:val="00FD77BE"/>
    <w:rsid w:val="00FE09E9"/>
    <w:rsid w:val="00FE1BC5"/>
    <w:rsid w:val="00FE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7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1076"/>
    <w:pPr>
      <w:spacing w:after="0"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A3182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182B"/>
    <w:rPr>
      <w:rFonts w:ascii="Calibri" w:eastAsia="Calibri" w:hAnsi="Calibri" w:cs="Arial"/>
    </w:rPr>
  </w:style>
  <w:style w:type="paragraph" w:styleId="Footer">
    <w:name w:val="footer"/>
    <w:basedOn w:val="Normal"/>
    <w:link w:val="FooterChar"/>
    <w:uiPriority w:val="99"/>
    <w:unhideWhenUsed/>
    <w:rsid w:val="00A3182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3182B"/>
    <w:rPr>
      <w:rFonts w:ascii="Calibri" w:eastAsia="Calibri" w:hAnsi="Calibri" w:cs="Arial"/>
    </w:rPr>
  </w:style>
  <w:style w:type="paragraph" w:styleId="BalloonText">
    <w:name w:val="Balloon Text"/>
    <w:basedOn w:val="Normal"/>
    <w:link w:val="BalloonTextChar"/>
    <w:uiPriority w:val="99"/>
    <w:semiHidden/>
    <w:unhideWhenUsed/>
    <w:rsid w:val="00A3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7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1076"/>
    <w:pPr>
      <w:spacing w:after="0"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A3182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3182B"/>
    <w:rPr>
      <w:rFonts w:ascii="Calibri" w:eastAsia="Calibri" w:hAnsi="Calibri" w:cs="Arial"/>
    </w:rPr>
  </w:style>
  <w:style w:type="paragraph" w:styleId="Footer">
    <w:name w:val="footer"/>
    <w:basedOn w:val="Normal"/>
    <w:link w:val="FooterChar"/>
    <w:uiPriority w:val="99"/>
    <w:unhideWhenUsed/>
    <w:rsid w:val="00A3182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3182B"/>
    <w:rPr>
      <w:rFonts w:ascii="Calibri" w:eastAsia="Calibri" w:hAnsi="Calibri" w:cs="Arial"/>
    </w:rPr>
  </w:style>
  <w:style w:type="paragraph" w:styleId="BalloonText">
    <w:name w:val="Balloon Text"/>
    <w:basedOn w:val="Normal"/>
    <w:link w:val="BalloonTextChar"/>
    <w:uiPriority w:val="99"/>
    <w:semiHidden/>
    <w:unhideWhenUsed/>
    <w:rsid w:val="00A3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2E781CC.dotm</Template>
  <TotalTime>0</TotalTime>
  <Pages>3</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Alizadeh, A.</dc:creator>
  <cp:lastModifiedBy>Alizadeh, A.</cp:lastModifiedBy>
  <cp:revision>13</cp:revision>
  <dcterms:created xsi:type="dcterms:W3CDTF">2015-07-15T11:44:00Z</dcterms:created>
  <dcterms:modified xsi:type="dcterms:W3CDTF">2015-11-11T11:46:00Z</dcterms:modified>
</cp:coreProperties>
</file>